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26"/>
          <w:szCs w:val="26"/>
        </w:rPr>
        <w:t xml:space="preserve">MUNICÍPIO DE VILA NOVA DO ALVA</w:t>
      </w:r>
    </w:p>
    <w:p>
      <w:pPr>
        <w:spacing w:after="40"/>
        <w:jc w:val="center"/>
      </w:pPr>
      <w:r>
        <w:rPr>
          <w:b/>
          <w:bCs/>
          <w:sz w:val="24"/>
          <w:szCs w:val="24"/>
        </w:rPr>
        <w:t xml:space="preserve">Avaliação do Desempenho — Trabalhadores (SIADAP 3)</w:t>
      </w:r>
    </w:p>
    <w:p>
      <w:pPr>
        <w:spacing w:after="40"/>
        <w:jc w:val="center"/>
      </w:pPr>
      <w:r>
        <w:rPr>
          <w:b/>
          <w:bCs/>
          <w:sz w:val="28"/>
          <w:szCs w:val="28"/>
        </w:rPr>
        <w:t xml:space="preserve">FICHA DE AVALIAÇÃO</w:t>
      </w:r>
    </w:p>
    <w:p>
      <w:pPr>
        <w:spacing w:after="240"/>
        <w:jc w:val="center"/>
      </w:pPr>
      <w:r>
        <w:rPr>
          <w:i/>
          <w:iCs/>
          <w:sz w:val="18"/>
          <w:szCs w:val="18"/>
        </w:rPr>
        <w:t xml:space="preserve">Documento fictício, criado exclusivamente para fins de formação. Quaisquer semelhanças com pessoas ou entidades reais são mera coincidência.</w:t>
      </w:r>
    </w:p>
    <w:p>
      <w:pPr>
        <w:pStyle w:val="Heading1"/>
        <w:spacing w:after="120" w:before="240"/>
      </w:pPr>
      <w:r>
        <w:t xml:space="preserve">1. Identificação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Avaliador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Susana Vilarinho Prazeres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Cargo do avaliador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Chefe da Divisão de Ambiente, Espaço Público e Mobilidade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Avaliado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Lúcia Zambujal Faria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Carreira / categoria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Assistente Operacional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Função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Manutenção de espaços verdes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Unidade orgânica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Divisão de Ambiente, Espaço Público e Mobilidade (DAEM)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Período em avaliação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01/01/2025 a 31/12/2025</w:t>
            </w:r>
          </w:p>
        </w:tc>
      </w:tr>
    </w:tbl>
    <w:p>
      <w:pPr>
        <w:spacing w:after="60"/>
      </w:pPr>
      <w:r>
        <w:rPr>
          <w:sz w:val="22"/>
          <w:szCs w:val="22"/>
        </w:rPr>
        <w:t xml:space="preserve"/>
      </w:r>
    </w:p>
    <w:p>
      <w:pPr>
        <w:pStyle w:val="Heading1"/>
        <w:spacing w:after="120" w:before="240"/>
      </w:pPr>
      <w:r>
        <w:t xml:space="preserve">2. Descrição das responsabilidades</w:t>
      </w:r>
    </w:p>
    <w:p>
      <w:pPr>
        <w:spacing w:after="120"/>
      </w:pPr>
      <w:r>
        <w:rPr>
          <w:sz w:val="22"/>
          <w:szCs w:val="22"/>
        </w:rPr>
        <w:t xml:space="preserve">Execução dos trabalhos de manutenção de jardins e espaços verdes municipais, incluindo rega, podas e limpezas.</w:t>
      </w:r>
    </w:p>
    <w:p>
      <w:pPr>
        <w:pStyle w:val="Heading1"/>
        <w:spacing w:after="120" w:before="240"/>
      </w:pPr>
      <w:r>
        <w:t xml:space="preserve">3. Autoavaliação do trabalhador</w:t>
      </w:r>
    </w:p>
    <w:p>
      <w:pPr>
        <w:spacing w:after="120"/>
      </w:pPr>
      <w:r>
        <w:rPr>
          <w:sz w:val="22"/>
          <w:szCs w:val="22"/>
        </w:rPr>
        <w:t xml:space="preserve">Cumpri o plano de manutenção dos jardins que me estava atribuído e ajudei outras equipas quando foi necessário, principalmente na preparação das festas do concelho. Acho que fiz um bom trabalho este ano.</w:t>
      </w:r>
    </w:p>
    <w:p>
      <w:pPr>
        <w:pStyle w:val="Heading1"/>
        <w:spacing w:after="120" w:before="240"/>
      </w:pPr>
      <w:r>
        <w:t xml:space="preserve">4. Parâmetro «Resultados» — objetivos contratualizados</w:t>
      </w:r>
    </w:p>
    <w:p>
      <w:pPr>
        <w:spacing w:after="120"/>
      </w:pPr>
      <w:r>
        <w:rPr>
          <w:i/>
          <w:iCs/>
          <w:sz w:val="18"/>
          <w:szCs w:val="18"/>
        </w:rPr>
        <w:t xml:space="preserve">Escala de avaliação de cada objetivo: Objetivo superado — 5 pontos; Objetivo atingido — 3 pontos; Objetivo não atingido — 1 ponto.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Objetivo n.º 1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Executar o plano anual de manutenção dos espaços verdes da zona atribuída, até 31/12/2025.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Indicador de medida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Percentagem de intervenções do plano executadas, verificada nos registos de trabalho.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Meta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85% das intervenções executadas.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Critério de cumprimento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Entre 85% e 90% das intervenções executadas.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Critério de superação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Mais de 90% das intervenções executadas.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Resultado obtido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92% das intervenções do plano executadas (registos de trabalho validados pelo encarregado).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Classificação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Objetivo superado (5 pontos)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Fundamentação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 taxa de execução do plano (92%) é superior ao limiar de superação contratualizado (90%), com evidência nos registos de trabalho validados pelo encarregado. O objetivo considera-se superado.</w:t>
            </w:r>
          </w:p>
        </w:tc>
      </w:tr>
    </w:tbl>
    <w:p>
      <w:pPr>
        <w:spacing w:after="60"/>
      </w:pPr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Objetivo n.º 2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Assegurar a rega dos espaços verdes atribuídos de acordo com o plano de rega, sem falhas imputáveis, até 31/12/2025.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Indicador de medida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Número de falhas de rega imputáveis registadas.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Meta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Máximo de 3 falhas imputáveis no ano.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Critério de cumprimento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Entre 1 e 3 falhas imputáveis.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Critério de superação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Zero falhas imputáveis no ano.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Resultado obtido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 falha de rega imputável registada.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Classificação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Objetivo atingido (3 pontos)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Fundamentação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Registou-se uma única falha de rega imputável, dentro do intervalo de cumprimento contratualizado. O objetivo considera-se atingido.</w:t>
            </w:r>
          </w:p>
        </w:tc>
      </w:tr>
    </w:tbl>
    <w:p>
      <w:pPr>
        <w:spacing w:after="60"/>
      </w:pPr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Objetivo n.º 3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Colaborar nas operações de preparação e apoio logístico aos eventos municipais realizados em espaços verdes, até 31/12/2025.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Indicador de medida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Número de eventos apoiados sem ocorrências imputáveis.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Meta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Apoio a todos os eventos atribuídos (previstos 6).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Critério de cumprimento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Apoio aos 6 eventos, admitindo-se 1 ocorrência menor resolvida.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Critério de superação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Apoio aos 6 eventos sem qualquer ocorrência.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Resultado obtido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Apoio prestado aos 6 eventos, sem ocorrências registadas.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Classificação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Objetivo superado (5 pontos)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Fundamentação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 trabalhadora apoiou os 6 eventos previstos sem qualquer ocorrência registada, verificando-se a condição de superação contratualizada.</w:t>
            </w:r>
          </w:p>
        </w:tc>
      </w:tr>
    </w:tbl>
    <w:p>
      <w:pPr>
        <w:spacing w:after="6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b/>
          <w:bCs/>
          <w:sz w:val="22"/>
          <w:szCs w:val="22"/>
        </w:rPr>
        <w:t xml:space="preserve">Pontuação do parâmetro «Resultados» (média das pontuações): 4,33</w:t>
      </w:r>
    </w:p>
    <w:p>
      <w:pPr>
        <w:pStyle w:val="Heading1"/>
        <w:spacing w:after="120" w:before="240"/>
      </w:pPr>
      <w:r>
        <w:t xml:space="preserve">5. Parâmetro «Competências»</w:t>
      </w:r>
    </w:p>
    <w:p>
      <w:pPr>
        <w:spacing w:after="120"/>
      </w:pPr>
      <w:r>
        <w:rPr>
          <w:i/>
          <w:iCs/>
          <w:sz w:val="18"/>
          <w:szCs w:val="18"/>
        </w:rPr>
        <w:t xml:space="preserve">Escala: Competência demonstrada a um nível elevado — 5 pontos; Competência demonstrada — 3 pontos; Competência não demonstrada ou inexistente — 1 ponto.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26"/>
        <w:gridCol w:w="3200"/>
      </w:tblGrid>
      <w:tr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Competência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Pontuação</w:t>
            </w:r>
          </w:p>
        </w:tc>
      </w:tr>
      <w:tr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Responsabilidade e compromisso com o serviço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Demonstrada a um nível elevado (5)</w:t>
            </w:r>
          </w:p>
        </w:tc>
      </w:tr>
      <w:tr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Trabalho de equipa e cooperação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Demonstrada a um nível elevado (5)</w:t>
            </w:r>
          </w:p>
        </w:tc>
      </w:tr>
      <w:tr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Orientação para o serviço público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Demonstrada (3)</w:t>
            </w:r>
          </w:p>
        </w:tc>
      </w:tr>
      <w:tr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Organização e método de trabalho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Demonstrada (3)</w:t>
            </w:r>
          </w:p>
        </w:tc>
      </w:tr>
      <w:tr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Adaptação e melhoria contínua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Demonstrada (3)</w:t>
            </w:r>
          </w:p>
        </w:tc>
      </w:tr>
    </w:tbl>
    <w:p>
      <w:pPr>
        <w:spacing w:after="120"/>
      </w:pPr>
      <w:r>
        <w:rPr>
          <w:b/>
          <w:bCs/>
          <w:sz w:val="22"/>
          <w:szCs w:val="22"/>
        </w:rPr>
        <w:t xml:space="preserve">Pontuação do parâmetro «Competências» (média das pontuações): 3,80</w:t>
      </w:r>
    </w:p>
    <w:p>
      <w:pPr>
        <w:pStyle w:val="Heading1"/>
        <w:spacing w:after="120" w:before="240"/>
      </w:pPr>
      <w:r>
        <w:t xml:space="preserve">6. Avaliação global do desempenho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1800"/>
        <w:gridCol w:w="2026"/>
      </w:tblGrid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Parâmetro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Pontuação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Ponderação</w:t>
            </w:r>
          </w:p>
        </w:tc>
        <w:tc>
          <w:tcPr>
            <w:tcW w:type="dxa" w:w="2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Pontuação ponderada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Resultados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4,33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60%</w:t>
            </w:r>
          </w:p>
        </w:tc>
        <w:tc>
          <w:tcPr>
            <w:tcW w:type="dxa" w:w="2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2,60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Competências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3,80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40%</w:t>
            </w:r>
          </w:p>
        </w:tc>
        <w:tc>
          <w:tcPr>
            <w:tcW w:type="dxa" w:w="2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1,52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Avaliação final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4,12</w:t>
            </w:r>
          </w:p>
        </w:tc>
      </w:tr>
    </w:tbl>
    <w:p>
      <w:pPr>
        <w:spacing w:after="120"/>
      </w:pPr>
      <w:r>
        <w:rPr>
          <w:i/>
          <w:iCs/>
          <w:sz w:val="18"/>
          <w:szCs w:val="18"/>
        </w:rPr>
        <w:t xml:space="preserve">Ponderação dos parâmetros: a confirmar com a legislação aplicável.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Menção qualitativa proposta: Desempenho Relevante</w:t>
      </w:r>
    </w:p>
    <w:p>
      <w:pPr>
        <w:pStyle w:val="Heading1"/>
        <w:spacing w:after="120" w:before="240"/>
      </w:pPr>
      <w:r>
        <w:t xml:space="preserve">7. Apreciação global do desempenho (avaliador)</w:t>
      </w:r>
    </w:p>
    <w:p>
      <w:pPr>
        <w:spacing w:after="120"/>
      </w:pPr>
      <w:r>
        <w:rPr>
          <w:sz w:val="22"/>
          <w:szCs w:val="22"/>
        </w:rPr>
        <w:t xml:space="preserve">A trabalhadora executou o plano de manutenção acima do contratualizado e prestou apoio irrepreensível aos eventos municipais, com registos validados pelo encarregado. Desempenho de elevada fiabilidade.</w:t>
      </w:r>
    </w:p>
    <w:p>
      <w:pPr>
        <w:pStyle w:val="Heading1"/>
        <w:spacing w:after="120" w:before="240"/>
      </w:pPr>
      <w:r>
        <w:t xml:space="preserve">8. Observações</w:t>
      </w:r>
    </w:p>
    <w:p>
      <w:pPr>
        <w:spacing w:after="120"/>
      </w:pPr>
      <w:r>
        <w:rPr>
          <w:sz w:val="22"/>
          <w:szCs w:val="22"/>
        </w:rPr>
        <w:t xml:space="preserve">Sem observações.</w:t>
      </w:r>
    </w:p>
    <w:p>
      <w:pPr>
        <w:pStyle w:val="Heading1"/>
        <w:spacing w:after="120" w:before="240"/>
      </w:pPr>
      <w:r>
        <w:t xml:space="preserve">9. Comunicação da avaliação e assinaturas</w:t>
      </w:r>
    </w:p>
    <w:p>
      <w:pPr>
        <w:spacing w:after="120"/>
      </w:pPr>
      <w:r>
        <w:rPr>
          <w:sz w:val="22"/>
          <w:szCs w:val="22"/>
        </w:rPr>
        <w:t xml:space="preserve">Tomei conhecimento da avaliação em reunião de avaliação realizada em 10/02/2026.</w:t>
      </w:r>
    </w:p>
    <w:p>
      <w:pPr>
        <w:spacing w:after="120"/>
      </w:pPr>
      <w:r>
        <w:rPr>
          <w:sz w:val="22"/>
          <w:szCs w:val="22"/>
        </w:rPr>
        <w:t xml:space="preserve">O avaliador: ____________________________________________</w:t>
      </w:r>
    </w:p>
    <w:p>
      <w:pPr>
        <w:spacing w:after="120"/>
      </w:pPr>
      <w:r>
        <w:rPr>
          <w:sz w:val="22"/>
          <w:szCs w:val="22"/>
        </w:rPr>
        <w:t xml:space="preserve">O avaliado: ____________________________________________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SIADAP 3 — Caso de estudo de formação (dados fictícios) — F18 — Página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2026-07-02T15:08:18.729Z</dcterms:created>
  <dcterms:modified xsi:type="dcterms:W3CDTF">2026-07-02T15:08:18.729Z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