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Contexto do Caso — Município de Vila Nova do Alva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Documento fictício, criado exclusivamente para fins de formação. Todos os nomes, entidades e dados são inventados.</w:t>
      </w:r>
    </w:p>
    <w:p>
      <w:pPr>
        <w:pStyle w:val="Heading1"/>
        <w:spacing w:after="120" w:before="280"/>
      </w:pPr>
      <w:r>
        <w:t xml:space="preserve">1. O Município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Município de Vila Nova do Alva é uma autarquia fictícia de média dimensão, com cerca de 35 000 habitantes e 430 trabalhadores. A estrutura orgânica dos serviços em análise compreende cinco unidades orgânicas flexíveis, dirigidas por chefes de divisão, que são os avaliadores SIADAP 3 dos respetivos trabalhadores.</w:t>
      </w:r>
    </w:p>
    <w:p>
      <w:pPr>
        <w:pStyle w:val="Heading1"/>
        <w:spacing w:after="120" w:before="280"/>
      </w:pPr>
      <w:r>
        <w:t xml:space="preserve">2. Unidades orgânicas e avaliadores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2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Sigla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Unidade orgânica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Avaliador (Chefe de Divisão)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DARH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Divisão de Administração e Recursos Humanos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Cristina Meireles Vidal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DSIM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Divisão de Sistemas de Informação e Modernização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Alberto Queiroz Lampreia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DOMI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Divisão de Obras Municipais e Infraestruturas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Raquel Torgal Simões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DEAS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Divisão de Educação, Ação Social e Saúde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Miguel Arouca Brandão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DAEM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Divisão de Ambiente, Espaço Público e Mobilidade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Susana Vilarinho Prazeres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3. O ciclo avaliativo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Período em avaliação: 01/01/2025 a 31/12/2025 (ciclo anual — a confirmar com a legislação aplicável);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Escala de avaliação de objetivos e competências: 5 (superado/nível elevado), 3 (atingido/demonstrada), 1 (não atingido/não demonstrada);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Ponderação dos parâmetros: Resultados 60% e Competências 40% (a confirmar com a legislação aplicável);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Menções qualitativas: Desempenho Relevante, Desempenho Adequado e Desempenho Inadequado; o reconhecimento de Desempenho Excelente e a validação das menções extremas competem ao Conselho Coordenador da Avaliação (a confirmar com a legislação aplicável).</w:t>
      </w:r>
    </w:p>
    <w:p>
      <w:pPr>
        <w:pStyle w:val="Heading1"/>
        <w:spacing w:after="120" w:before="280"/>
      </w:pPr>
      <w:r>
        <w:t xml:space="preserve">4. Lista dos 20 trabalhadores avaliados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900"/>
        <w:gridCol w:w="2200"/>
        <w:gridCol w:w="2726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N.º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Carreira / categoria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Marta Caldeira Fonseca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DARH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Técnica Superior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Gestão de recursos humanos e processamento de vencimentos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Rui Tavares Antunes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DARH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Assistente Técnico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Atendimento e expediente geral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Sofia Bettencourt Ramos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DARH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Assistente Técnica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Processamento de vencimentos e apoio à gestão de assiduidade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Hélder Craveiro Matos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DARH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Técnico Superior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Contratação pública e aprovisionamento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Beatriz Seabra Quintela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DSIM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Especialista de Informática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Administração de sistemas e infraestrutura tecnológica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Tiago Furtado Reis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DSIM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Técnico de Informática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Suporte técnico e helpdesk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Carla Espinho Valdez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DSIM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Técnica Superior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Modernização administrativa e serviços digitais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André Palhinha Costa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DSIM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Assistente Técnico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Apoio ao helpdesk e gestão de inventário informático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09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Joaquim Lagoa Peixoto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DOMI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Encarregado Operacional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Coordenação das equipas de conservação de vias e edifícios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Célia Varanda Mota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DOMI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Técnica Superior (Engenharia Civil)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Elaboração de projetos e acompanhamento de empreitadas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Fábio Serralheiro Pinto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DOMI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Assistente Operacional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Canalizador — manutenção de redes de água e saneamento em edifícios municipais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Manuel Espada Coelho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DOMI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Fiscal de Obras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Fiscalização de obras municipais e de obras particulares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Inês Bandeira Lousada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DEAS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Técnica Superior (Serviço Social)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Acompanhamento social e gestão de apoios sociais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Paula Cordovil Neves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DEAS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Assistente Técnica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Apoio administrativo à gestão escolar e refeições escolares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Ricardo Salgueiro Abrantes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DEAS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Técnico Superior (Educação)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Planeamento da rede escolar e projetos educativos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Teresa Alfaiate Borges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DEAS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Assistente Técnica (área de educação)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Apoio administrativo e articulação com estabelecimentos escolares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Vasco Milheiro Prata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DAEM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Técnico Superior (Engenharia do Ambiente)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Gestão ambiental e sensibilização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Lúcia Zambujal Faria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DAEM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Assistente Operacional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Manutenção de espaços verdes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Óscar Trindade Camacho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DAEM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Assistente Operacional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Recolha de resíduos e limpeza urbana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Helena Roldão Sarmento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DAEM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Técnica Superior (Mobilidade)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Planeamento de mobilidade e gestão de estacionamento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5. Circuito do processo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As fichas foram preenchidas e assinadas pelos avaliadores e comunicadas aos avaliados em reuniões realizadas em 10/02/2026. Encontram-se agora na DARH para verificação prévia à apreciação pelo Conselho Coordenador da Avaliação e à homologação pelo Presidente da Câmara (tramitação a confirmar com a legislação aplicável). A DARH deve devolver aos avaliadores, com nota fundamentada, as fichas que apresentem falhas ou incoerências.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9 — Dados de apoio (dados fictícios)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2026-07-02T15:11:47.967Z</dcterms:created>
  <dcterms:modified xsi:type="dcterms:W3CDTF">2026-07-02T15:11:47.967Z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