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sz w:val="32"/>
          <w:szCs w:val="32"/>
        </w:rPr>
        <w:t xml:space="preserve">Caso Prático — Sessão 11</w:t>
      </w:r>
    </w:p>
    <w:p>
      <w:pPr>
        <w:spacing w:after="60"/>
        <w:jc w:val="center"/>
      </w:pPr>
      <w:r>
        <w:rPr>
          <w:b/>
          <w:bCs/>
          <w:sz w:val="32"/>
          <w:szCs w:val="32"/>
        </w:rPr>
        <w:t xml:space="preserve">Análise Documental para Contratação Pública: do Caderno de Encargos ao Relatório Final</w:t>
      </w:r>
    </w:p>
    <w:p>
      <w:pPr>
        <w:spacing w:after="240"/>
        <w:jc w:val="center"/>
      </w:pPr>
      <w:r>
        <w:rPr>
          <w:i/>
          <w:iCs/>
          <w:color w:val="555555"/>
          <w:sz w:val="20"/>
          <w:szCs w:val="20"/>
        </w:rPr>
        <w:t xml:space="preserve">Documento fictício, criado exclusivamente para fins de formação. Todos os nomes, entidades, NIF e dados são inventados.</w:t>
      </w:r>
    </w:p>
    <w:p>
      <w:pPr>
        <w:pStyle w:val="Heading1"/>
        <w:spacing w:after="120" w:before="280"/>
      </w:pPr>
      <w:r>
        <w:t xml:space="preserve">1. Enquadramento</w:t>
      </w:r>
    </w:p>
    <w:p>
      <w:pPr>
        <w:spacing w:after="120"/>
      </w:pPr>
      <w:r>
        <w:rPr>
          <w:b w:val="false"/>
          <w:bCs w:val="false"/>
          <w:sz w:val="22"/>
          <w:szCs w:val="22"/>
        </w:rPr>
        <w:t xml:space="preserve">A Universidade de Vale Verde (UVV, entidade fictícia) lançou o Concurso Público n.º CP/07/2026 para a aquisição de </w:t>
      </w:r>
      <w:r>
        <w:rPr>
          <w:b/>
          <w:bCs/>
          <w:sz w:val="22"/>
          <w:szCs w:val="22"/>
        </w:rPr>
        <w:t xml:space="preserve">60 computadores portáteis</w:t>
      </w:r>
      <w:r>
        <w:rPr>
          <w:b w:val="false"/>
          <w:bCs w:val="false"/>
          <w:sz w:val="22"/>
          <w:szCs w:val="22"/>
        </w:rPr>
        <w:t xml:space="preserve"> destinados aos laboratórios da Faculdade de Ciências e Tecnologia — o processo cuja demora o conselheiro Estêvão Rebocho Lima lamentava na reunião do Conselho Científico (Sessão 10). Preço base: </w:t>
      </w:r>
      <w:r>
        <w:rPr>
          <w:b/>
          <w:bCs/>
          <w:sz w:val="22"/>
          <w:szCs w:val="22"/>
        </w:rPr>
        <w:t xml:space="preserve">66 000 EUR</w:t>
      </w:r>
      <w:r>
        <w:rPr>
          <w:b w:val="false"/>
          <w:bCs w:val="false"/>
          <w:sz w:val="22"/>
          <w:szCs w:val="22"/>
        </w:rPr>
        <w:t xml:space="preserve"> (s/IVA). O procedimento segue o regime do concurso público previsto no CCP (arts. 130.º e seguintes), com adjudicação segundo o critério da proposta economicamente mais vantajosa, na modalidade de melhor relação qualidade-preço (art. 74.º).</w:t>
      </w:r>
    </w:p>
    <w:p>
      <w:pPr>
        <w:spacing w:after="120"/>
      </w:pPr>
      <w:r>
        <w:rPr>
          <w:b w:val="false"/>
          <w:bCs w:val="false"/>
          <w:sz w:val="22"/>
          <w:szCs w:val="22"/>
        </w:rPr>
        <w:t xml:space="preserve">O seu grupo integra a </w:t>
      </w:r>
      <w:r>
        <w:rPr>
          <w:b/>
          <w:bCs/>
          <w:sz w:val="22"/>
          <w:szCs w:val="22"/>
        </w:rPr>
        <w:t xml:space="preserve">equipa de apoio ao júri do procedimento</w:t>
      </w:r>
      <w:r>
        <w:rPr>
          <w:b w:val="false"/>
          <w:bCs w:val="false"/>
          <w:sz w:val="22"/>
          <w:szCs w:val="22"/>
        </w:rPr>
        <w:t xml:space="preserve">. Com o Copilot Microsoft 365, vai percorrer o ciclo documental completo: rever o caderno de encargos (que foi redigido à pressa), analisar as quatro propostas recebidas, verificar a grelha de pontuação do júri e preparar os relatórios preliminar e final.</w:t>
      </w:r>
    </w:p>
    <w:p>
      <w:pPr>
        <w:spacing w:after="120"/>
      </w:pPr>
      <w:r>
        <w:rPr>
          <w:b w:val="false"/>
          <w:bCs w:val="false"/>
          <w:sz w:val="22"/>
          <w:szCs w:val="22"/>
        </w:rPr>
        <w:t xml:space="preserve"/>
      </w:r>
      <w:r>
        <w:rPr>
          <w:b/>
          <w:bCs/>
          <w:sz w:val="22"/>
          <w:szCs w:val="22"/>
        </w:rPr>
        <w:t xml:space="preserve">Limite fundamental desta sessão:</w:t>
      </w:r>
      <w:r>
        <w:rPr>
          <w:b w:val="false"/>
          <w:bCs w:val="false"/>
          <w:sz w:val="22"/>
          <w:szCs w:val="22"/>
        </w:rPr>
        <w:t xml:space="preserve"> a IA presta apoio analítico — compara, verifica, sinaliza e redige rascunhos. A avaliação é do júri e a decisão de adjudicação é do órgão competente. Nenhum output do Copilot é decisão.</w:t>
      </w:r>
    </w:p>
    <w:p>
      <w:pPr>
        <w:spacing w:after="120"/>
      </w:pPr>
      <w:r>
        <w:rPr>
          <w:i/>
          <w:iCs/>
          <w:color w:val="555555"/>
          <w:sz w:val="18"/>
          <w:szCs w:val="18"/>
        </w:rPr>
        <w:t xml:space="preserve">Referências legais: Código dos Contratos Públicos (CCP), aprovado pelo Decreto-Lei n.º 18/2008, de 29 de janeiro (ao abrigo da autorização legislativa da Lei n.º 6/2007, de 2 de fevereiro), republicado pelo DL n.º 111-B/2017, de 31 de agosto, com última alteração pelo DL n.º 112/2025, de 23 de outubro. Confirmar sempre a versão consolidada no Diário da República.</w:t>
      </w:r>
    </w:p>
    <w:p>
      <w:pPr>
        <w:pStyle w:val="Heading1"/>
        <w:spacing w:after="120" w:before="280"/>
      </w:pPr>
      <w:r>
        <w:t xml:space="preserve">2. Documentos disponíveis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5826"/>
      </w:tblGrid>
      <w:tr>
        <w:tc>
          <w:tcPr>
            <w:tcW w:type="dxa" w:w="3200"/>
            <w:tcBorders>
              <w:top w:val="single" w:color="AAAAAA" w:sz="1"/>
              <w:left w:val="single" w:color="AAAAAA" w:sz="1"/>
              <w:bottom w:val="single" w:color="AAAAAA" w:sz="1"/>
              <w:right w:val="single" w:color="AAAAAA" w:sz="1"/>
            </w:tcBorders>
            <w:shd w:fill="D5E3F0" w:val="clear"/>
            <w:tcMar>
              <w:top w:type="dxa" w:w="80"/>
              <w:left w:type="dxa" w:w="120"/>
              <w:bottom w:type="dxa" w:w="80"/>
              <w:right w:type="dxa" w:w="120"/>
            </w:tcMar>
          </w:tcPr>
          <w:p>
            <w:pPr>
              <w:spacing w:after="40"/>
            </w:pPr>
            <w:r>
              <w:rPr>
                <w:b/>
                <w:bCs/>
                <w:sz w:val="18"/>
                <w:szCs w:val="18"/>
              </w:rPr>
              <w:t xml:space="preserve">Pasta</w:t>
            </w:r>
          </w:p>
        </w:tc>
        <w:tc>
          <w:tcPr>
            <w:tcW w:type="dxa" w:w="5826"/>
            <w:tcBorders>
              <w:top w:val="single" w:color="AAAAAA" w:sz="1"/>
              <w:left w:val="single" w:color="AAAAAA" w:sz="1"/>
              <w:bottom w:val="single" w:color="AAAAAA" w:sz="1"/>
              <w:right w:val="single" w:color="AAAAAA" w:sz="1"/>
            </w:tcBorders>
            <w:shd w:fill="D5E3F0" w:val="clear"/>
            <w:tcMar>
              <w:top w:type="dxa" w:w="80"/>
              <w:left w:type="dxa" w:w="120"/>
              <w:bottom w:type="dxa" w:w="80"/>
              <w:right w:type="dxa" w:w="120"/>
            </w:tcMar>
          </w:tcPr>
          <w:p>
            <w:pPr>
              <w:spacing w:after="40"/>
            </w:pPr>
            <w:r>
              <w:rPr>
                <w:b/>
                <w:bCs/>
                <w:sz w:val="18"/>
                <w:szCs w:val="18"/>
              </w:rPr>
              <w:t xml:space="preserve">Conteúdo</w:t>
            </w:r>
          </w:p>
        </w:tc>
      </w:tr>
      <w:tr>
        <w:tc>
          <w:tcPr>
            <w:tcW w:type="dxa" w:w="32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40"/>
            </w:pPr>
            <w:r>
              <w:rPr>
                <w:sz w:val="18"/>
                <w:szCs w:val="18"/>
              </w:rPr>
              <w:t xml:space="preserve">02_Pecas_Procedimento</w:t>
            </w:r>
          </w:p>
        </w:tc>
        <w:tc>
          <w:tcPr>
            <w:tcW w:type="dxa" w:w="5826"/>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40"/>
            </w:pPr>
            <w:r>
              <w:rPr>
                <w:sz w:val="18"/>
                <w:szCs w:val="18"/>
              </w:rPr>
              <w:t xml:space="preserve">Rascunho do caderno de encargos (versão dos serviços, ainda com problemas), extrato do programa do procedimento (critério e modelo de avaliação) e grelha de pontuação preliminar preenchida pelo júri (Excel).</w:t>
            </w:r>
          </w:p>
        </w:tc>
      </w:tr>
      <w:tr>
        <w:tc>
          <w:tcPr>
            <w:tcW w:type="dxa" w:w="32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40"/>
            </w:pPr>
            <w:r>
              <w:rPr>
                <w:sz w:val="18"/>
                <w:szCs w:val="18"/>
              </w:rPr>
              <w:t xml:space="preserve">03_Propostas_Concorrentes</w:t>
            </w:r>
          </w:p>
        </w:tc>
        <w:tc>
          <w:tcPr>
            <w:tcW w:type="dxa" w:w="5826"/>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40"/>
            </w:pPr>
            <w:r>
              <w:rPr>
                <w:sz w:val="18"/>
                <w:szCs w:val="18"/>
              </w:rPr>
              <w:t xml:space="preserve">As 4 propostas recebidas (Word) com os respetivos mapas de preços (Excel): TecnoValor, InfoLuso, MegaByte e GlobalPC.</w:t>
            </w:r>
          </w:p>
        </w:tc>
      </w:tr>
      <w:tr>
        <w:tc>
          <w:tcPr>
            <w:tcW w:type="dxa" w:w="32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40"/>
            </w:pPr>
            <w:r>
              <w:rPr>
                <w:sz w:val="18"/>
                <w:szCs w:val="18"/>
              </w:rPr>
              <w:t xml:space="preserve">05_Prompts_Copilot</w:t>
            </w:r>
          </w:p>
        </w:tc>
        <w:tc>
          <w:tcPr>
            <w:tcW w:type="dxa" w:w="5826"/>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40"/>
            </w:pPr>
            <w:r>
              <w:rPr>
                <w:sz w:val="18"/>
                <w:szCs w:val="18"/>
              </w:rPr>
              <w:t xml:space="preserve">Questões e prompts prontos a usar, organizados pelas 3 fases.</w:t>
            </w:r>
          </w:p>
        </w:tc>
      </w:tr>
    </w:tbl>
    <w:p>
      <w:pPr>
        <w:spacing w:after="120"/>
      </w:pPr>
    </w:p>
    <w:p>
      <w:pPr>
        <w:spacing w:after="120"/>
      </w:pPr>
      <w:r>
        <w:rPr>
          <w:i/>
          <w:iCs/>
          <w:color w:val="555555"/>
          <w:sz w:val="18"/>
          <w:szCs w:val="18"/>
        </w:rPr>
        <w:t xml:space="preserve">As pastas 04 e 06 são de uso exclusivo do formador. Durante a Fase C, o formador entregará um documento adicional — não o abram antes.</w:t>
      </w:r>
    </w:p>
    <w:p>
      <w:pPr>
        <w:pStyle w:val="Heading1"/>
        <w:spacing w:after="120" w:before="280"/>
      </w:pPr>
      <w:r>
        <w:t xml:space="preserve">3. O percurso — 3 fases (≈ 95 min + discussão)</w:t>
      </w:r>
    </w:p>
    <w:p>
      <w:pPr>
        <w:pStyle w:val="Heading2"/>
        <w:spacing w:after="100" w:before="200"/>
      </w:pPr>
      <w:r>
        <w:t xml:space="preserve">Fase A — Rever o caderno de encargos (25 min)</w:t>
      </w:r>
    </w:p>
    <w:p>
      <w:pPr>
        <w:spacing w:after="120"/>
      </w:pPr>
      <w:r>
        <w:rPr>
          <w:b w:val="false"/>
          <w:bCs w:val="false"/>
          <w:sz w:val="22"/>
          <w:szCs w:val="22"/>
        </w:rPr>
        <w:t xml:space="preserve">Situação: estamos em abril de 2026, antes do lançamento. Os serviços enviaram um rascunho de caderno de encargos «para sair hoje». Contém pelo menos seis problemas que, se saíssem assim, dariam impugnações, restrições ilegais à concorrência ou um concurso impossível de avaliar.</w:t>
      </w:r>
    </w:p>
    <w:p>
      <w:pPr>
        <w:pStyle w:val="ListParagraph"/>
        <w:numPr>
          <w:ilvl w:val="0"/>
          <w:numId w:val="2"/>
        </w:numPr>
        <w:spacing w:after="60"/>
      </w:pPr>
      <w:r>
        <w:rPr>
          <w:b w:val="false"/>
          <w:bCs w:val="false"/>
          <w:sz w:val="22"/>
          <w:szCs w:val="22"/>
        </w:rPr>
        <w:t xml:space="preserve">Analise o rascunho com o Copilot e identifique todas as cláusulas problemáticas: especificações que apontam para marcas (art. 49.º), critérios vagos, contradições internas, requisitos desproporcionais e omissões essenciais;</w:t>
      </w:r>
    </w:p>
    <w:p>
      <w:pPr>
        <w:pStyle w:val="ListParagraph"/>
        <w:numPr>
          <w:ilvl w:val="0"/>
          <w:numId w:val="2"/>
        </w:numPr>
        <w:spacing w:after="60"/>
      </w:pPr>
      <w:r>
        <w:rPr>
          <w:b w:val="false"/>
          <w:bCs w:val="false"/>
          <w:sz w:val="22"/>
          <w:szCs w:val="22"/>
        </w:rPr>
        <w:t xml:space="preserve">Classifique cada problema: ilegalidade provável / risco de impugnação / defeito de qualidade;</w:t>
      </w:r>
    </w:p>
    <w:p>
      <w:pPr>
        <w:pStyle w:val="ListParagraph"/>
        <w:numPr>
          <w:ilvl w:val="0"/>
          <w:numId w:val="2"/>
        </w:numPr>
        <w:spacing w:after="60"/>
      </w:pPr>
      <w:r>
        <w:rPr>
          <w:b w:val="false"/>
          <w:bCs w:val="false"/>
          <w:sz w:val="22"/>
          <w:szCs w:val="22"/>
        </w:rPr>
        <w:t xml:space="preserve">Produza a versão corrigida das cláusulas problemáticas;</w:t>
      </w:r>
    </w:p>
    <w:p>
      <w:pPr>
        <w:pStyle w:val="ListParagraph"/>
        <w:numPr>
          <w:ilvl w:val="0"/>
          <w:numId w:val="2"/>
        </w:numPr>
        <w:spacing w:after="60"/>
      </w:pPr>
      <w:r>
        <w:rPr>
          <w:b w:val="false"/>
          <w:bCs w:val="false"/>
          <w:sz w:val="22"/>
          <w:szCs w:val="22"/>
        </w:rPr>
        <w:t xml:space="preserve">Crie uma checklist de verificação de cadernos de encargos para uso futuro dos serviços.</w:t>
      </w:r>
    </w:p>
    <w:p>
      <w:pPr>
        <w:pStyle w:val="Heading2"/>
        <w:spacing w:after="100" w:before="200"/>
      </w:pPr>
      <w:r>
        <w:t xml:space="preserve">Fase B — Analisar as propostas e verificar a grelha do júri (40 min)</w:t>
      </w:r>
    </w:p>
    <w:p>
      <w:pPr>
        <w:spacing w:after="120"/>
      </w:pPr>
      <w:r>
        <w:rPr>
          <w:b w:val="false"/>
          <w:bCs w:val="false"/>
          <w:sz w:val="22"/>
          <w:szCs w:val="22"/>
        </w:rPr>
        <w:t xml:space="preserve">Situação: junho de 2026, propostas abertas. O júri fez uma primeira grelha de pontuação, mas há qualquer coisa que não bate certo — e as propostas trazem problemas de natureza muito diferente, que exigem tratamentos diferentes.</w:t>
      </w:r>
    </w:p>
    <w:p>
      <w:pPr>
        <w:pStyle w:val="ListParagraph"/>
        <w:numPr>
          <w:ilvl w:val="0"/>
          <w:numId w:val="3"/>
        </w:numPr>
        <w:spacing w:after="60"/>
      </w:pPr>
      <w:r>
        <w:rPr>
          <w:b w:val="false"/>
          <w:bCs w:val="false"/>
          <w:sz w:val="22"/>
          <w:szCs w:val="22"/>
        </w:rPr>
        <w:t xml:space="preserve">Verifique cada proposta contra os requisitos mínimos do caderno de encargos e os documentos exigidos no programa: o que cumpre, o que viola, o que falta;</w:t>
      </w:r>
    </w:p>
    <w:p>
      <w:pPr>
        <w:pStyle w:val="ListParagraph"/>
        <w:numPr>
          <w:ilvl w:val="0"/>
          <w:numId w:val="3"/>
        </w:numPr>
        <w:spacing w:after="60"/>
      </w:pPr>
      <w:r>
        <w:rPr>
          <w:b w:val="false"/>
          <w:bCs w:val="false"/>
          <w:sz w:val="22"/>
          <w:szCs w:val="22"/>
        </w:rPr>
        <w:t xml:space="preserve">Distinga os tratamentos: exclusão (art. 70.º, n.º 2), pedido de esclarecimentos (art. 72.º) e pedido de justificação de preço anormalmente baixo (art. 71.º) — nem tudo o que tem problemas se exclui, nem tudo o que é barato se aceita;</w:t>
      </w:r>
    </w:p>
    <w:p>
      <w:pPr>
        <w:pStyle w:val="ListParagraph"/>
        <w:numPr>
          <w:ilvl w:val="0"/>
          <w:numId w:val="3"/>
        </w:numPr>
        <w:spacing w:after="60"/>
      </w:pPr>
      <w:r>
        <w:rPr>
          <w:b w:val="false"/>
          <w:bCs w:val="false"/>
          <w:sz w:val="22"/>
          <w:szCs w:val="22"/>
        </w:rPr>
        <w:t xml:space="preserve">Verifique os mapas de preços em Excel com o Copilot: há pelo menos um erro aritmético e uma divergência entre valores;</w:t>
      </w:r>
    </w:p>
    <w:p>
      <w:pPr>
        <w:pStyle w:val="ListParagraph"/>
        <w:numPr>
          <w:ilvl w:val="0"/>
          <w:numId w:val="3"/>
        </w:numPr>
        <w:spacing w:after="60"/>
      </w:pPr>
      <w:r>
        <w:rPr>
          <w:b w:val="false"/>
          <w:bCs w:val="false"/>
          <w:sz w:val="22"/>
          <w:szCs w:val="22"/>
        </w:rPr>
        <w:t xml:space="preserve">Compare as memórias descritivas entre concorrentes — procure semelhanças textuais que constituam indício de concertação (art. 70.º, n.º 2, al. g));</w:t>
      </w:r>
    </w:p>
    <w:p>
      <w:pPr>
        <w:pStyle w:val="ListParagraph"/>
        <w:numPr>
          <w:ilvl w:val="0"/>
          <w:numId w:val="3"/>
        </w:numPr>
        <w:spacing w:after="60"/>
      </w:pPr>
      <w:r>
        <w:rPr>
          <w:b w:val="false"/>
          <w:bCs w:val="false"/>
          <w:sz w:val="22"/>
          <w:szCs w:val="22"/>
        </w:rPr>
        <w:t xml:space="preserve">Recalcule a grelha de pontuação do júri aplicando o modelo de avaliação do programa (art. 139.º) e identifique o erro.</w:t>
      </w:r>
    </w:p>
    <w:p>
      <w:pPr>
        <w:pStyle w:val="Heading2"/>
        <w:spacing w:after="100" w:before="200"/>
      </w:pPr>
      <w:r>
        <w:t xml:space="preserve">Fase C — Relatórios e audiência prévia (30 min)</w:t>
      </w:r>
    </w:p>
    <w:p>
      <w:pPr>
        <w:pStyle w:val="ListParagraph"/>
        <w:numPr>
          <w:ilvl w:val="0"/>
          <w:numId w:val="4"/>
        </w:numPr>
        <w:spacing w:after="60"/>
      </w:pPr>
      <w:r>
        <w:rPr>
          <w:b w:val="false"/>
          <w:bCs w:val="false"/>
          <w:sz w:val="22"/>
          <w:szCs w:val="22"/>
        </w:rPr>
        <w:t xml:space="preserve">Redija o relatório preliminar (art. 146.º): admissões, exclusões fundamentadas com base legal, ordenação das propostas admitidas e pedido de justificação pendente;</w:t>
      </w:r>
    </w:p>
    <w:p>
      <w:pPr>
        <w:pStyle w:val="ListParagraph"/>
        <w:numPr>
          <w:ilvl w:val="0"/>
          <w:numId w:val="4"/>
        </w:numPr>
        <w:spacing w:after="60"/>
      </w:pPr>
      <w:r>
        <w:rPr>
          <w:b w:val="false"/>
          <w:bCs w:val="false"/>
          <w:sz w:val="22"/>
          <w:szCs w:val="22"/>
        </w:rPr>
        <w:t xml:space="preserve">A meio desta fase receberão a pronúncia de um concorrente em sede de audiência prévia (art. 147.º) — aprecie-a criticamente: a justificação apresentada tem substância ou é retórica?</w:t>
      </w:r>
    </w:p>
    <w:p>
      <w:pPr>
        <w:pStyle w:val="ListParagraph"/>
        <w:numPr>
          <w:ilvl w:val="0"/>
          <w:numId w:val="4"/>
        </w:numPr>
        <w:spacing w:after="60"/>
      </w:pPr>
      <w:r>
        <w:rPr>
          <w:b w:val="false"/>
          <w:bCs w:val="false"/>
          <w:sz w:val="22"/>
          <w:szCs w:val="22"/>
        </w:rPr>
        <w:t xml:space="preserve">Redija o relatório final (art. 148.º), respondendo fundamentadamente à pronúncia e formulando a proposta de adjudicação;</w:t>
      </w:r>
    </w:p>
    <w:p>
      <w:pPr>
        <w:pStyle w:val="ListParagraph"/>
        <w:numPr>
          <w:ilvl w:val="0"/>
          <w:numId w:val="4"/>
        </w:numPr>
        <w:spacing w:after="60"/>
      </w:pPr>
      <w:r>
        <w:rPr>
          <w:b w:val="false"/>
          <w:bCs w:val="false"/>
          <w:sz w:val="22"/>
          <w:szCs w:val="22"/>
        </w:rPr>
        <w:t xml:space="preserve">Prepare as minutas de notificação aos concorrentes (adjudicatário e excluídos).</w:t>
      </w:r>
    </w:p>
    <w:p>
      <w:pPr>
        <w:pStyle w:val="Heading1"/>
        <w:spacing w:after="120" w:before="280"/>
      </w:pPr>
      <w:r>
        <w:t xml:space="preserve">4. Entregáveis</w:t>
      </w:r>
    </w:p>
    <w:p>
      <w:pPr>
        <w:pStyle w:val="ListParagraph"/>
        <w:numPr>
          <w:ilvl w:val="0"/>
          <w:numId w:val="5"/>
        </w:numPr>
        <w:spacing w:after="60"/>
      </w:pPr>
      <w:r>
        <w:rPr>
          <w:b w:val="false"/>
          <w:bCs w:val="false"/>
          <w:sz w:val="22"/>
          <w:szCs w:val="22"/>
        </w:rPr>
        <w:t xml:space="preserve">Lista de problemas do caderno de encargos + cláusulas corrigidas + checklist de peças;</w:t>
      </w:r>
    </w:p>
    <w:p>
      <w:pPr>
        <w:pStyle w:val="ListParagraph"/>
        <w:numPr>
          <w:ilvl w:val="0"/>
          <w:numId w:val="5"/>
        </w:numPr>
        <w:spacing w:after="60"/>
      </w:pPr>
      <w:r>
        <w:rPr>
          <w:b w:val="false"/>
          <w:bCs w:val="false"/>
          <w:sz w:val="22"/>
          <w:szCs w:val="22"/>
        </w:rPr>
        <w:t xml:space="preserve">Quadro de análise das 4 propostas: conformidade, tratamento proposto e base legal;</w:t>
      </w:r>
    </w:p>
    <w:p>
      <w:pPr>
        <w:pStyle w:val="ListParagraph"/>
        <w:numPr>
          <w:ilvl w:val="0"/>
          <w:numId w:val="5"/>
        </w:numPr>
        <w:spacing w:after="60"/>
      </w:pPr>
      <w:r>
        <w:rPr>
          <w:b w:val="false"/>
          <w:bCs w:val="false"/>
          <w:sz w:val="22"/>
          <w:szCs w:val="22"/>
        </w:rPr>
        <w:t xml:space="preserve">Grelha de pontuação recalculada, com identificação do erro do júri;</w:t>
      </w:r>
    </w:p>
    <w:p>
      <w:pPr>
        <w:pStyle w:val="ListParagraph"/>
        <w:numPr>
          <w:ilvl w:val="0"/>
          <w:numId w:val="5"/>
        </w:numPr>
        <w:spacing w:after="60"/>
      </w:pPr>
      <w:r>
        <w:rPr>
          <w:b w:val="false"/>
          <w:bCs w:val="false"/>
          <w:sz w:val="22"/>
          <w:szCs w:val="22"/>
        </w:rPr>
        <w:t xml:space="preserve">Relatório preliminar (minuta);</w:t>
      </w:r>
    </w:p>
    <w:p>
      <w:pPr>
        <w:pStyle w:val="ListParagraph"/>
        <w:numPr>
          <w:ilvl w:val="0"/>
          <w:numId w:val="5"/>
        </w:numPr>
        <w:spacing w:after="60"/>
      </w:pPr>
      <w:r>
        <w:rPr>
          <w:b w:val="false"/>
          <w:bCs w:val="false"/>
          <w:sz w:val="22"/>
          <w:szCs w:val="22"/>
        </w:rPr>
        <w:t xml:space="preserve">Apreciação da pronúncia + relatório final (minuta) + minutas de notificação;</w:t>
      </w:r>
    </w:p>
    <w:p>
      <w:pPr>
        <w:pStyle w:val="ListParagraph"/>
        <w:numPr>
          <w:ilvl w:val="0"/>
          <w:numId w:val="5"/>
        </w:numPr>
        <w:spacing w:after="60"/>
      </w:pPr>
      <w:r>
        <w:rPr>
          <w:b w:val="false"/>
          <w:bCs w:val="false"/>
          <w:sz w:val="22"/>
          <w:szCs w:val="22"/>
        </w:rPr>
        <w:t xml:space="preserve">Registo dos prompts utilizados (diário de auditoria).</w:t>
      </w:r>
    </w:p>
    <w:p>
      <w:pPr>
        <w:pStyle w:val="Heading1"/>
        <w:spacing w:after="120" w:before="280"/>
      </w:pPr>
      <w:r>
        <w:t xml:space="preserve">5. Critérios de sucesso</w:t>
      </w:r>
    </w:p>
    <w:p>
      <w:pPr>
        <w:pStyle w:val="ListParagraph"/>
        <w:numPr>
          <w:ilvl w:val="0"/>
          <w:numId w:val="6"/>
        </w:numPr>
        <w:spacing w:after="60"/>
      </w:pPr>
      <w:r>
        <w:rPr>
          <w:b w:val="false"/>
          <w:bCs w:val="false"/>
          <w:sz w:val="22"/>
          <w:szCs w:val="22"/>
        </w:rPr>
        <w:t xml:space="preserve">Fase A: pelo menos 5 dos problemas do CE identificados, com correção adequada;</w:t>
      </w:r>
    </w:p>
    <w:p>
      <w:pPr>
        <w:pStyle w:val="ListParagraph"/>
        <w:numPr>
          <w:ilvl w:val="0"/>
          <w:numId w:val="6"/>
        </w:numPr>
        <w:spacing w:after="60"/>
      </w:pPr>
      <w:r>
        <w:rPr>
          <w:b w:val="false"/>
          <w:bCs w:val="false"/>
          <w:sz w:val="22"/>
          <w:szCs w:val="22"/>
        </w:rPr>
        <w:t xml:space="preserve">Fase B: tratamento correto de cada proposta — exclusão só onde há fundamento legal; esclarecimentos e justificação de preço onde é esse o caminho; indício de concertação sinalizado sem juízos definitivos;</w:t>
      </w:r>
    </w:p>
    <w:p>
      <w:pPr>
        <w:pStyle w:val="ListParagraph"/>
        <w:numPr>
          <w:ilvl w:val="0"/>
          <w:numId w:val="6"/>
        </w:numPr>
        <w:spacing w:after="60"/>
      </w:pPr>
      <w:r>
        <w:rPr>
          <w:b w:val="false"/>
          <w:bCs w:val="false"/>
          <w:sz w:val="22"/>
          <w:szCs w:val="22"/>
        </w:rPr>
        <w:t xml:space="preserve">Erro da grelha do júri encontrado e corrigido com os cálculos demonstrados;</w:t>
      </w:r>
    </w:p>
    <w:p>
      <w:pPr>
        <w:pStyle w:val="ListParagraph"/>
        <w:numPr>
          <w:ilvl w:val="0"/>
          <w:numId w:val="6"/>
        </w:numPr>
        <w:spacing w:after="60"/>
      </w:pPr>
      <w:r>
        <w:rPr>
          <w:b w:val="false"/>
          <w:bCs w:val="false"/>
          <w:sz w:val="22"/>
          <w:szCs w:val="22"/>
        </w:rPr>
        <w:t xml:space="preserve">Fase C: relatórios com estrutura legal correta e fundamentação específica (não genérica); pronúncia apreciada pelo mérito, não pela forma;</w:t>
      </w:r>
    </w:p>
    <w:p>
      <w:pPr>
        <w:pStyle w:val="ListParagraph"/>
        <w:numPr>
          <w:ilvl w:val="0"/>
          <w:numId w:val="6"/>
        </w:numPr>
        <w:spacing w:after="60"/>
      </w:pPr>
      <w:r>
        <w:rPr>
          <w:b w:val="false"/>
          <w:bCs w:val="false"/>
          <w:sz w:val="22"/>
          <w:szCs w:val="22"/>
        </w:rPr>
        <w:t xml:space="preserve">Em nenhum documento a IA aparece como decisor — a linguagem é sempre «o júri propõe», «o órgão competente decide».</w:t>
      </w:r>
    </w:p>
    <w:p>
      <w:pPr>
        <w:pStyle w:val="Heading1"/>
        <w:spacing w:after="120" w:before="280"/>
      </w:pPr>
      <w:r>
        <w:t xml:space="preserve">6. Regras de utilização do Copilot neste exercício</w:t>
      </w:r>
    </w:p>
    <w:p>
      <w:pPr>
        <w:pStyle w:val="ListParagraph"/>
        <w:numPr>
          <w:ilvl w:val="0"/>
          <w:numId w:val="6"/>
        </w:numPr>
        <w:spacing w:after="60"/>
      </w:pPr>
      <w:r>
        <w:rPr>
          <w:b w:val="false"/>
          <w:bCs w:val="false"/>
          <w:sz w:val="22"/>
          <w:szCs w:val="22"/>
        </w:rPr>
        <w:t xml:space="preserve">As propostas de concorrentes são documentos confidenciais até à adjudicação: em contexto real, só podem ser tratadas no ambiente Microsoft 365 licenciado da entidade — nunca em ferramentas públicas;</w:t>
      </w:r>
    </w:p>
    <w:p>
      <w:pPr>
        <w:pStyle w:val="ListParagraph"/>
        <w:numPr>
          <w:ilvl w:val="0"/>
          <w:numId w:val="6"/>
        </w:numPr>
        <w:spacing w:after="60"/>
      </w:pPr>
      <w:r>
        <w:rPr>
          <w:b w:val="false"/>
          <w:bCs w:val="false"/>
          <w:sz w:val="22"/>
          <w:szCs w:val="22"/>
        </w:rPr>
        <w:t xml:space="preserve">Princípios da concorrência, igualdade de tratamento e transparência aplicam-se também ao uso da IA: os mesmos prompts e o mesmo escrutínio para todas as propostas;</w:t>
      </w:r>
    </w:p>
    <w:p>
      <w:pPr>
        <w:pStyle w:val="ListParagraph"/>
        <w:numPr>
          <w:ilvl w:val="0"/>
          <w:numId w:val="6"/>
        </w:numPr>
        <w:spacing w:after="60"/>
      </w:pPr>
      <w:r>
        <w:rPr>
          <w:b w:val="false"/>
          <w:bCs w:val="false"/>
          <w:sz w:val="22"/>
          <w:szCs w:val="22"/>
        </w:rPr>
        <w:t xml:space="preserve">A IA pode errar em matéria jurídica: toda a base legal citada pelo Copilot deve ser confirmada na versão consolidada do CCP;</w:t>
      </w:r>
    </w:p>
    <w:p>
      <w:pPr>
        <w:pStyle w:val="ListParagraph"/>
        <w:numPr>
          <w:ilvl w:val="0"/>
          <w:numId w:val="6"/>
        </w:numPr>
        <w:spacing w:after="60"/>
      </w:pPr>
      <w:r>
        <w:rPr>
          <w:b w:val="false"/>
          <w:bCs w:val="false"/>
          <w:sz w:val="22"/>
          <w:szCs w:val="22"/>
        </w:rPr>
        <w:t xml:space="preserve">A decisão de adjudicação nunca pode assentar exclusivamente em tratamento automatizado — o júri analisa, o órgão decide.</w:t>
      </w:r>
    </w:p>
    <w:p>
      <w:pPr>
        <w:spacing w:after="120"/>
      </w:pPr>
      <w:r>
        <w:rPr>
          <w:i/>
          <w:iCs/>
          <w:color w:val="555555"/>
          <w:sz w:val="18"/>
          <w:szCs w:val="18"/>
        </w:rPr>
        <w:t xml:space="preserve">Referências legais: Código dos Contratos Públicos (CCP), aprovado pelo Decreto-Lei n.º 18/2008, de 29 de janeiro (ao abrigo da autorização legislativa da Lei n.º 6/2007, de 2 de fevereiro), republicado pelo DL n.º 111-B/2017, de 31 de agosto, com última alteração pelo DL n.º 112/2025, de 23 de outubro. Confirmar sempre a versão consolidada no Diário da República.</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6"/>
        <w:szCs w:val="16"/>
      </w:rPr>
      <w:t xml:space="preserve">Sessão 11 — Enunciado (dados fictícios) — Página </w:t>
    </w:r>
    <w:r>
      <w:rPr>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abstractNum w:abstractNumId="7" w15:restartNumberingAfterBreak="0">
    <w:multiLevelType w:val="hybridMultilevel"/>
    <w:lvl w:ilvl="0" w15:tentative="1">
      <w:start w:val="1"/>
      <w:numFmt w:val="decimal"/>
      <w:lvlText w:val="%1."/>
      <w:lvlJc w:val="left"/>
      <w:pPr>
        <w:ind w:left="720" w:hanging="360"/>
      </w:pPr>
    </w:lvl>
  </w:abstractNum>
  <w:abstractNum w:abstractNumId="8" w15:restartNumberingAfterBreak="0">
    <w:multiLevelType w:val="hybridMultilevel"/>
    <w:lvl w:ilvl="0" w15:tentative="1">
      <w:start w:val="1"/>
      <w:numFmt w:val="decimal"/>
      <w:lvlText w:val="%1."/>
      <w:lvlJc w:val="left"/>
      <w:pPr>
        <w:ind w:left="720" w:hanging="360"/>
      </w:pPr>
    </w:lvl>
  </w:abstractNum>
  <w:abstractNum w:abstractNumId="9" w15:restartNumberingAfterBreak="0">
    <w:multiLevelType w:val="hybridMultilevel"/>
    <w:lvl w:ilvl="0" w15:tentative="1">
      <w:start w:val="1"/>
      <w:numFmt w:val="decimal"/>
      <w:lvlText w:val="%1."/>
      <w:lvlJc w:val="left"/>
      <w:pPr>
        <w:ind w:left="720" w:hanging="360"/>
      </w:pPr>
    </w:lvl>
  </w:abstractNum>
  <w:abstractNum w:abstractNumId="10" w15:restartNumberingAfterBreak="0">
    <w:multiLevelType w:val="hybridMultilevel"/>
    <w:lvl w:ilvl="0" w15:tentative="1">
      <w:start w:val="1"/>
      <w:numFmt w:val="decimal"/>
      <w:lvlText w:val="%1."/>
      <w:lvlJc w:val="left"/>
      <w:pPr>
        <w:ind w:left="720" w:hanging="360"/>
      </w:pPr>
    </w:lvl>
  </w:abstractNum>
  <w:abstractNum w:abstractNumId="11" w15:restartNumberingAfterBreak="0">
    <w:multiLevelType w:val="hybridMultilevel"/>
    <w:lvl w:ilvl="0" w15:tentative="1">
      <w:start w:val="1"/>
      <w:numFmt w:val="decimal"/>
      <w:lvlText w:val="%1."/>
      <w:lvlJc w:val="left"/>
      <w:pPr>
        <w:ind w:left="720" w:hanging="360"/>
      </w:pPr>
    </w:lvl>
  </w:abstractNum>
  <w:abstractNum w:abstractNumId="12" w15:restartNumberingAfterBreak="0">
    <w:multiLevelType w:val="hybridMultilevel"/>
    <w:lvl w:ilvl="0" w15:tentative="1">
      <w:start w:val="1"/>
      <w:numFmt w:val="decimal"/>
      <w:lvlText w:val="%1."/>
      <w:lvlJc w:val="left"/>
      <w:pPr>
        <w:ind w:left="720" w:hanging="360"/>
      </w:pPr>
    </w:lvl>
  </w:abstractNum>
  <w:abstractNum w:abstractNumId="13" w15:restartNumberingAfterBreak="0">
    <w:multiLevelType w:val="hybridMultilevel"/>
    <w:lvl w:ilvl="0" w15:tentative="1">
      <w:start w:val="1"/>
      <w:numFmt w:val="decimal"/>
      <w:lvlText w:val="%1."/>
      <w:lvlJc w:val="left"/>
      <w:pPr>
        <w:ind w:left="720" w:hanging="360"/>
      </w:pPr>
    </w:lvl>
  </w:abstractNum>
  <w:abstractNum w:abstractNumId="14" w15:restartNumberingAfterBreak="0">
    <w:multiLevelType w:val="hybridMultilevel"/>
    <w:lvl w:ilvl="0" w15:tentative="1">
      <w:start w:val="1"/>
      <w:numFmt w:val="decimal"/>
      <w:lvlText w:val="%1."/>
      <w:lvlJc w:val="left"/>
      <w:pPr>
        <w:ind w:left="720" w:hanging="360"/>
      </w:pPr>
    </w:lvl>
  </w:abstractNum>
  <w:abstractNum w:abstractNumId="15" w15:restartNumberingAfterBreak="0">
    <w:multiLevelType w:val="hybridMultilevel"/>
    <w:lvl w:ilvl="0" w15:tentative="1">
      <w:start w:val="1"/>
      <w:numFmt w:val="decimal"/>
      <w:lvlText w:val="%1."/>
      <w:lvlJc w:val="left"/>
      <w:pPr>
        <w:ind w:left="720" w:hanging="360"/>
      </w:pPr>
    </w:lvl>
  </w:abstractNum>
  <w:abstractNum w:abstractNumId="16"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4"/>
    <w:lvlOverride w:ilvl="0">
      <w:startOverride w:val="1"/>
    </w:lvlOverride>
  </w:num>
  <w:num w:numId="4">
    <w:abstractNumId w:val="5"/>
    <w:lvlOverride w:ilvl="0">
      <w:startOverride w:val="1"/>
    </w:lvlOverride>
  </w:num>
  <w:num w:numId="5">
    <w:abstractNumId w:val="6"/>
    <w:lvlOverride w:ilvl="0">
      <w:startOverride w:val="1"/>
    </w:lvlOverride>
  </w:num>
  <w:num w:numId="6">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80"/>
      <w:outlineLvl w:val="0"/>
    </w:pPr>
    <w:rPr>
      <w:rFonts w:ascii="Arial" w:cs="Arial" w:eastAsia="Arial" w:hAnsi="Arial"/>
      <w:b/>
      <w:bCs/>
      <w:color w:val="1F4E79"/>
      <w:sz w:val="26"/>
      <w:szCs w:val="26"/>
    </w:rPr>
  </w:style>
  <w:style w:type="paragraph" w:styleId="Heading2">
    <w:name w:val="Heading 2"/>
    <w:basedOn w:val="Normal"/>
    <w:next w:val="Normal"/>
    <w:qFormat/>
    <w:pPr>
      <w:spacing w:after="100" w:before="200"/>
      <w:outlineLvl w:val="1"/>
    </w:pPr>
    <w:rPr>
      <w:rFonts w:ascii="Arial" w:cs="Arial" w:eastAsia="Arial" w:hAnsi="Arial"/>
      <w:b/>
      <w:bCs/>
      <w:color w:val="2E75B6"/>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2026-07-03T15:46:12.220Z</dcterms:created>
  <dcterms:modified xsi:type="dcterms:W3CDTF">2026-07-03T15:46:12.235Z</dcterms:modified>
</cp:coreProperties>
</file>

<file path=docProps/custom.xml><?xml version="1.0" encoding="utf-8"?>
<Properties xmlns="http://schemas.openxmlformats.org/officeDocument/2006/custom-properties" xmlns:vt="http://schemas.openxmlformats.org/officeDocument/2006/docPropsVTypes"/>
</file>