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Questões e Prompts — Sessão 11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Análise documental para contratação pública · Para cada questão: o problema e o prompt pronto a usar · Documento fictício, criado exclusivamente para fins de formação. Todos os nomes, entidades e dados são inventados.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Como usar:</w:t>
      </w:r>
      <w:r>
        <w:rPr>
          <w:b w:val="false"/>
          <w:bCs w:val="false"/>
          <w:sz w:val="22"/>
          <w:szCs w:val="22"/>
        </w:rPr>
        <w:t xml:space="preserve"> siga as fases pela ordem. Regra de ouro desta sessão: o Copilot compara, verifica e redige rascunhos; </w:t>
      </w:r>
      <w:r>
        <w:rPr>
          <w:b/>
          <w:bCs/>
          <w:sz w:val="22"/>
          <w:szCs w:val="22"/>
        </w:rPr>
        <w:t xml:space="preserve">a avaliação é do júri e a adjudicação é do órgão competente</w:t>
      </w:r>
      <w:r>
        <w:rPr>
          <w:b w:val="false"/>
          <w:bCs w:val="false"/>
          <w:sz w:val="22"/>
          <w:szCs w:val="22"/>
        </w:rPr>
        <w:t xml:space="preserve">. Confirme toda a base legal na versão consolidada do CCP. Registe os prompts usados.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Referências legais: CCP, aprovado pelo DL n.º 18/2008, de 29 de janeiro (autorização legislativa: Lei n.º 6/2007, de 2 de fevereiro), republicado pelo DL n.º 111-B/2017, última alteração pelo DL n.º 112/2025. Confirmar sempre a versão consolidada no Diário da República.</w:t>
      </w:r>
    </w:p>
    <w:p>
      <w:pPr>
        <w:pStyle w:val="Heading1"/>
        <w:spacing w:after="120" w:before="280"/>
      </w:pPr>
      <w:r>
        <w:t xml:space="preserve">Fase A — Rever o caderno de encargos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Objetivo: apanhar os seis problemas do rascunho antes que virem impugnações — e perceber a diferença entre ilegalidade, contradição e má redação.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1. Problema / objetivo:</w:t>
      </w:r>
      <w:r>
        <w:rPr>
          <w:b w:val="false"/>
          <w:bCs w:val="false"/>
          <w:sz w:val="22"/>
          <w:szCs w:val="22"/>
        </w:rPr>
        <w:t xml:space="preserve"> Detetar tudo o que está mal no rascunho do caderno de encargos.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Estás a apoiar os serviços de contratação pública de uma universidade. Analisa este rascunho de caderno de encargos para a aquisição de 60 portáteis e identifica todas as cláusulas problemáticas à luz do Código dos Contratos Públicos português: especificações que referem marcas (art. 49.º), critérios de apreciação vagos, contradições entre cláusulas, requisitos que restringem ilegalmente a concorrência e omissões essenciais. Apresenta em tabela: cláusula, problema, gravidade, base legal.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2. Problema / objetivo:</w:t>
      </w:r>
      <w:r>
        <w:rPr>
          <w:b w:val="false"/>
          <w:bCs w:val="false"/>
          <w:sz w:val="22"/>
          <w:szCs w:val="22"/>
        </w:rPr>
        <w:t xml:space="preserve"> Distinguir ilegalidade de defeito de qualidade — nem tudo tem o mesmo peso.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Classifica cada problema identificado no caderno de encargos em três categorias: (a) ilegalidade provável com risco de impugnação; (b) defeito que torna o procedimento inavaliável ou contraditório; (c) defeito de qualidade/clareza. Justifica cada classificação.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3. Problema / objetivo:</w:t>
      </w:r>
      <w:r>
        <w:rPr>
          <w:b w:val="false"/>
          <w:bCs w:val="false"/>
          <w:sz w:val="22"/>
          <w:szCs w:val="22"/>
        </w:rPr>
        <w:t xml:space="preserve"> Corrigir as cláusulas problemáticas mantendo a intenção dos serviços.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Reescreve as cláusulas problemáticas do caderno de encargos em versão conforme ao CCP: especificações funcionais sem marcas (com requisitos mínimos quantificados: ecrã ≥ 15,6" FHD, garantia ≥ 36 meses on-site), prazo único e coerente, sem restrições territoriais, e remete o critério de adjudicação para o modelo de avaliação do programa (art. 139.º).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4. Problema / objetivo:</w:t>
      </w:r>
      <w:r>
        <w:rPr>
          <w:b w:val="false"/>
          <w:bCs w:val="false"/>
          <w:sz w:val="22"/>
          <w:szCs w:val="22"/>
        </w:rPr>
        <w:t xml:space="preserve"> Criar o instrumento reutilizável: checklist de verificação de peças.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Cria uma checklist de verificação de cadernos de encargos e programas de procedimento antes da publicação, com 10 a 12 pontos, em tabela: ponto de controlo, base legal (CCP), sim/não, observações.</w:t>
      </w:r>
    </w:p>
    <w:p>
      <w:pPr>
        <w:pStyle w:val="Heading1"/>
        <w:spacing w:after="120" w:before="280"/>
      </w:pPr>
      <w:r>
        <w:t xml:space="preserve">Fase B — Analisar as propostas e verificar o júri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Objetivo: o coração da sessão. Quatro propostas, quatro situações jurídicas diferentes — e uma grelha de pontuação que precisa de auditoria. Exclusão, esclarecimento e justificação de preço não são sinónimos.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1. Problema / objetivo:</w:t>
      </w:r>
      <w:r>
        <w:rPr>
          <w:b w:val="false"/>
          <w:bCs w:val="false"/>
          <w:sz w:val="22"/>
          <w:szCs w:val="22"/>
        </w:rPr>
        <w:t xml:space="preserve"> Verificar a conformidade de cada proposta com os requisitos mínimos.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Compara cada uma das 4 propostas com os requisitos mínimos do caderno de encargos corrigido (processador ≥ 8 núcleos, 16 GB RAM, SSD 512 GB, ecrã ≥ 15,6" FHD, garantia ≥ 36 meses on-site, entrega ≤ 45 dias) e com a lista de documentos exigidos no programa. Apresenta em tabela: concorrente, requisito, cumpre/não cumpre/em falta, evidência (citação da proposta).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2. Problema / objetivo:</w:t>
      </w:r>
      <w:r>
        <w:rPr>
          <w:b w:val="false"/>
          <w:bCs w:val="false"/>
          <w:sz w:val="22"/>
          <w:szCs w:val="22"/>
        </w:rPr>
        <w:t xml:space="preserve"> Aplicar o tratamento certo a cada problema — a competência central da sessão.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Para cada desconformidade encontrada, indica o tratamento correto nos termos do CCP: exclusão (art. 70.º, n.º 2 — indica a alínea), pedido de esclarecimentos (art. 72.º) ou pedido de justificação de preço anormalmente baixo (art. 71.º). Atenção: preço baixo não é fundamento de exclusão automática, e nem toda a falta de documento é suprível. Justifica cada escolha.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3. Problema / objetivo:</w:t>
      </w:r>
      <w:r>
        <w:rPr>
          <w:b w:val="false"/>
          <w:bCs w:val="false"/>
          <w:sz w:val="22"/>
          <w:szCs w:val="22"/>
        </w:rPr>
        <w:t xml:space="preserve"> Verificar os números — o Excel não mente, mas as propostas às vezes sim.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Verifica os mapas de preços das quatro propostas: confirma se preço unitário × quantidade = preço total em todas, se os totais coincidem com os valores declarados nas propostas em Word, e se algum preço fica abaixo do limiar de preço anormalmente baixo definido no programa (46 200 EUR). Mostra os cálculos e indica a regra aplicável a divergências (prevalece o unitário).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4. Problema / objetivo:</w:t>
      </w:r>
      <w:r>
        <w:rPr>
          <w:b w:val="false"/>
          <w:bCs w:val="false"/>
          <w:sz w:val="22"/>
          <w:szCs w:val="22"/>
        </w:rPr>
        <w:t xml:space="preserve"> Procurar o que ninguém procura: semelhanças textuais entre concorrentes.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Compara as memórias descritivas das quatro propostas e identifica frases ou parágrafos textualmente idênticos ou muito semelhantes entre concorrentes diferentes. Transcreve os textos coincidentes e indica em que propostas aparecem. Nota: trata-se de sinalizar um indício para apreciação do júri (art. 70.º, n.º 2, al. g)), não de concluir pela existência de concertação.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5. Problema / objetivo:</w:t>
      </w:r>
      <w:r>
        <w:rPr>
          <w:b w:val="false"/>
          <w:bCs w:val="false"/>
          <w:sz w:val="22"/>
          <w:szCs w:val="22"/>
        </w:rPr>
        <w:t xml:space="preserve"> Recalcular a grelha do júri — confiar, mas verificar.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Aplica o modelo de avaliação do programa [Preço: 60×(66000−P)/19800, máx. 60; Prazo: ≤30d=20, 31–45d=10; Garantia: 36m=0, 48m=10, ≥60m=20] às propostas admissíveis e compara os teus resultados com a grelha preliminar do júri. Identifica qualquer divergência, mostra o cálculo correto e avalia se o erro altera a ordenação.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6. Problema / objetivo:</w:t>
      </w:r>
      <w:r>
        <w:rPr>
          <w:b w:val="false"/>
          <w:bCs w:val="false"/>
          <w:sz w:val="22"/>
          <w:szCs w:val="22"/>
        </w:rPr>
        <w:t xml:space="preserve"> Sintetizar a Fase B num quadro de decisão para o júri.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Cria o quadro-síntese da análise: concorrente, situação proposta (admitir / excluir / pedir justificação / pedir esclarecimentos), base legal, pontuação (se admitida) e observações. É este quadro que alimenta o relatório preliminar.</w:t>
      </w:r>
    </w:p>
    <w:p>
      <w:pPr>
        <w:pStyle w:val="Heading1"/>
        <w:spacing w:after="120" w:before="280"/>
      </w:pPr>
      <w:r>
        <w:t xml:space="preserve">Fase C — Relatórios e audiência prévia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Objetivo: transformar a análise em atos formais — relatório preliminar, apreciação crítica da pronúncia (twist) e relatório final com proposta de adjudicação.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1. Problema / objetivo:</w:t>
      </w:r>
      <w:r>
        <w:rPr>
          <w:b w:val="false"/>
          <w:bCs w:val="false"/>
          <w:sz w:val="22"/>
          <w:szCs w:val="22"/>
        </w:rPr>
        <w:t xml:space="preserve"> Redigir o relatório preliminar com a estrutura do art. 146.º.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a minuta do relatório preliminar do júri (art. 146.º do CCP) do concurso CP/07/2026: identificação do procedimento e do júri; análise de cada proposta; propostas de exclusão fundamentadas com as alíneas aplicáveis do art. 70.º, n.º 2; referência ao pedido de justificação de preço (art. 71.º) e à apreciação da resposta; ordenação das propostas admitidas com as pontuações; e indicação da audiência prévia (art. 147.º). Linguagem institucional; o júri propõe, não decide.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2. Problema / objetivo:</w:t>
      </w:r>
      <w:r>
        <w:rPr>
          <w:b w:val="false"/>
          <w:bCs w:val="false"/>
          <w:sz w:val="22"/>
          <w:szCs w:val="22"/>
        </w:rPr>
        <w:t xml:space="preserve"> Apreciar a pronúncia recebida em audiência prévia — pelo mérito, não pela forma.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Analisa esta pronúncia apresentada em audiência prévia pelo concorrente cuja exclusão foi proposta. A justificação de preço apresentada contém elementos objetivos e verificáveis (condições de fornecimento, acordos, soluções técnicas — art. 71.º, n.º 3) ou apenas afirmações genéricas? Elabora a apreciação ponto por ponto, indicando para cada argumento se procede ou não, e conclui com proposta fundamentada.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3. Problema / objetivo:</w:t>
      </w:r>
      <w:r>
        <w:rPr>
          <w:b w:val="false"/>
          <w:bCs w:val="false"/>
          <w:sz w:val="22"/>
          <w:szCs w:val="22"/>
        </w:rPr>
        <w:t xml:space="preserve"> Redigir o relatório final (art. 148.º) e fechar o ciclo.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a minuta do relatório final do júri (art. 148.º): resposta fundamentada à pronúncia recebida, manutenção ou alteração do relatório preliminar, ordenação final e proposta de adjudicação ao órgão competente. Inclui a nota de que a decisão de adjudicação e a aprovação da minuta do contrato competem ao órgão com competência para a decisão de contratar.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4. Problema / objetivo:</w:t>
      </w:r>
      <w:r>
        <w:rPr>
          <w:b w:val="false"/>
          <w:bCs w:val="false"/>
          <w:sz w:val="22"/>
          <w:szCs w:val="22"/>
        </w:rPr>
        <w:t xml:space="preserve"> Preparar as notificações — a mesma decisão, três destinatários diferentes.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as minutas de notificação: (a) ao adjudicatário proposto, com os passos seguintes (documentos de habilitação, art. 81.º); (b) aos concorrentes excluídos, com os fundamentos e a menção às garantias de impugnação; (c) nota interna ao órgão competente com o processo para decisão. Tom institucional, factual, sem linguagem que sugira decisão já tomada pela IA ou pelo júri.</w:t>
      </w:r>
    </w:p>
    <w:p>
      <w:pPr>
        <w:pStyle w:val="Heading1"/>
        <w:spacing w:after="120" w:before="280"/>
      </w:pPr>
      <w:r>
        <w:t xml:space="preserve">Boas práticas específicas desta 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Igualdade de tratamento</w:t>
      </w:r>
      <w:r>
        <w:rPr>
          <w:b w:val="false"/>
          <w:bCs w:val="false"/>
          <w:sz w:val="22"/>
          <w:szCs w:val="22"/>
        </w:rPr>
        <w:t xml:space="preserve">: os mesmos prompts e o mesmo grau de escrutínio para todas as propostas;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Base legal verificada</w:t>
      </w:r>
      <w:r>
        <w:rPr>
          <w:b w:val="false"/>
          <w:bCs w:val="false"/>
          <w:sz w:val="22"/>
          <w:szCs w:val="22"/>
        </w:rPr>
        <w:t xml:space="preserve">: nunca transcrever um artigo citado pelo Copilot sem confirmar na versão consolidada;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Preço baixo ≠ exclusão</w:t>
      </w:r>
      <w:r>
        <w:rPr>
          <w:b w:val="false"/>
          <w:bCs w:val="false"/>
          <w:sz w:val="22"/>
          <w:szCs w:val="22"/>
        </w:rPr>
        <w:t xml:space="preserve">: o reflexo «é barato demais, exclui-se» é o erro clássico — o art. 71.º impõe o contraditório;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Números conferidos</w:t>
      </w:r>
      <w:r>
        <w:rPr>
          <w:b w:val="false"/>
          <w:bCs w:val="false"/>
          <w:sz w:val="22"/>
          <w:szCs w:val="22"/>
        </w:rPr>
        <w:t xml:space="preserve">: todos os cálculos da grelha refeitos em Excel, não confiados à memória do modelo;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Confidencialidade</w:t>
      </w:r>
      <w:r>
        <w:rPr>
          <w:b w:val="false"/>
          <w:bCs w:val="false"/>
          <w:sz w:val="22"/>
          <w:szCs w:val="22"/>
        </w:rPr>
        <w:t xml:space="preserve">: propostas de concorrentes nunca saem do ambiente M365 da entidade;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 IA não adjudica</w:t>
      </w:r>
      <w:r>
        <w:rPr>
          <w:b w:val="false"/>
          <w:bCs w:val="false"/>
          <w:sz w:val="22"/>
          <w:szCs w:val="22"/>
        </w:rPr>
        <w:t xml:space="preserve">: rankings do Copilot são instrumentos de trabalho do júri, nunca «a decisão».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11 — Questões e prompts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2026-07-03T15:49:17.947Z</dcterms:created>
  <dcterms:modified xsi:type="dcterms:W3CDTF">2026-07-03T15:49:17.951Z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