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00e369bf9fed2570e3e3f80f8d85c6df103175"/>
    <w:p>
      <w:pPr>
        <w:pStyle w:val="Heading1"/>
      </w:pPr>
      <w:r>
        <w:t xml:space="preserve">Dossier · Documentos para sumarização e reformulação</w:t>
      </w:r>
    </w:p>
    <w:bookmarkStart w:id="9" w:name="universidade-de-vale-verde-uvv"/>
    <w:p>
      <w:pPr>
        <w:pStyle w:val="Heading2"/>
      </w:pPr>
      <w:r>
        <w:t xml:space="preserve">Universidade de Vale Verde (UVV)</w:t>
      </w:r>
    </w:p>
    <w:p>
      <w:pPr>
        <w:pStyle w:val="BlockText"/>
      </w:pPr>
      <w:r>
        <w:rPr>
          <w:b/>
          <w:bCs/>
        </w:rPr>
        <w:t xml:space="preserve">Documentos fictícios</w:t>
      </w:r>
      <w:r>
        <w:t xml:space="preserve"> </w:t>
      </w:r>
      <w:r>
        <w:t xml:space="preserve">produzidos para fins exclusivamente pedagógicos no âmbito da Formação ANFUP "IA — Aplicações ao trabalho das IES" (Sessão 4). Os artigos, pareceres e regulamentos aqui apresentados não correspondem a documentos reais — embora estejam redigidos no estilo e densidade que se encontra em IES portuguesas. A jurisprudência e a legislação citadas são reais.</w:t>
      </w:r>
    </w:p>
    <w:p>
      <w:pPr>
        <w:pStyle w:val="FirstParagraph"/>
      </w:pPr>
      <w:r>
        <w:t xml:space="preserve">Este dossier contém</w:t>
      </w:r>
      <w:r>
        <w:t xml:space="preserve"> </w:t>
      </w:r>
      <w:r>
        <w:rPr>
          <w:b/>
          <w:bCs/>
        </w:rPr>
        <w:t xml:space="preserve">dois documentos</w:t>
      </w:r>
      <w:r>
        <w:t xml:space="preserve"> </w:t>
      </w:r>
      <w:r>
        <w:t xml:space="preserve">que serão trabalhados na Sessão 4: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DOC-A</w:t>
      </w:r>
      <w:r>
        <w:t xml:space="preserve"> </w:t>
      </w:r>
      <w:r>
        <w:t xml:space="preserve">— Regulamento de Avaliação dos Mestrados da UVV (excerto) — para</w:t>
      </w:r>
      <w:r>
        <w:t xml:space="preserve"> </w:t>
      </w:r>
      <w:r>
        <w:rPr>
          <w:b/>
          <w:bCs/>
        </w:rPr>
        <w:t xml:space="preserve">sumarização</w:t>
      </w:r>
      <w:r>
        <w:t xml:space="preserve"> </w:t>
      </w:r>
      <w:r>
        <w:t xml:space="preserve">(exercício guiado)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DOC-B</w:t>
      </w:r>
      <w:r>
        <w:t xml:space="preserve"> </w:t>
      </w:r>
      <w:r>
        <w:t xml:space="preserve">— Parecer jurídico sobre prescrição de propinas em atraso — para</w:t>
      </w:r>
      <w:r>
        <w:t xml:space="preserve"> </w:t>
      </w:r>
      <w:r>
        <w:rPr>
          <w:b/>
          <w:bCs/>
        </w:rPr>
        <w:t xml:space="preserve">reformulação em linguagem clara</w:t>
      </w:r>
      <w:r>
        <w:t xml:space="preserve"> </w:t>
      </w:r>
      <w:r>
        <w:t xml:space="preserve">(aplicação livre)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0" w:name="Xde6812f65e2087a74c50db94a744957feb2de0a"/>
    <w:p>
      <w:pPr>
        <w:pStyle w:val="Heading1"/>
      </w:pPr>
      <w:r>
        <w:t xml:space="preserve">DOC-A — Regulamento de Avaliação dos Mestrados da UVV</w:t>
      </w:r>
    </w:p>
    <w:p>
      <w:pPr>
        <w:pStyle w:val="FirstParagraph"/>
      </w:pPr>
      <w:r>
        <w:rPr>
          <w:b/>
          <w:bCs/>
        </w:rPr>
        <w:t xml:space="preserve">Aprovado em reunião do Conselho Académico de 14-09-2024 · Despacho Reitoral n.º 87/2024 · Em vigor desde 01-10-2024.</w:t>
      </w:r>
    </w:p>
    <w:bookmarkStart w:id="13" w:name="capítulo-i--disposições-gerais"/>
    <w:p>
      <w:pPr>
        <w:pStyle w:val="Heading2"/>
      </w:pPr>
      <w:r>
        <w:t xml:space="preserve">Capítulo I — Disposições gerais</w:t>
      </w:r>
    </w:p>
    <w:bookmarkStart w:id="11" w:name="artigo-1º--objeto"/>
    <w:p>
      <w:pPr>
        <w:pStyle w:val="Heading3"/>
      </w:pPr>
      <w:r>
        <w:t xml:space="preserve">Artigo 1.º — Objeto</w:t>
      </w:r>
    </w:p>
    <w:p>
      <w:pPr>
        <w:pStyle w:val="FirstParagraph"/>
      </w:pPr>
      <w:r>
        <w:t xml:space="preserve">O presente regulamento estabelece o regime jurídico aplicável à avaliação dos resultados da aprendizagem nas unidades curriculares dos cursos de mestrado conferentes de grau ministrados pela Universidade de Vale Verde (UVV), em conformidade com o Regime Jurídico dos Graus e Diplomas do Ensino Superior (Decreto-Lei n.º 74/2006, de 24 de março, na redação atual, republicado pelo Decreto-Lei n.º 65/2018, de 16 de agosto) e com os Estatutos da UVV.</w:t>
      </w:r>
    </w:p>
    <w:bookmarkEnd w:id="11"/>
    <w:bookmarkStart w:id="12" w:name="artigo-2º--âmbito"/>
    <w:p>
      <w:pPr>
        <w:pStyle w:val="Heading3"/>
      </w:pPr>
      <w:r>
        <w:t xml:space="preserve">Artigo 2.º — Âmbito</w:t>
      </w:r>
    </w:p>
    <w:p>
      <w:pPr>
        <w:pStyle w:val="FirstParagraph"/>
      </w:pPr>
      <w:r>
        <w:t xml:space="preserve">O presente regulamento aplica-se a todas as unidades curriculares dos ciclos de estudos conducentes ao grau de mestre, bem como aos mestrados integrados, com exceção das unidades curriculares correspondentes a dissertação, projeto ou estágio com relatório, cujo regime de avaliação é fixado em regulamento próprio.</w:t>
      </w:r>
    </w:p>
    <w:bookmarkEnd w:id="12"/>
    <w:bookmarkEnd w:id="13"/>
    <w:bookmarkStart w:id="17" w:name="capítulo-ii--modalidades-de-avaliação"/>
    <w:p>
      <w:pPr>
        <w:pStyle w:val="Heading2"/>
      </w:pPr>
      <w:r>
        <w:t xml:space="preserve">Capítulo II — Modalidades de avaliação</w:t>
      </w:r>
    </w:p>
    <w:bookmarkStart w:id="14" w:name="artigo-3º--avaliação-contínua"/>
    <w:p>
      <w:pPr>
        <w:pStyle w:val="Heading3"/>
      </w:pPr>
      <w:r>
        <w:t xml:space="preserve">Artigo 3.º — Avaliação contínua</w:t>
      </w:r>
    </w:p>
    <w:p>
      <w:pPr>
        <w:pStyle w:val="Compact"/>
        <w:numPr>
          <w:ilvl w:val="0"/>
          <w:numId w:val="1002"/>
        </w:numPr>
      </w:pPr>
      <w:r>
        <w:t xml:space="preserve">A avaliação contínua é a modalidade de avaliação preferencial e implica a realização de</w:t>
      </w:r>
      <w:r>
        <w:t xml:space="preserve"> </w:t>
      </w:r>
      <w:r>
        <w:rPr>
          <w:b/>
          <w:bCs/>
        </w:rPr>
        <w:t xml:space="preserve">três (3) ou mais elementos de avaliação</w:t>
      </w:r>
      <w:r>
        <w:t xml:space="preserve"> </w:t>
      </w:r>
      <w:r>
        <w:t xml:space="preserve">ao longo do semestre, com pesos definidos pela coordenação da unidade curricular e divulgados na ficha da unidade curricular até ao quinto dia útil de cada semestre.</w:t>
      </w:r>
    </w:p>
    <w:p>
      <w:pPr>
        <w:pStyle w:val="Compact"/>
        <w:numPr>
          <w:ilvl w:val="0"/>
          <w:numId w:val="1002"/>
        </w:numPr>
      </w:pPr>
      <w:r>
        <w:t xml:space="preserve">Considera-se aprovado em avaliação contínua o estudante que obtenha classificação final igual ou superior a</w:t>
      </w:r>
      <w:r>
        <w:t xml:space="preserve"> </w:t>
      </w:r>
      <w:r>
        <w:rPr>
          <w:b/>
          <w:bCs/>
        </w:rPr>
        <w:t xml:space="preserve">10 valores</w:t>
      </w:r>
      <w:r>
        <w:t xml:space="preserve"> </w:t>
      </w:r>
      <w:r>
        <w:t xml:space="preserve">(numa escala de 0 a 20), desde que tenha cumprido a assiduidade mínima de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das sessões presenciais.</w:t>
      </w:r>
    </w:p>
    <w:p>
      <w:pPr>
        <w:pStyle w:val="Compact"/>
        <w:numPr>
          <w:ilvl w:val="0"/>
          <w:numId w:val="1002"/>
        </w:numPr>
      </w:pPr>
      <w:r>
        <w:t xml:space="preserve">A não comparência sem justificação a mais de um elemento de avaliação contínua determina a perda do regime de avaliação contínua e a remissão automática para exame final, salvo se o regulamento de unidade curricular dispuser de modo diverso.</w:t>
      </w:r>
    </w:p>
    <w:bookmarkEnd w:id="14"/>
    <w:bookmarkStart w:id="15" w:name="artigo-4º--exame-final"/>
    <w:p>
      <w:pPr>
        <w:pStyle w:val="Heading3"/>
      </w:pPr>
      <w:r>
        <w:t xml:space="preserve">Artigo 4.º — Exame final</w:t>
      </w:r>
    </w:p>
    <w:p>
      <w:pPr>
        <w:pStyle w:val="Compact"/>
        <w:numPr>
          <w:ilvl w:val="0"/>
          <w:numId w:val="1003"/>
        </w:numPr>
      </w:pPr>
      <w:r>
        <w:t xml:space="preserve">Podem inscrever-se em exame final os estudantes que:</w:t>
      </w:r>
      <w:r>
        <w:t xml:space="preserve"> </w:t>
      </w:r>
      <w:r>
        <w:t xml:space="preserve">a) Tenham reprovado em avaliação contínua;</w:t>
      </w:r>
      <w:r>
        <w:t xml:space="preserve"> </w:t>
      </w:r>
      <w:r>
        <w:t xml:space="preserve">b) Tenham desistido da avaliação contínua;</w:t>
      </w:r>
      <w:r>
        <w:t xml:space="preserve"> </w:t>
      </w:r>
      <w:r>
        <w:t xml:space="preserve">c) Estejam abrangidos por estatuto especial e tenham optado por esta modalidade.</w:t>
      </w:r>
    </w:p>
    <w:p>
      <w:pPr>
        <w:pStyle w:val="Compact"/>
        <w:numPr>
          <w:ilvl w:val="0"/>
          <w:numId w:val="1003"/>
        </w:numPr>
      </w:pPr>
      <w:r>
        <w:t xml:space="preserve">O exame final é uma prova escrita única, com duração não inferior a</w:t>
      </w:r>
      <w:r>
        <w:t xml:space="preserve"> </w:t>
      </w:r>
      <w:r>
        <w:rPr>
          <w:b/>
          <w:bCs/>
        </w:rPr>
        <w:t xml:space="preserve">120 minutos</w:t>
      </w:r>
      <w:r>
        <w:t xml:space="preserve">, e tem peso de 100% na classificação final.</w:t>
      </w:r>
    </w:p>
    <w:p>
      <w:pPr>
        <w:pStyle w:val="Compact"/>
        <w:numPr>
          <w:ilvl w:val="0"/>
          <w:numId w:val="1003"/>
        </w:numPr>
      </w:pPr>
      <w:r>
        <w:t xml:space="preserve">Considera-se aprovado em exame final o estudante que obtenha classificação igual ou superior a</w:t>
      </w:r>
      <w:r>
        <w:t xml:space="preserve"> </w:t>
      </w:r>
      <w:r>
        <w:rPr>
          <w:b/>
          <w:bCs/>
        </w:rPr>
        <w:t xml:space="preserve">10 valores</w:t>
      </w:r>
      <w:r>
        <w:t xml:space="preserve">.</w:t>
      </w:r>
    </w:p>
    <w:bookmarkEnd w:id="15"/>
    <w:bookmarkStart w:id="16" w:name="artigo-5º--avaliação-especial"/>
    <w:p>
      <w:pPr>
        <w:pStyle w:val="Heading3"/>
      </w:pPr>
      <w:r>
        <w:t xml:space="preserve">Artigo 5.º — Avaliação especial</w:t>
      </w:r>
    </w:p>
    <w:p>
      <w:pPr>
        <w:pStyle w:val="Compact"/>
        <w:numPr>
          <w:ilvl w:val="0"/>
          <w:numId w:val="1004"/>
        </w:numPr>
      </w:pPr>
      <w:r>
        <w:t xml:space="preserve">Os estudantes com estatuto de</w:t>
      </w:r>
      <w:r>
        <w:t xml:space="preserve"> </w:t>
      </w:r>
      <w:r>
        <w:rPr>
          <w:b/>
          <w:bCs/>
        </w:rPr>
        <w:t xml:space="preserve">trabalhador-estudante</w:t>
      </w:r>
      <w:r>
        <w:t xml:space="preserve">,</w:t>
      </w:r>
      <w:r>
        <w:t xml:space="preserve"> </w:t>
      </w:r>
      <w:r>
        <w:rPr>
          <w:b/>
          <w:bCs/>
        </w:rPr>
        <w:t xml:space="preserve">atleta de alta competição</w:t>
      </w:r>
      <w:r>
        <w:t xml:space="preserve">,</w:t>
      </w:r>
      <w:r>
        <w:t xml:space="preserve"> </w:t>
      </w:r>
      <w:r>
        <w:rPr>
          <w:b/>
          <w:bCs/>
        </w:rPr>
        <w:t xml:space="preserve">dirigente associativo</w:t>
      </w:r>
      <w:r>
        <w:t xml:space="preserve">,</w:t>
      </w:r>
      <w:r>
        <w:t xml:space="preserve"> </w:t>
      </w:r>
      <w:r>
        <w:rPr>
          <w:b/>
          <w:bCs/>
        </w:rPr>
        <w:t xml:space="preserve">alta competência artística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necessidades educativas especiais</w:t>
      </w:r>
      <w:r>
        <w:t xml:space="preserve"> </w:t>
      </w:r>
      <w:r>
        <w:t xml:space="preserve">têm direito a um regime de avaliação especial, que pode incluir:</w:t>
      </w:r>
      <w:r>
        <w:t xml:space="preserve"> </w:t>
      </w:r>
      <w:r>
        <w:t xml:space="preserve">a) Adiamento de elementos de avaliação para data alternativa, comprovada documentalmente a impossibilidade na data original;</w:t>
      </w:r>
      <w:r>
        <w:t xml:space="preserve"> </w:t>
      </w:r>
      <w:r>
        <w:t xml:space="preserve">b) Substituição de avaliação contínua por exame final único, mediante requerimento.</w:t>
      </w:r>
    </w:p>
    <w:p>
      <w:pPr>
        <w:pStyle w:val="Compact"/>
        <w:numPr>
          <w:ilvl w:val="0"/>
          <w:numId w:val="1004"/>
        </w:numPr>
      </w:pPr>
      <w:r>
        <w:t xml:space="preserve">O requerimento de regime especial é apresentado no prazo de</w:t>
      </w:r>
      <w:r>
        <w:t xml:space="preserve"> </w:t>
      </w:r>
      <w:r>
        <w:rPr>
          <w:b/>
          <w:bCs/>
        </w:rPr>
        <w:t xml:space="preserve">15 dias úteis</w:t>
      </w:r>
      <w:r>
        <w:t xml:space="preserve"> </w:t>
      </w:r>
      <w:r>
        <w:t xml:space="preserve">após a divulgação do calendário académico do semestre.</w:t>
      </w:r>
    </w:p>
    <w:bookmarkEnd w:id="16"/>
    <w:bookmarkEnd w:id="17"/>
    <w:bookmarkStart w:id="21" w:name="capítulo-iii--inscrição-em-avaliação"/>
    <w:p>
      <w:pPr>
        <w:pStyle w:val="Heading2"/>
      </w:pPr>
      <w:r>
        <w:t xml:space="preserve">Capítulo III — Inscrição em avaliação</w:t>
      </w:r>
    </w:p>
    <w:bookmarkStart w:id="18" w:name="X85e7fbabea8cbe4ec0f1c00d2bd1a60a9c6198f"/>
    <w:p>
      <w:pPr>
        <w:pStyle w:val="Heading3"/>
      </w:pPr>
      <w:r>
        <w:t xml:space="preserve">Artigo 6.º — Inscrição em avaliação contínua</w:t>
      </w:r>
    </w:p>
    <w:p>
      <w:pPr>
        <w:pStyle w:val="FirstParagraph"/>
      </w:pPr>
      <w:r>
        <w:t xml:space="preserve">A inscrição na avaliação contínua é automática para os estudantes regularmente inscritos na unidade curricular, salvo manifestação expressa em contrário até ao final da segunda semana letiva.</w:t>
      </w:r>
    </w:p>
    <w:bookmarkEnd w:id="18"/>
    <w:bookmarkStart w:id="19" w:name="artigo-7º--inscrição-em-exame"/>
    <w:p>
      <w:pPr>
        <w:pStyle w:val="Heading3"/>
      </w:pPr>
      <w:r>
        <w:t xml:space="preserve">Artigo 7.º — Inscrição em exame</w:t>
      </w:r>
    </w:p>
    <w:p>
      <w:pPr>
        <w:pStyle w:val="Compact"/>
        <w:numPr>
          <w:ilvl w:val="0"/>
          <w:numId w:val="1005"/>
        </w:numPr>
      </w:pPr>
      <w:r>
        <w:t xml:space="preserve">A inscrição em exame final é obrigatória e processa-se em</w:t>
      </w:r>
      <w:r>
        <w:t xml:space="preserve"> </w:t>
      </w:r>
      <w:r>
        <w:rPr>
          <w:b/>
          <w:bCs/>
        </w:rPr>
        <w:t xml:space="preserve">plataforma eletrónica institucional</w:t>
      </w:r>
      <w:r>
        <w:t xml:space="preserve">, no prazo definido no calendário académico.</w:t>
      </w:r>
    </w:p>
    <w:p>
      <w:pPr>
        <w:pStyle w:val="Compact"/>
        <w:numPr>
          <w:ilvl w:val="0"/>
          <w:numId w:val="1005"/>
        </w:numPr>
      </w:pPr>
      <w:r>
        <w:t xml:space="preserve">A inscrição em exame de</w:t>
      </w:r>
      <w:r>
        <w:t xml:space="preserve"> </w:t>
      </w:r>
      <w:r>
        <w:rPr>
          <w:b/>
          <w:bCs/>
        </w:rPr>
        <w:t xml:space="preserve">época de recurso</w:t>
      </w:r>
      <w:r>
        <w:t xml:space="preserve"> </w:t>
      </w:r>
      <w:r>
        <w:t xml:space="preserve">é taxada nos termos do regulamento de propinas.</w:t>
      </w:r>
    </w:p>
    <w:p>
      <w:pPr>
        <w:pStyle w:val="Compact"/>
        <w:numPr>
          <w:ilvl w:val="0"/>
          <w:numId w:val="1005"/>
        </w:numPr>
      </w:pPr>
      <w:r>
        <w:t xml:space="preserve">A não inscrição em exame implica a impossibilidade de comparência à prova.</w:t>
      </w:r>
    </w:p>
    <w:bookmarkEnd w:id="19"/>
    <w:bookmarkStart w:id="20" w:name="artigo-8º--desistência"/>
    <w:p>
      <w:pPr>
        <w:pStyle w:val="Heading3"/>
      </w:pPr>
      <w:r>
        <w:t xml:space="preserve">Artigo 8.º — Desistência</w:t>
      </w:r>
    </w:p>
    <w:p>
      <w:pPr>
        <w:pStyle w:val="FirstParagraph"/>
      </w:pPr>
      <w:r>
        <w:t xml:space="preserve">A desistência da avaliação contínua deve ser formalizada por escrito, dirigida ao coordenador do mestrado, até</w:t>
      </w:r>
      <w:r>
        <w:t xml:space="preserve"> </w:t>
      </w:r>
      <w:r>
        <w:rPr>
          <w:b/>
          <w:bCs/>
        </w:rPr>
        <w:t xml:space="preserve">5 dias úteis antes</w:t>
      </w:r>
      <w:r>
        <w:t xml:space="preserve"> </w:t>
      </w:r>
      <w:r>
        <w:t xml:space="preserve">do último elemento de avaliação contínua.</w:t>
      </w:r>
    </w:p>
    <w:bookmarkEnd w:id="20"/>
    <w:bookmarkEnd w:id="21"/>
    <w:bookmarkStart w:id="26" w:name="capítulo-iv--classificação"/>
    <w:p>
      <w:pPr>
        <w:pStyle w:val="Heading2"/>
      </w:pPr>
      <w:r>
        <w:t xml:space="preserve">Capítulo IV — Classificação</w:t>
      </w:r>
    </w:p>
    <w:bookmarkStart w:id="22" w:name="artigo-9º--sistema-de-classificação"/>
    <w:p>
      <w:pPr>
        <w:pStyle w:val="Heading3"/>
      </w:pPr>
      <w:r>
        <w:t xml:space="preserve">Artigo 9.º — Sistema de classificação</w:t>
      </w:r>
    </w:p>
    <w:p>
      <w:pPr>
        <w:pStyle w:val="FirstParagraph"/>
      </w:pPr>
      <w:r>
        <w:t xml:space="preserve">A classificação das unidades curriculares é expressa no intervalo numérico de 0 a 20 valores, sem casas decimais, sendo o arredondamento feito por defeito até às décimas e por arredondamento à unidade no resultado final.</w:t>
      </w:r>
    </w:p>
    <w:bookmarkEnd w:id="22"/>
    <w:bookmarkStart w:id="23" w:name="artigo-10º--aprovação"/>
    <w:p>
      <w:pPr>
        <w:pStyle w:val="Heading3"/>
      </w:pPr>
      <w:r>
        <w:t xml:space="preserve">Artigo 10.º — Aprovação</w:t>
      </w:r>
    </w:p>
    <w:p>
      <w:pPr>
        <w:pStyle w:val="FirstParagraph"/>
      </w:pPr>
      <w:r>
        <w:t xml:space="preserve">Considera-se aprovado em unidade curricular o estudante que:</w:t>
      </w:r>
    </w:p>
    <w:p>
      <w:pPr>
        <w:pStyle w:val="BodyText"/>
      </w:pPr>
      <w:r>
        <w:t xml:space="preserve">a) Obtenha classificação igual ou superior a 10 valores na modalidade de avaliação a que se inscreveu, e</w:t>
      </w:r>
      <w:r>
        <w:t xml:space="preserve"> </w:t>
      </w:r>
      <w:r>
        <w:t xml:space="preserve">b) Cumpra os demais requisitos previstos no regulamento de unidade curricular.</w:t>
      </w:r>
    </w:p>
    <w:bookmarkEnd w:id="23"/>
    <w:bookmarkStart w:id="24" w:name="artigo-11º--reprovação"/>
    <w:p>
      <w:pPr>
        <w:pStyle w:val="Heading3"/>
      </w:pPr>
      <w:r>
        <w:t xml:space="preserve">Artigo 11.º — Reprovação</w:t>
      </w:r>
    </w:p>
    <w:p>
      <w:pPr>
        <w:pStyle w:val="Compact"/>
        <w:numPr>
          <w:ilvl w:val="0"/>
          <w:numId w:val="1006"/>
        </w:numPr>
      </w:pPr>
      <w:r>
        <w:t xml:space="preserve">O estudante reprovado em unidade curricular pode inscrever-se na época de recurso.</w:t>
      </w:r>
    </w:p>
    <w:p>
      <w:pPr>
        <w:pStyle w:val="Compact"/>
        <w:numPr>
          <w:ilvl w:val="0"/>
          <w:numId w:val="1006"/>
        </w:numPr>
      </w:pPr>
      <w:r>
        <w:t xml:space="preserve">A reprovação repetida durante 3 inscrições consecutivas em ciclo de estudos implica a apreciação pelo coordenador de ciclo, podendo determinar reorientação académica nos termos do regulamento próprio.</w:t>
      </w:r>
    </w:p>
    <w:bookmarkEnd w:id="24"/>
    <w:bookmarkStart w:id="25" w:name="artigo-12º--melhoria-de-classificação"/>
    <w:p>
      <w:pPr>
        <w:pStyle w:val="Heading3"/>
      </w:pPr>
      <w:r>
        <w:t xml:space="preserve">Artigo 12.º — Melhoria de classificação</w:t>
      </w:r>
    </w:p>
    <w:p>
      <w:pPr>
        <w:pStyle w:val="Compact"/>
        <w:numPr>
          <w:ilvl w:val="0"/>
          <w:numId w:val="1007"/>
        </w:numPr>
      </w:pPr>
      <w:r>
        <w:t xml:space="preserve">O estudante aprovado pode requerer melhoria de classificação numa unidade curricular</w:t>
      </w:r>
      <w:r>
        <w:t xml:space="preserve"> </w:t>
      </w:r>
      <w:r>
        <w:rPr>
          <w:b/>
          <w:bCs/>
        </w:rPr>
        <w:t xml:space="preserve">desde que a classificação obtida não exceda 14 valores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melhoria é requerida no prazo definido no calendário académico, podendo ser realizada apenas em</w:t>
      </w:r>
      <w:r>
        <w:t xml:space="preserve"> </w:t>
      </w:r>
      <w:r>
        <w:rPr>
          <w:b/>
          <w:bCs/>
        </w:rPr>
        <w:t xml:space="preserve">uma única época por unidade curricular</w:t>
      </w:r>
      <w:r>
        <w:t xml:space="preserve"> </w:t>
      </w:r>
      <w:r>
        <w:t xml:space="preserve">durante todo o ciclo de estudos.</w:t>
      </w:r>
    </w:p>
    <w:p>
      <w:pPr>
        <w:pStyle w:val="Compact"/>
        <w:numPr>
          <w:ilvl w:val="0"/>
          <w:numId w:val="1007"/>
        </w:numPr>
      </w:pPr>
      <w:r>
        <w:t xml:space="preserve">A classificação obtida na melhoria substitui a anterior</w:t>
      </w:r>
      <w:r>
        <w:t xml:space="preserve"> </w:t>
      </w:r>
      <w:r>
        <w:rPr>
          <w:b/>
          <w:bCs/>
        </w:rPr>
        <w:t xml:space="preserve">apenas se for superior</w:t>
      </w:r>
      <w:r>
        <w:t xml:space="preserve">; em caso contrário, mantém-se a classificação original.</w:t>
      </w:r>
    </w:p>
    <w:bookmarkEnd w:id="25"/>
    <w:bookmarkEnd w:id="26"/>
    <w:bookmarkStart w:id="29" w:name="capítulo-v--disposições-finais"/>
    <w:p>
      <w:pPr>
        <w:pStyle w:val="Heading2"/>
      </w:pPr>
      <w:r>
        <w:t xml:space="preserve">Capítulo V — Disposições finais</w:t>
      </w:r>
    </w:p>
    <w:bookmarkStart w:id="27" w:name="artigo-13º--casos-omissos"/>
    <w:p>
      <w:pPr>
        <w:pStyle w:val="Heading3"/>
      </w:pPr>
      <w:r>
        <w:t xml:space="preserve">Artigo 13.º — Casos omissos</w:t>
      </w:r>
    </w:p>
    <w:p>
      <w:pPr>
        <w:pStyle w:val="FirstParagraph"/>
      </w:pPr>
      <w:r>
        <w:t xml:space="preserve">Os casos omissos são resolvidos por despacho do Reitor, ouvido o Conselho Académico.</w:t>
      </w:r>
    </w:p>
    <w:bookmarkEnd w:id="27"/>
    <w:bookmarkStart w:id="28" w:name="artigo-14º--entrada-em-vigor"/>
    <w:p>
      <w:pPr>
        <w:pStyle w:val="Heading3"/>
      </w:pPr>
      <w:r>
        <w:t xml:space="preserve">Artigo 14.º — Entrada em vigor</w:t>
      </w:r>
    </w:p>
    <w:p>
      <w:pPr>
        <w:pStyle w:val="FirstParagraph"/>
      </w:pPr>
      <w:r>
        <w:t xml:space="preserve">O presente regulamento entra em vigor no dia 1 de outubro de 2024 e aplica-se a todas as unidades curriculares cujo período letivo se inicie nessa data ou em data posterior.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X2ea7846c2dc393700dc8581440a5c62ce3befe2"/>
    <w:p>
      <w:pPr>
        <w:pStyle w:val="Heading1"/>
      </w:pPr>
      <w:r>
        <w:t xml:space="preserve">DOC-B — Parecer jurídico sobre prescrição de propinas em atraso</w:t>
      </w:r>
    </w:p>
    <w:p>
      <w:pPr>
        <w:pStyle w:val="FirstParagraph"/>
      </w:pPr>
      <w:r>
        <w:rPr>
          <w:b/>
          <w:bCs/>
        </w:rPr>
        <w:t xml:space="preserve">Gabinete Jurídico da Universidade de Vale Verde · Parecer n.º 14/2026 · 18-04-2026</w:t>
      </w:r>
      <w:r>
        <w:t xml:space="preserve"> </w:t>
      </w:r>
      <w:r>
        <w:rPr>
          <w:b/>
          <w:bCs/>
        </w:rPr>
        <w:t xml:space="preserve">Solicitante:</w:t>
      </w:r>
      <w:r>
        <w:t xml:space="preserve"> </w:t>
      </w:r>
      <w:r>
        <w:t xml:space="preserve">Direção de Serviços Académicos · Helena Albuquerque</w:t>
      </w:r>
      <w:r>
        <w:t xml:space="preserve"> </w:t>
      </w:r>
      <w:r>
        <w:rPr>
          <w:b/>
          <w:bCs/>
        </w:rPr>
        <w:t xml:space="preserve">Tema:</w:t>
      </w:r>
      <w:r>
        <w:t xml:space="preserve"> </w:t>
      </w:r>
      <w:r>
        <w:t xml:space="preserve">Prescrição da obrigação de pagamento de propinas em atraso — caso TS-2017/0421</w:t>
      </w:r>
    </w:p>
    <w:p>
      <w:r>
        <w:pict>
          <v:rect style="width:0;height:1.5pt" o:hralign="center" o:hrstd="t" o:hr="t"/>
        </w:pict>
      </w:r>
    </w:p>
    <w:bookmarkStart w:id="31" w:name="i-questão-colocada"/>
    <w:p>
      <w:pPr>
        <w:pStyle w:val="Heading2"/>
      </w:pPr>
      <w:r>
        <w:t xml:space="preserve">I. Questão colocada</w:t>
      </w:r>
    </w:p>
    <w:p>
      <w:pPr>
        <w:pStyle w:val="FirstParagraph"/>
      </w:pPr>
      <w:r>
        <w:t xml:space="preserve">Foi solicitado por V. Ex.ª parecer sobre a possibilidade de cobrança coerciva de propinas em atraso relativas ao ano letivo 2016/2017, no valor remanescente de €840,00 (de um total inicial de €1 050,00), respeitantes ao processo TS-2017/0421, considerando que o estudante subscreveu em 2020 um acordo de regularização da dívida em prestações, que cumpriu apenas parcialmente.</w:t>
      </w:r>
    </w:p>
    <w:bookmarkEnd w:id="31"/>
    <w:bookmarkStart w:id="32" w:name="ii-enquadramento-normativo-aplicável"/>
    <w:p>
      <w:pPr>
        <w:pStyle w:val="Heading2"/>
      </w:pPr>
      <w:r>
        <w:t xml:space="preserve">II. Enquadramento normativo aplicável</w:t>
      </w:r>
    </w:p>
    <w:p>
      <w:pPr>
        <w:pStyle w:val="FirstParagraph"/>
      </w:pPr>
      <w:r>
        <w:t xml:space="preserve">A natureza jurídica das propinas e o prazo de prescrição aplicável encontram-se hoje estabilizados na jurisprudência: o</w:t>
      </w:r>
      <w:r>
        <w:t xml:space="preserve"> </w:t>
      </w:r>
      <w:r>
        <w:rPr>
          <w:b/>
          <w:bCs/>
        </w:rPr>
        <w:t xml:space="preserve">Acórdão do Supremo Tribunal Administrativo n.º 4/2015</w:t>
      </w:r>
      <w:r>
        <w:t xml:space="preserve"> </w:t>
      </w:r>
      <w:r>
        <w:t xml:space="preserve">(Pleno da Secção de Contencioso Tributário, processo n.º 01957/13, publicado no Diário da República, 1.ª série, de 04-06-2015) uniformizou jurisprudência no sentido de que a propina constitui uma</w:t>
      </w:r>
      <w:r>
        <w:t xml:space="preserve"> </w:t>
      </w:r>
      <w:r>
        <w:rPr>
          <w:b/>
          <w:bCs/>
        </w:rPr>
        <w:t xml:space="preserve">taxa</w:t>
      </w:r>
      <w:r>
        <w:t xml:space="preserve">, na aceção do artigo 4.º, n.º 2, da Lei Geral Tributária (LGT) — tributo de obrigação única —, prescrevendo a respetiva obrigação no prazo de</w:t>
      </w:r>
      <w:r>
        <w:t xml:space="preserve"> </w:t>
      </w:r>
      <w:r>
        <w:rPr>
          <w:b/>
          <w:bCs/>
        </w:rPr>
        <w:t xml:space="preserve">oito anos</w:t>
      </w:r>
      <w:r>
        <w:t xml:space="preserve"> </w:t>
      </w:r>
      <w:r>
        <w:t xml:space="preserve">previsto no artigo 48.º da LGT, contado da ocorrência do facto tributário, com afastamento expresso dos prazos do Código Civil.</w:t>
      </w:r>
    </w:p>
    <w:p>
      <w:pPr>
        <w:pStyle w:val="BodyText"/>
      </w:pPr>
      <w:r>
        <w:t xml:space="preserve">No caso vertente, o facto tributário completou-se no termo do período letivo 2016/2017, em</w:t>
      </w:r>
      <w:r>
        <w:t xml:space="preserve"> </w:t>
      </w:r>
      <w:r>
        <w:rPr>
          <w:b/>
          <w:bCs/>
        </w:rPr>
        <w:t xml:space="preserve">31-07-2017</w:t>
      </w:r>
      <w:r>
        <w:t xml:space="preserve"> </w:t>
      </w:r>
      <w:r>
        <w:t xml:space="preserve">— nos termos do próprio Acórdão n.º 4/2015, o facto tributário substancia-se na frequência do serviço público de ensino e completa-se no último dia do período letivo —, pelo que o prazo de oito anos, sem mais, ter-se-ia completado em</w:t>
      </w:r>
      <w:r>
        <w:t xml:space="preserve"> </w:t>
      </w:r>
      <w:r>
        <w:rPr>
          <w:b/>
          <w:bCs/>
        </w:rPr>
        <w:t xml:space="preserve">31-07-2025</w:t>
      </w:r>
      <w:r>
        <w:t xml:space="preserve">, antes da data do presente parecer.</w:t>
      </w:r>
    </w:p>
    <w:p>
      <w:pPr>
        <w:pStyle w:val="BodyText"/>
      </w:pPr>
      <w:r>
        <w:t xml:space="preserve">Sucede que o estudante subscreveu, em</w:t>
      </w:r>
      <w:r>
        <w:t xml:space="preserve"> </w:t>
      </w:r>
      <w:r>
        <w:rPr>
          <w:b/>
          <w:bCs/>
        </w:rPr>
        <w:t xml:space="preserve">11-05-2020</w:t>
      </w:r>
      <w:r>
        <w:t xml:space="preserve">, um acordo de regularização da dívida em dez prestações mensais, ao abrigo do regulamento de propinas da UVV, tendo pago as prestações de junho e julho de 2020 e incumprido as restantes. O acordo nunca foi formalmente declarado caducado pelos serviços. Ora, nos termos do</w:t>
      </w:r>
      <w:r>
        <w:t xml:space="preserve"> </w:t>
      </w:r>
      <w:r>
        <w:rPr>
          <w:b/>
          <w:bCs/>
        </w:rPr>
        <w:t xml:space="preserve">artigo 49.º, n.º 4, alínea a), da LGT</w:t>
      </w:r>
      <w:r>
        <w:t xml:space="preserve">, o prazo de prescrição suspende-se em virtude de pagamento de prestações legalmente autorizadas — e é na extensão temporal desta suspensão que reside a verdadeira dificuldade do caso:</w:t>
      </w:r>
    </w:p>
    <w:p>
      <w:pPr>
        <w:numPr>
          <w:ilvl w:val="0"/>
          <w:numId w:val="1008"/>
        </w:numPr>
      </w:pPr>
      <w:r>
        <w:t xml:space="preserve">Numa</w:t>
      </w:r>
      <w:r>
        <w:t xml:space="preserve"> </w:t>
      </w:r>
      <w:r>
        <w:rPr>
          <w:b/>
          <w:bCs/>
        </w:rPr>
        <w:t xml:space="preserve">primeira leitura</w:t>
      </w:r>
      <w:r>
        <w:t xml:space="preserve">, a suspensão vale apenas enquanto o plano prestacional foi efetivamente cumprido (de 11-05-2020 a 31-07-2020, cerca de dois meses e meio): o prazo retomou o seu curso com o incumprimento e a prescrição ter-se-ia consumado em</w:t>
      </w:r>
      <w:r>
        <w:t xml:space="preserve"> </w:t>
      </w:r>
      <w:r>
        <w:rPr>
          <w:b/>
          <w:bCs/>
        </w:rPr>
        <w:t xml:space="preserve">meados de outubro de 2025</w:t>
      </w:r>
      <w:r>
        <w:t xml:space="preserve"> </w:t>
      </w:r>
      <w:r>
        <w:t xml:space="preserve">— a dívida estaria hoje prescrita.</w:t>
      </w:r>
    </w:p>
    <w:p>
      <w:pPr>
        <w:numPr>
          <w:ilvl w:val="0"/>
          <w:numId w:val="1008"/>
        </w:numPr>
      </w:pPr>
      <w:r>
        <w:t xml:space="preserve">Numa</w:t>
      </w:r>
      <w:r>
        <w:t xml:space="preserve"> </w:t>
      </w:r>
      <w:r>
        <w:rPr>
          <w:b/>
          <w:bCs/>
        </w:rPr>
        <w:t xml:space="preserve">segunda leitura</w:t>
      </w:r>
      <w:r>
        <w:t xml:space="preserve">, a suspensão perdura enquanto o plano prestacional não for formalmente declarado caducado ou revogado — o que nunca sucedeu: o prazo permaneceria suspenso e a dívida</w:t>
      </w:r>
      <w:r>
        <w:t xml:space="preserve"> </w:t>
      </w:r>
      <w:r>
        <w:rPr>
          <w:b/>
          <w:bCs/>
        </w:rPr>
        <w:t xml:space="preserve">não estaria prescrita</w:t>
      </w:r>
      <w:r>
        <w:t xml:space="preserve">, podendo ainda ser instaurada execução fiscal.</w:t>
      </w:r>
    </w:p>
    <w:p>
      <w:pPr>
        <w:pStyle w:val="FirstParagraph"/>
      </w:pPr>
      <w:r>
        <w:t xml:space="preserve">Não se conhece jurisprudência uniformizada sobre a extensão temporal da suspensão da alínea a) do n.º 4 do artigo 49.º da LGT em planos prestacionais incumpridos mas não formalmente extintos, extraindo a jurisprudência superior soluções divergentes de regimes prestacionais análogos (cfr. acórdãos do STA de 31-10-2012, proc. 0761/12, e de 24-02-2016, proc. 0920/15).</w:t>
      </w:r>
    </w:p>
    <w:bookmarkEnd w:id="32"/>
    <w:bookmarkStart w:id="33" w:name="iii-análise"/>
    <w:p>
      <w:pPr>
        <w:pStyle w:val="Heading2"/>
      </w:pPr>
      <w:r>
        <w:t xml:space="preserve">III. Análise</w:t>
      </w:r>
    </w:p>
    <w:p>
      <w:pPr>
        <w:pStyle w:val="FirstParagraph"/>
      </w:pPr>
      <w:r>
        <w:t xml:space="preserve">As diligências de cobrança realizadas pelos serviços por carta registada com aviso de receção (12-09-2019 e 15-03-2020) não relevam para a contagem do prazo em nenhuma das leituras: não integram o elenco taxativo de causas interruptivas do artigo 49.º, n.º 1, da LGT (citação, reclamação, recurso hierárquico, impugnação, pedido de revisão oficiosa), configurando-se como meras interpelações administrativas.</w:t>
      </w:r>
    </w:p>
    <w:p>
      <w:pPr>
        <w:pStyle w:val="BodyText"/>
      </w:pPr>
      <w:r>
        <w:t xml:space="preserve">O elemento decisivo é, assim, o acordo de 11-05-2020 e a extensão temporal da suspensão que desencadeou. Na primeira leitura, a obrigação prescreveu em meados de outubro de 2025; na segunda, o prazo permanece suspenso até hoje. Este Gabinete não pode, com segurança, dar prevalência a uma das leituras, na ausência de orientação jurisprudencial uniformizada sobre o ponto.</w:t>
      </w:r>
    </w:p>
    <w:bookmarkEnd w:id="33"/>
    <w:bookmarkStart w:id="34" w:name="iv-conclusão"/>
    <w:p>
      <w:pPr>
        <w:pStyle w:val="Heading2"/>
      </w:pPr>
      <w:r>
        <w:t xml:space="preserve">IV. Conclusão</w:t>
      </w:r>
    </w:p>
    <w:p>
      <w:pPr>
        <w:pStyle w:val="FirstParagraph"/>
      </w:pPr>
      <w:r>
        <w:t xml:space="preserve">Em face do exposto, é entendimento deste Gabinete que:</w:t>
      </w:r>
    </w:p>
    <w:p>
      <w:pPr>
        <w:pStyle w:val="Compact"/>
        <w:numPr>
          <w:ilvl w:val="0"/>
          <w:numId w:val="1009"/>
        </w:numPr>
      </w:pPr>
      <w:r>
        <w:t xml:space="preserve">Se prevalecer a leitura da</w:t>
      </w:r>
      <w:r>
        <w:t xml:space="preserve"> </w:t>
      </w:r>
      <w:r>
        <w:rPr>
          <w:b/>
          <w:bCs/>
        </w:rPr>
        <w:t xml:space="preserve">suspensão limitada</w:t>
      </w:r>
      <w:r>
        <w:t xml:space="preserve"> </w:t>
      </w:r>
      <w:r>
        <w:t xml:space="preserve">ao período de cumprimento do plano, a obrigação</w:t>
      </w:r>
      <w:r>
        <w:t xml:space="preserve"> </w:t>
      </w:r>
      <w:r>
        <w:rPr>
          <w:b/>
          <w:bCs/>
        </w:rPr>
        <w:t xml:space="preserve">encontra-se prescrita</w:t>
      </w:r>
      <w:r>
        <w:t xml:space="preserve"> </w:t>
      </w:r>
      <w:r>
        <w:t xml:space="preserve">desde meados de outubro de 2025, e a instauração de execução fiscal exporia a UVV a oposição com provável procedência;</w:t>
      </w:r>
    </w:p>
    <w:p>
      <w:pPr>
        <w:pStyle w:val="Compact"/>
        <w:numPr>
          <w:ilvl w:val="0"/>
          <w:numId w:val="1009"/>
        </w:numPr>
      </w:pPr>
      <w:r>
        <w:t xml:space="preserve">Se prevalecer a leitura da</w:t>
      </w:r>
      <w:r>
        <w:t xml:space="preserve"> </w:t>
      </w:r>
      <w:r>
        <w:rPr>
          <w:b/>
          <w:bCs/>
        </w:rPr>
        <w:t xml:space="preserve">suspensão prolongada</w:t>
      </w:r>
      <w:r>
        <w:t xml:space="preserve"> </w:t>
      </w:r>
      <w:r>
        <w:t xml:space="preserve">(plano não formalmente extinto), a obrigação</w:t>
      </w:r>
      <w:r>
        <w:t xml:space="preserve"> </w:t>
      </w:r>
      <w:r>
        <w:rPr>
          <w:b/>
          <w:bCs/>
        </w:rPr>
        <w:t xml:space="preserve">não se encontra prescrita</w:t>
      </w:r>
      <w:r>
        <w:t xml:space="preserve"> </w:t>
      </w:r>
      <w:r>
        <w:t xml:space="preserve">e a cobrança coerciva permanece juridicamente viável;</w:t>
      </w:r>
    </w:p>
    <w:p>
      <w:pPr>
        <w:pStyle w:val="Compact"/>
        <w:numPr>
          <w:ilvl w:val="0"/>
          <w:numId w:val="1009"/>
        </w:numPr>
      </w:pPr>
      <w:r>
        <w:t xml:space="preserve">Atenta a divergência e o valor em causa, recomenda-se, por</w:t>
      </w:r>
      <w:r>
        <w:t xml:space="preserve"> </w:t>
      </w:r>
      <w:r>
        <w:rPr>
          <w:b/>
          <w:bCs/>
        </w:rPr>
        <w:t xml:space="preserve">prudência institucional</w:t>
      </w:r>
      <w:r>
        <w:t xml:space="preserve">, a não instauração imediata de execução fiscal e a submissão do caso a decisão superior, ponderando a declaração de incobrabilidade e a anulação do crédito nos termos do regulamento de cobrança aplicável.</w:t>
      </w:r>
    </w:p>
    <w:p>
      <w:pPr>
        <w:pStyle w:val="FirstParagraph"/>
      </w:pPr>
      <w:r>
        <w:t xml:space="preserve">Salvo melhor opinião.</w:t>
      </w:r>
    </w:p>
    <w:p>
      <w:pPr>
        <w:pStyle w:val="BodyText"/>
      </w:pPr>
      <w:r>
        <w:rPr>
          <w:b/>
          <w:bCs/>
        </w:rPr>
        <w:t xml:space="preserve">O Consultor Jurídico</w:t>
      </w:r>
      <w:r>
        <w:t xml:space="preserve"> </w:t>
      </w:r>
      <w:r>
        <w:rPr>
          <w:i/>
          <w:iCs/>
        </w:rPr>
        <w:t xml:space="preserve">(assinado digitalmente)</w:t>
      </w:r>
      <w:r>
        <w:t xml:space="preserve"> </w:t>
      </w:r>
      <w:r>
        <w:t xml:space="preserve">Dr. António Maria Cordeiro de Brito · OA 12 845 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Versão 2.0 · 2026-06-12 · Dataset sintético produzido para a Sessão 4 · Formação ANFUP · Conteúdo fictício para fins exclusivamente pedagógicos; jurisprudência e legislação citadas são reais.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2026-06-12T13:24:07Z</dcterms:created>
  <dcterms:modified xsi:type="dcterms:W3CDTF">2026-06-12T13:24:07Z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