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f4431524330a06c6bd995388684312f2cc3352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(95 min úteis)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r>
        <w:pict>
          <v:rect style="width:0;height:1.5pt" o:hralign="center" o:hrstd="t" o:hr="t"/>
        </w:pict>
      </w:r>
    </w:p>
    <w:bookmarkStart w:id="9" w:name="X915942f069dee08ea24cb7f20a3d85d98194752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620aa9afd1907f8eff5a288384c495c35af336b"/>
    <w:p>
      <w:pPr>
        <w:pStyle w:val="Heading2"/>
      </w:pPr>
      <w:r>
        <w:t xml:space="preserve">Bloco 2 — Régua do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Régua)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4" w:name="X351fc40aebfbf6d81d4f098e42a3392236a4fd7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bbda18474c2325f273eded58174a79991921038"/>
    <w:p>
      <w:pPr>
        <w:pStyle w:val="Heading3"/>
      </w:pPr>
      <w:r>
        <w:t xml:space="preserve">Parte A — Sumarização ao vivo do DOC-A (5 min)</w:t>
      </w:r>
    </w:p>
    <w:p>
      <w:pPr>
        <w:pStyle w:val="FirstParagraph"/>
      </w:pPr>
      <w:r>
        <w:t xml:space="preserve">O formador pede ao Copilot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a23ffee656ccd9856f5a527317da9f11dc8ebab"/>
    <w:p>
      <w:pPr>
        <w:pStyle w:val="Heading3"/>
      </w:pPr>
      <w:r>
        <w:t xml:space="preserve">Parte B — Reformulação ao vivo do DOC-B (5 min)</w:t>
      </w:r>
    </w:p>
    <w:p>
      <w:pPr>
        <w:pStyle w:val="FirstParagraph"/>
      </w:pPr>
      <w:r>
        <w:t xml:space="preserve">O formador pede ao Copilot que reformule 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resolveu a ambiguidade</w:t>
      </w:r>
      <w:r>
        <w:t xml:space="preserve"> </w:t>
      </w:r>
      <w:r>
        <w:t xml:space="preserve">entre os 8 anos e 20 anos? (Se resolveu, é problema — porque o parecer original é deliberadamente ambíguo.)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parte-c-detecção-de-problemas-5-min"/>
    <w:p>
      <w:pPr>
        <w:pStyle w:val="Heading3"/>
      </w:pPr>
      <w:r>
        <w:t xml:space="preserve">Parte C — Detecção de problemas (5 min)</w:t>
      </w:r>
    </w:p>
    <w:p>
      <w:pPr>
        <w:pStyle w:val="FirstParagraph"/>
      </w:pPr>
      <w:r>
        <w:t xml:space="preserve">O formador mostra três sinais de output problemático que devias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</w:t>
      </w:r>
      <w:r>
        <w:t xml:space="preserve"> </w:t>
      </w:r>
      <w:r>
        <w:t xml:space="preserve">“art. 12.º-A”</w:t>
      </w:r>
      <w:r>
        <w:t xml:space="preserve"> </w:t>
      </w:r>
      <w:r>
        <w:t xml:space="preserve">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Code-switching</w:t>
      </w:r>
      <w:r>
        <w:t xml:space="preserve"> </w:t>
      </w:r>
      <w:r>
        <w:t xml:space="preserve">— frases que escorregam para pt-br ou inglês (</w:t>
      </w:r>
      <w:r>
        <w:t xml:space="preserve">“a aprovação automática”</w:t>
      </w:r>
      <w:r>
        <w:t xml:space="preserve">,</w:t>
      </w:r>
      <w:r>
        <w:t xml:space="preserve"> </w:t>
      </w:r>
      <w:r>
        <w:t xml:space="preserve">“compliance”</w:t>
      </w:r>
      <w:r>
        <w:t xml:space="preserve">).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3…). Se o regulamento tem subníveis e o resumo só cita o</w:t>
      </w:r>
      <w:r>
        <w:t xml:space="preserve"> </w:t>
      </w:r>
      <w:r>
        <w:t xml:space="preserve">“art. 3.º”</w:t>
      </w:r>
      <w:r>
        <w:t xml:space="preserve"> </w:t>
      </w:r>
      <w:r>
        <w:t xml:space="preserve">sem dizer</w:t>
      </w:r>
      <w:r>
        <w:t xml:space="preserve"> </w:t>
      </w:r>
      <w:r>
        <w:t xml:space="preserve">“n.º X”</w:t>
      </w:r>
      <w:r>
        <w:t xml:space="preserve">, está a omitir.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X2d1f04a79c2782b3c5b160d017a5cf819402246"/>
    <w:p>
      <w:pPr>
        <w:pStyle w:val="Heading2"/>
      </w:pPr>
      <w:r>
        <w:t xml:space="preserve">Bloco 4 — Conceito-chave: linguagem clara (10 min) · OBRIGATÓRIO EM AULA</w:t>
      </w:r>
    </w:p>
    <w:bookmarkStart w:id="15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5"/>
    <w:bookmarkStart w:id="16" w:name="Xdcc6abf8c71f5a4ad4607ac14f3d46d9f860775"/>
    <w:p>
      <w:pPr>
        <w:pStyle w:val="Heading3"/>
      </w:pPr>
      <w:r>
        <w:t xml:space="preserve">Princípios universais de linguagem clara (alinhados com o trabalho do LabX/AMA)</w:t>
      </w:r>
    </w:p>
    <w:p>
      <w:pPr>
        <w:pStyle w:val="Compact"/>
        <w:numPr>
          <w:ilvl w:val="0"/>
          <w:numId w:val="1006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</w:t>
      </w:r>
      <w:r>
        <w:t xml:space="preserve"> </w:t>
      </w:r>
      <w:r>
        <w:t xml:space="preserve">“foi decidido por”</w:t>
      </w:r>
      <w:r>
        <w:t xml:space="preserve">, escrever</w:t>
      </w:r>
      <w:r>
        <w:t xml:space="preserve"> </w:t>
      </w:r>
      <w:r>
        <w:t xml:space="preserve">“decidi”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</w:t>
      </w:r>
      <w:r>
        <w:t xml:space="preserve"> </w:t>
      </w:r>
      <w:r>
        <w:t xml:space="preserve">“proceder à análise”</w:t>
      </w:r>
      <w:r>
        <w:t xml:space="preserve">, escrever</w:t>
      </w:r>
      <w:r>
        <w:t xml:space="preserve"> </w:t>
      </w:r>
      <w:r>
        <w:t xml:space="preserve">“analisar”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6"/>
    <w:bookmarkStart w:id="18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obrigatória, sob pena de o ato ser deficitariamente fundamentado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7" w:name="frase-cartão-da-sessão"/>
      <w:r>
        <w:t xml:space="preserve">❝ Frase-cartão da sessão ❞</w:t>
      </w:r>
      <w:bookmarkEnd w:id="17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8"/>
    <w:bookmarkStart w:id="19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9.º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LabX/AMA — Oficinas de Simplificação da Linguagem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Iniciativa do laboratório de inovação da AMA para simplificar linguagem em serviços públicos</w:t>
            </w:r>
          </w:p>
        </w:tc>
      </w:tr>
    </w:tbl>
    <w:bookmarkEnd w:id="19"/>
    <w:bookmarkStart w:id="20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8"/>
        </w:numPr>
      </w:pPr>
      <w:r>
        <w:t xml:space="preserve">❌ Simplificar terminologia jurídica que tem efeito específico (</w:t>
      </w:r>
      <w:r>
        <w:t xml:space="preserve">“prescrição”</w:t>
      </w:r>
      <w:r>
        <w:t xml:space="preserve">,</w:t>
      </w:r>
      <w:r>
        <w:t xml:space="preserve"> </w:t>
      </w:r>
      <w:r>
        <w:t xml:space="preserve">“deferimento”</w:t>
      </w:r>
      <w:r>
        <w:t xml:space="preserve">,</w:t>
      </w:r>
      <w:r>
        <w:t xml:space="preserve"> </w:t>
      </w:r>
      <w:r>
        <w:t xml:space="preserve">“audiência prévia”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08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08"/>
        </w:numPr>
      </w:pPr>
      <w:r>
        <w:t xml:space="preserve">❌ Sumarizar pareceres que toquem dossiers individuais sem pseudonimização.</w:t>
      </w:r>
    </w:p>
    <w:bookmarkEnd w:id="20"/>
    <w:bookmarkStart w:id="21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09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09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09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09"/>
        </w:numPr>
      </w:pPr>
      <w:r>
        <w:t xml:space="preserve">✅ Detectar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7dbd30f7b098c637b057c9cb7d43292327321c"/>
    <w:p>
      <w:pPr>
        <w:pStyle w:val="Heading2"/>
      </w:pPr>
      <w:r>
        <w:t xml:space="preserve">Bloco 4.5 — Como funciona o Copilot aqui (5 min · técnico) · AVANÇADO / OPCIONAL</w:t>
      </w:r>
    </w:p>
    <w:p>
      <w:pPr>
        <w:pStyle w:val="BlockText"/>
      </w:pPr>
      <w:r>
        <w:rPr>
          <w:b/>
          <w:bCs/>
        </w:rPr>
        <w:t xml:space="preserve">Esta secção é técnica.</w:t>
      </w:r>
      <w:r>
        <w:t xml:space="preserve"> </w:t>
      </w:r>
      <w:r>
        <w:t xml:space="preserve">Pode ser saltada por quem só queira a parte prática — mas explica os limites operacionais que vais encontrar e por que o Copilot se comporta assim.</w:t>
      </w:r>
      <w:r>
        <w:t xml:space="preserve"> </w:t>
      </w:r>
      <w:r>
        <w:rPr>
          <w:b/>
          <w:bCs/>
        </w:rPr>
        <w:t xml:space="preserve">Quem perceber isto, prompted melhor.</w:t>
      </w:r>
    </w:p>
    <w:bookmarkStart w:id="23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1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1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3"/>
    <w:bookmarkStart w:id="24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~64 000 tokens (~50-60 páginas A4 de texto puro).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Resposta gerada:</w:t>
      </w:r>
      <w:r>
        <w:t xml:space="preserve"> </w:t>
      </w:r>
      <w:r>
        <w:t xml:space="preserve">~8 000 tokens (~10-12 páginas).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3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(&gt;50 páginas) 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no início, omitindo capítulos finais.</w:t>
      </w:r>
    </w:p>
    <w:p>
      <w:pPr>
        <w:pStyle w:val="Compact"/>
        <w:numPr>
          <w:ilvl w:val="0"/>
          <w:numId w:val="1013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</w:t>
      </w:r>
      <w:r>
        <w:t xml:space="preserve"> </w:t>
      </w:r>
      <w:r>
        <w:t xml:space="preserve">“esquecer”</w:t>
      </w:r>
      <w:r>
        <w:t xml:space="preserve"> </w:t>
      </w:r>
      <w:r>
        <w:t xml:space="preserve">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4"/>
    <w:bookmarkStart w:id="25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</w:t>
      </w:r>
      <w:r>
        <w:t xml:space="preserve"> </w:t>
      </w:r>
      <w:r>
        <w:t xml:space="preserve">“adivinhar”</w:t>
      </w:r>
      <w:r>
        <w:t xml:space="preserve"> </w:t>
      </w:r>
      <w:r>
        <w:t xml:space="preserve">em vez de extrair.</w:t>
      </w:r>
    </w:p>
    <w:bookmarkEnd w:id="25"/>
    <w:bookmarkStart w:id="26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Xd141b81752e9810962c02bb03bbfad0f89c7f98"/>
    <w:p>
      <w:pPr>
        <w:pStyle w:val="Heading2"/>
      </w:pPr>
      <w:r>
        <w:t xml:space="preserve">Bloco 5 — Exercício guiado (25 min) · OBRIGATÓRIO EM AULA + PARA TERMINAR EM CASA</w:t>
      </w:r>
    </w:p>
    <w:bookmarkStart w:id="28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8"/>
    <w:bookmarkStart w:id="29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29"/>
    <w:bookmarkStart w:id="33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Copilot, escreve o seguinte prompt usando GCSE: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</w:t>
            </w:r>
            <w:r>
              <w:t xml:space="preserve"> </w:t>
            </w:r>
            <w:r>
              <w:t xml:space="preserve">“audiência prévia”</w:t>
            </w:r>
            <w:r>
              <w:t xml:space="preserve">,</w:t>
            </w:r>
            <w:r>
              <w:t xml:space="preserve"> </w:t>
            </w:r>
            <w:r>
              <w:t xml:space="preserve">“regime especial”</w:t>
            </w:r>
            <w:r>
              <w:t xml:space="preserve">,</w:t>
            </w:r>
            <w:r>
              <w:t xml:space="preserve"> </w:t>
            </w:r>
            <w:r>
              <w:t xml:space="preserve">“época especial”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6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6"/>
        </w:numPr>
      </w:pPr>
      <w:r>
        <w:t xml:space="preserve">□ A linguagem é portuguesa europeia (sem</w:t>
      </w:r>
      <w:r>
        <w:t xml:space="preserve"> </w:t>
      </w:r>
      <w:r>
        <w:t xml:space="preserve">“compliance”</w:t>
      </w:r>
      <w:r>
        <w:t xml:space="preserve">,</w:t>
      </w:r>
      <w:r>
        <w:t xml:space="preserve"> </w:t>
      </w:r>
      <w:r>
        <w:t xml:space="preserve">“aprovação automática”</w:t>
      </w:r>
      <w:r>
        <w:t xml:space="preserve">, etc.)?</w:t>
      </w:r>
    </w:p>
    <w:p>
      <w:pPr>
        <w:pStyle w:val="Compact"/>
        <w:numPr>
          <w:ilvl w:val="0"/>
          <w:numId w:val="1016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6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Markdown.”</w:t>
      </w:r>
    </w:p>
    <w:bookmarkStart w:id="30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0"/>
    <w:bookmarkStart w:id="31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7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7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</w:t>
      </w:r>
      <w:r>
        <w:rPr>
          <w:i/>
          <w:iCs/>
        </w:rPr>
        <w:t xml:space="preserve"> </w:t>
      </w:r>
      <w:r>
        <w:rPr>
          <w:i/>
          <w:iCs/>
        </w:rPr>
        <w:t xml:space="preserve">“3 inscrições consecutivas”</w:t>
      </w:r>
      <w:r>
        <w:rPr>
          <w:i/>
          <w:iCs/>
        </w:rPr>
        <w:t xml:space="preserve"> </w:t>
      </w:r>
      <w:r>
        <w:rPr>
          <w:i/>
          <w:iCs/>
        </w:rPr>
        <w:t xml:space="preserve">do art. 11.º — o que conta como</w:t>
      </w:r>
      <w:r>
        <w:rPr>
          <w:i/>
          <w:iCs/>
        </w:rPr>
        <w:t xml:space="preserve"> </w:t>
      </w:r>
      <w:r>
        <w:rPr>
          <w:i/>
          <w:iCs/>
        </w:rPr>
        <w:t xml:space="preserve">“consecutivas”</w:t>
      </w:r>
      <w:r>
        <w:rPr>
          <w:i/>
          <w:iCs/>
        </w:rPr>
        <w:t xml:space="preserve">?)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  <w:r>
        <w:t xml:space="preserve"> </w:t>
      </w:r>
      <w:r>
        <w:t xml:space="preserve">- Localiza o artigo citado</w:t>
      </w:r>
      <w:r>
        <w:t xml:space="preserve"> </w:t>
      </w:r>
      <w:r>
        <w:t xml:space="preserve">- 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  <w:r>
        <w:t xml:space="preserve"> </w:t>
      </w:r>
      <w:r>
        <w:t xml:space="preserve">- Anota qualquer divergência</w:t>
      </w:r>
    </w:p>
    <w:bookmarkEnd w:id="32"/>
    <w:bookmarkEnd w:id="33"/>
    <w:bookmarkStart w:id="34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19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19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19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5"/>
    <w:bookmarkStart w:id="36" w:name="X30da4a09b25b695d306c59b2bb71f6b43855ddc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“Quero um resumo executivo no seguinte formato — vê este exemplo de outro regulamento e produz um equivalente para o que te dou a seguir.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(…)»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Agora produz o equivalente para o Regulamento de Avaliação dos Mestrados em /Dataset_S04_Documentos.docx.”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“Comprimento máximo: 250 palavras. Cada bullet ≤ 25 palavras. Não uses</w:t>
      </w:r>
      <w:r>
        <w:rPr>
          <w:i/>
          <w:iCs/>
        </w:rPr>
        <w:t xml:space="preserve"> </w:t>
      </w:r>
      <w:r>
        <w:rPr>
          <w:i/>
          <w:iCs/>
        </w:rPr>
        <w:t xml:space="preserve">‘compliance’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‘aprovar automaticamente’</w:t>
      </w:r>
      <w:r>
        <w:rPr>
          <w:i/>
          <w:iCs/>
        </w:rPr>
        <w:t xml:space="preserve">. Se houver dúvida, escreve</w:t>
      </w:r>
      <w:r>
        <w:rPr>
          <w:i/>
          <w:iCs/>
        </w:rPr>
        <w:t xml:space="preserve"> </w:t>
      </w:r>
      <w:r>
        <w:rPr>
          <w:i/>
          <w:iCs/>
        </w:rPr>
        <w:t xml:space="preserve">‘a verificar’</w:t>
      </w:r>
      <w:r>
        <w:rPr>
          <w:i/>
          <w:iCs/>
        </w:rPr>
        <w:t xml:space="preserve"> </w:t>
      </w:r>
      <w:r>
        <w:rPr>
          <w:i/>
          <w:iCs/>
        </w:rPr>
        <w:t xml:space="preserve">em vez de inventar.”</w:t>
      </w:r>
    </w:p>
    <w:p>
      <w:pPr>
        <w:pStyle w:val="FirstParagraph"/>
      </w:pPr>
      <w:r>
        <w:rPr>
          <w:b/>
          <w:bCs/>
        </w:rPr>
        <w:t xml:space="preserve">Etapas de verificação.</w:t>
      </w:r>
      <w:r>
        <w:t xml:space="preserve"> </w:t>
      </w:r>
      <w:r>
        <w:t xml:space="preserve">Para tarefas com risco de erro de raciocínio, peça etapas verificáveis explícitas em vez de</w:t>
      </w:r>
      <w:r>
        <w:t xml:space="preserve"> </w:t>
      </w:r>
      <w:r>
        <w:t xml:space="preserve">“pensa em voz alta”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“Antes de produzir o resumo final, apresenta uma estrutura de verificação: (1) lista os capítulos do regulamento; (2) identifica os artigos com efeito prático; (3) indica quais serão incluídos no resumo; (4) só depois produz o resumo final.”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“Devolve em Markdown: H2 para o resumo, lista numerada para os bullets, citação no formato</w:t>
      </w:r>
      <w:r>
        <w:rPr>
          <w:i/>
          <w:iCs/>
        </w:rPr>
        <w:t xml:space="preserve"> </w:t>
      </w:r>
      <w:r>
        <w:rPr>
          <w:i/>
          <w:iCs/>
        </w:rPr>
        <w:t xml:space="preserve">‘art. X.º n.º Y (capítulo Z)’</w:t>
      </w:r>
      <w:r>
        <w:rPr>
          <w:i/>
          <w:iCs/>
        </w:rPr>
        <w:t xml:space="preserve">.”</w:t>
      </w:r>
    </w:p>
    <w:p>
      <w:pPr>
        <w:pStyle w:val="FirstParagraph"/>
      </w:pPr>
      <w:r>
        <w:rPr>
          <w:b/>
          <w:bCs/>
        </w:rPr>
        <w:t xml:space="preserve">Inverse prompting.</w:t>
      </w:r>
      <w:r>
        <w:t xml:space="preserve"> </w:t>
      </w:r>
      <w:r>
        <w:t xml:space="preserve">Para detetar omissões:</w:t>
      </w:r>
    </w:p>
    <w:p>
      <w:pPr>
        <w:pStyle w:val="BlockText"/>
      </w:pPr>
      <w:r>
        <w:rPr>
          <w:i/>
          <w:iCs/>
        </w:rPr>
        <w:t xml:space="preserve">“Lê o regulamento original e o meu resumo abaixo. Diz-me o que ESTÁ no regulamento que NÃO está no meu resumo. Não me peças para mudar — só identifica.”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 e a qualidade sobe 30-40%.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mais rentável para uso institucional.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2104e5711005dd29e1664106015c2f7fb9397ef"/>
    <w:p>
      <w:pPr>
        <w:pStyle w:val="Heading2"/>
      </w:pPr>
      <w:r>
        <w:t xml:space="preserve">Bloco 6 — Aplicação livre (20 min)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2" w:name="X7b0e6ed04d8b11cbad17e600d32667a011e9214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ambiguidade entre os prazos de 8 e 20 anos não deve ser resolvida</w:t>
      </w:r>
      <w:r>
        <w:t xml:space="preserve">, porque o parecer não a resolve.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(Régua aplicada): a tentação é fazer Copilot</w:t>
      </w:r>
      <w:r>
        <w:t xml:space="preserve"> </w:t>
      </w:r>
      <w:r>
        <w:t xml:space="preserve">“decidir”</w:t>
      </w:r>
      <w:r>
        <w:t xml:space="preserve"> </w:t>
      </w:r>
      <w:r>
        <w:t xml:space="preserve">qual prazo se aplica.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8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c57473c5c61ce9de42f6ab21edca004bc03d570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3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</w:t>
      </w:r>
      <w:r>
        <w:t xml:space="preserve"> </w:t>
      </w:r>
      <w:r>
        <w:t xml:space="preserve">“matriz”</w:t>
      </w:r>
      <w:r>
        <w:t xml:space="preserve"> </w:t>
      </w:r>
      <w:r>
        <w:t xml:space="preserve">do regulamento com 3 colunas (artigo · tema · audiência relevante).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Geração (em paralelo):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bookmarkEnd w:id="43"/>
    <w:bookmarkStart w:id="44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Xd5cfe08367cf70654a0567f2d12cceff2226e2a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reflectir: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</w:t>
      </w:r>
      <w:r>
        <w:t xml:space="preserve"> </w:t>
      </w:r>
      <w:r>
        <w:t xml:space="preserve">“matriz”</w:t>
      </w:r>
      <w:r>
        <w:t xml:space="preserve"> </w:t>
      </w:r>
      <w:r>
        <w:t xml:space="preserve">do passo 1, perdes coerência entre versões.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59cd2bfbb9d044171a2c7f52f20f921f9617f6b"/>
    <w:p>
      <w:pPr>
        <w:pStyle w:val="Heading2"/>
      </w:pPr>
      <w:r>
        <w:t xml:space="preserve">Bloco 7 — Consolidação (10 min) · OBRIGATÓRIO EM AULA + PARA TERMINAR EM CASA</w:t>
      </w:r>
    </w:p>
    <w:bookmarkStart w:id="49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2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2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2"/>
        </w:numPr>
      </w:pPr>
      <w:r>
        <w:t xml:space="preserve">□ Sei aplicar os 7 princípios universais de linguagem clara na avaliação do output.</w:t>
      </w:r>
    </w:p>
    <w:p>
      <w:pPr>
        <w:pStyle w:val="Compact"/>
        <w:numPr>
          <w:ilvl w:val="0"/>
          <w:numId w:val="1022"/>
        </w:numPr>
      </w:pPr>
      <w:r>
        <w:t xml:space="preserve">□ Sei detetar</w:t>
      </w:r>
      <w:r>
        <w:t xml:space="preserve"> </w:t>
      </w:r>
      <w:r>
        <w:rPr>
          <w:b/>
          <w:bCs/>
        </w:rPr>
        <w:t xml:space="preserve">4 sinais de problema</w:t>
      </w:r>
      <w:r>
        <w:t xml:space="preserve"> </w:t>
      </w:r>
      <w:r>
        <w:t xml:space="preserve">(alucinação, code-switching, sobre-simplificação,</w:t>
      </w:r>
      <w:r>
        <w:t xml:space="preserve"> </w:t>
      </w:r>
      <w:r>
        <w:rPr>
          <w:b/>
          <w:bCs/>
        </w:rPr>
        <w:t xml:space="preserve">alucinação por omissão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2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verificação, output structuring, inverse prompting).</w:t>
      </w:r>
    </w:p>
    <w:p>
      <w:pPr>
        <w:pStyle w:val="Compact"/>
        <w:numPr>
          <w:ilvl w:val="0"/>
          <w:numId w:val="1022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49"/>
    <w:bookmarkStart w:id="50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Validação cruzada (deteção de alucinação)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be720ddaf5773b352b7ff2dcb596363af491fa"/>
    <w:p>
      <w:pPr>
        <w:pStyle w:val="Heading2"/>
      </w:pPr>
      <w:r>
        <w:t xml:space="preserve">Bloco 8 — Reflexão crítica (8 min) · REFLEXÃO CRÍTICA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</w:t>
      </w:r>
      <w:r>
        <w:t xml:space="preserve"> </w:t>
      </w:r>
      <w:r>
        <w:t xml:space="preserve">“leio tudo outra vez”</w:t>
      </w:r>
      <w:r>
        <w:t xml:space="preserve">, isso anula o ganho de tempo).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Caso de fronteira (sem resposta certa — para discutir em sala):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Que partes deste trabalho usarias com Copilot? Que partes não usarias? Onde traçarias a fronteira — e porquê?</w:t>
      </w:r>
      <w:r>
        <w:t xml:space="preserve"> </w:t>
      </w:r>
      <w:r>
        <w:rPr>
          <w:i/>
          <w:iCs/>
        </w:rPr>
        <w:t xml:space="preserve">(Pista: pensa nos três níveis — input, processamento, output — e em quais dados podem entrar no Copilot e quais não.)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</w:t>
      </w:r>
      <w:r>
        <w:rPr>
          <w:i/>
          <w:iCs/>
        </w:rPr>
        <w:t xml:space="preserve"> </w:t>
      </w:r>
      <w:r>
        <w:rPr>
          <w:i/>
          <w:iCs/>
        </w:rPr>
        <w:t xml:space="preserve">“IA — Aplicações ao trabalho das IES”</w:t>
      </w:r>
      <w:r>
        <w:rPr>
          <w:i/>
          <w:iCs/>
        </w:rPr>
        <w:t xml:space="preserve"> </w:t>
      </w:r>
      <w:r>
        <w:rPr>
          <w:i/>
          <w:iCs/>
        </w:rPr>
        <w:t xml:space="preserve">· formador Nuno Salvador</w:t>
      </w:r>
    </w:p>
    <w:bookmarkEnd w:id="52"/>
    <w:bookmarkEnd w:id="53"/>
    <w:sectPr w:rsidR="00FC693F" w:rsidRPr="0006063C" w:rsidSect="00034616"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2026-05-28T15:54:55Z</dcterms:created>
  <dcterms:modified xsi:type="dcterms:W3CDTF">2026-05-28T15:54:55Z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