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Síntese executiva — Carga docente do 1.º semestre</w:t>
      </w:r>
    </w:p>
    <w:p>
      <w:r>
        <w:t>Para: Direção de Serviços  ·  De: Miguel, Direção de Serviços</w:t>
      </w:r>
    </w:p>
    <w:p>
      <w:pPr>
        <w:pStyle w:val="Heading1"/>
      </w:pPr>
      <w:r>
        <w:t>Contexto</w:t>
      </w:r>
    </w:p>
    <w:p>
      <w:r>
        <w:t>Análise da carga docente do 1.º semestre (10 docentes), por departamento, taxa de ocupação e faltas, para apoiar o planeamento de recursos antes do próximo semestre. A taxa de ocupação cruza as horas letivas e não letivas com as horas contratadas; acima de 115% considera-se sobrecarga crítica, entre 105% e 115% elevada.</w:t>
      </w:r>
    </w:p>
    <w:p>
      <w:pPr>
        <w:pStyle w:val="Heading1"/>
      </w:pPr>
      <w:r>
        <w:t>Indicadores por departamento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Departamento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Docentes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Ocupação média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Sobrecarga crítica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Faltas médias</w:t>
            </w:r>
          </w:p>
        </w:tc>
      </w:tr>
      <w:tr>
        <w:tc>
          <w:tcPr>
            <w:tcW w:type="dxa" w:w="1728"/>
          </w:tcPr>
          <w:p>
            <w:r>
              <w:t>Informática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119%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1.7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111%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Gestão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107%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3.7</w:t>
            </w:r>
          </w:p>
        </w:tc>
      </w:tr>
    </w:tbl>
    <w:p>
      <w:pPr>
        <w:pStyle w:val="Heading1"/>
      </w:pPr>
      <w:r>
        <w:t>Distribuição da sobrecarga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Docentes</w:t>
            </w:r>
          </w:p>
        </w:tc>
      </w:tr>
      <w:tr>
        <w:tc>
          <w:tcPr>
            <w:tcW w:type="dxa" w:w="4320"/>
          </w:tcPr>
          <w:p>
            <w:r>
              <w:t>Crítica (&gt;115%)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Elevada (105-115%)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Normal (≤105%)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Principais conclusões</w:t>
      </w:r>
    </w:p>
    <w:p>
      <w:pPr>
        <w:pStyle w:val="ListBullet"/>
      </w:pPr>
      <w:r>
        <w:t>O departamento de Informática é o mais pressionado (ocupação média ~119%).</w:t>
      </w:r>
    </w:p>
    <w:p>
      <w:pPr>
        <w:pStyle w:val="ListBullet"/>
      </w:pPr>
      <w:r>
        <w:t>Há 1 caso de sobrecarga crítica e 7 docentes em sobrecarga elevada.</w:t>
      </w:r>
    </w:p>
    <w:p>
      <w:pPr>
        <w:pStyle w:val="ListBullet"/>
      </w:pPr>
      <w:r>
        <w:t>Os restantes departamentos têm ocupação média mais moderada.</w:t>
      </w:r>
    </w:p>
    <w:p>
      <w:pPr>
        <w:pStyle w:val="Heading1"/>
      </w:pPr>
      <w:r>
        <w:t>Riscos identificados</w:t>
      </w:r>
    </w:p>
    <w:p>
      <w:pPr>
        <w:pStyle w:val="ListBullet"/>
      </w:pPr>
      <w:r>
        <w:t>O caso de sobrecarga crítica representa risco de desgaste e deve ser acompanhado antes do próximo semestre.</w:t>
      </w:r>
    </w:p>
    <w:p>
      <w:pPr>
        <w:pStyle w:val="ListBullet"/>
      </w:pPr>
      <w:r>
        <w:t>A concentração de sobrecarga elevada deixa pouca margem para absorver novas unidades curriculares.</w:t>
      </w:r>
    </w:p>
    <w:p>
      <w:pPr>
        <w:pStyle w:val="Heading1"/>
      </w:pPr>
      <w:r>
        <w:t>Recomendações</w:t>
      </w:r>
    </w:p>
    <w:p>
      <w:pPr>
        <w:pStyle w:val="ListNumber"/>
      </w:pPr>
      <w:r>
        <w:t>Acompanhar individualmente o docente em sobrecarga crítica (departamento de Informática).</w:t>
      </w:r>
    </w:p>
    <w:p>
      <w:pPr>
        <w:pStyle w:val="ListNumber"/>
      </w:pPr>
      <w:r>
        <w:t>Reequilibrar a distribuição de horas no departamento de Informática antes do próximo semestre.</w:t>
      </w:r>
    </w:p>
    <w:p>
      <w:pPr>
        <w:pStyle w:val="ListNumber"/>
      </w:pPr>
      <w:r>
        <w:t>Validar necessidades de contratação ou de redistribuição com base nestes indicadores.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