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QUAR 2025/2026 — Serviços Académicos (SIADAP 1)</w:t>
      </w:r>
    </w:p>
    <w:p>
      <w:r>
        <w:t>Quadro de Avaliação e Responsabilização (QUAR) do serviço, no âmbito do SIADAP 1. Fixa, para o ciclo de gestão 2025/2026, os objetivos operacionais do serviço repartidos pelos parâmetros Eficácia, Eficiência e Qualidade, com os respetivos indicadores, metas, tolerâncias, valores críticos de superação, ponderações e fontes de verificação.</w:t>
      </w:r>
    </w:p>
    <w:p>
      <w:r>
        <w:rPr>
          <w:b/>
        </w:rPr>
        <w:t xml:space="preserve">Missão. </w:t>
      </w:r>
      <w:r>
        <w:t>Assegurar a gestão académica do percurso dos estudantes — matrículas, inscrições, certidões, equivalências, mobilidade, diplomas e regimes especiais — garantindo resposta tempestiva, rigorosa e de qualidade aos utentes da Universidade.</w:t>
      </w:r>
    </w:p>
    <w:p>
      <w:pPr>
        <w:pStyle w:val="Heading1"/>
      </w:pPr>
      <w:r>
        <w:t>Objetivos estratégicos do serviço</w:t>
      </w:r>
    </w:p>
    <w:p>
      <w:pPr>
        <w:pStyle w:val="ListBullet"/>
      </w:pPr>
      <w:r>
        <w:t>Responder com tempestividade ao volume de processos, mesmo nos períodos de maior pressão.</w:t>
      </w:r>
    </w:p>
    <w:p>
      <w:pPr>
        <w:pStyle w:val="ListBullet"/>
      </w:pPr>
      <w:r>
        <w:t>Reduzir os prazos de resposta e aproximar o serviço dos utentes através dos canais digitais.</w:t>
      </w:r>
    </w:p>
    <w:p>
      <w:pPr>
        <w:pStyle w:val="ListBullet"/>
      </w:pPr>
      <w:r>
        <w:t>Elevar a satisfação dos utentes e a qualidade do atendimento em todos os canais.</w:t>
      </w:r>
    </w:p>
    <w:p>
      <w:pPr>
        <w:pStyle w:val="Heading1"/>
      </w:pPr>
      <w:r>
        <w:t>Quadro de objetivos, indicadores e metas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F4E79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FFFFFF"/>
                <w:sz w:val="17"/>
              </w:rPr>
              <w:t>Objetivo operacional</w:t>
            </w:r>
          </w:p>
        </w:tc>
        <w:tc>
          <w:tcPr>
            <w:tcW w:type="dxa" w:w="1234"/>
            <w:shd w:val="clear" w:color="auto" w:fill="1F4E79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234"/>
            <w:shd w:val="clear" w:color="auto" w:fill="1F4E79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FFFFFF"/>
                <w:sz w:val="17"/>
              </w:rPr>
              <w:t>Meta</w:t>
            </w:r>
          </w:p>
        </w:tc>
        <w:tc>
          <w:tcPr>
            <w:tcW w:type="dxa" w:w="1234"/>
            <w:shd w:val="clear" w:color="auto" w:fill="1F4E79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FFFFFF"/>
                <w:sz w:val="17"/>
              </w:rPr>
              <w:t>Tolerância</w:t>
            </w:r>
          </w:p>
        </w:tc>
        <w:tc>
          <w:tcPr>
            <w:tcW w:type="dxa" w:w="1234"/>
            <w:shd w:val="clear" w:color="auto" w:fill="1F4E79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FFFFFF"/>
                <w:sz w:val="17"/>
              </w:rPr>
              <w:t>Valor crítico (superação)</w:t>
            </w:r>
          </w:p>
        </w:tc>
        <w:tc>
          <w:tcPr>
            <w:tcW w:type="dxa" w:w="1234"/>
            <w:shd w:val="clear" w:color="auto" w:fill="1F4E79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FFFFFF"/>
                <w:sz w:val="17"/>
              </w:rPr>
              <w:t>Peso</w:t>
            </w:r>
          </w:p>
        </w:tc>
        <w:tc>
          <w:tcPr>
            <w:tcW w:type="dxa" w:w="1234"/>
            <w:shd w:val="clear" w:color="auto" w:fill="1F4E79"/>
          </w:tcPr>
          <w:p>
            <w:pPr>
              <w:spacing w:after="20" w:before="20"/>
            </w:pPr>
            <w:r/>
            <w:r>
              <w:rPr>
                <w:b/>
                <w:i w:val="0"/>
                <w:color w:val="FFFFFF"/>
                <w:sz w:val="17"/>
              </w:rPr>
              <w:t>Fonte de verificação</w:t>
            </w:r>
          </w:p>
        </w:tc>
      </w:tr>
      <w:tr>
        <w:tc>
          <w:tcPr>
            <w:tcW w:type="dxa" w:w="8638"/>
            <w:gridSpan w:val="7"/>
            <w:shd w:val="clear" w:color="auto" w:fill="D9E1F2"/>
          </w:tcPr>
          <w:p>
            <w:pPr>
              <w:spacing w:after="20" w:before="20"/>
            </w:pPr>
            <w:r/>
            <w:r>
              <w:rPr>
                <w:b/>
                <w:i w:val="0"/>
                <w:sz w:val="18"/>
              </w:rPr>
              <w:t>Parâmetro: EFICÁCIA — ponderação 40%</w:t>
            </w:r>
          </w:p>
        </w:tc>
      </w:tr>
      <w:tr>
        <w:tc>
          <w:tcPr>
            <w:tcW w:type="dxa" w:w="1234"/>
          </w:tcPr>
          <w:p>
            <w:pPr>
              <w:spacing w:after="20" w:before="20"/>
            </w:pPr>
            <w:r/>
            <w:r>
              <w:rPr>
                <w:b w:val="0"/>
                <w:i w:val="0"/>
                <w:sz w:val="17"/>
              </w:rPr>
              <w:t>OOp 1. Assegurar a conclusão tempestiva dos processos</w:t>
            </w:r>
          </w:p>
        </w:tc>
        <w:tc>
          <w:tcPr>
            <w:tcW w:type="dxa" w:w="1234"/>
          </w:tcPr>
          <w:p>
            <w:pPr>
              <w:spacing w:after="20" w:before="20"/>
            </w:pPr>
            <w:r/>
            <w:r>
              <w:rPr>
                <w:b w:val="0"/>
                <w:i w:val="0"/>
                <w:sz w:val="17"/>
              </w:rPr>
              <w:t>Taxa de conclusão de processos no ano</w:t>
            </w:r>
          </w:p>
        </w:tc>
        <w:tc>
          <w:tcPr>
            <w:tcW w:type="dxa" w:w="1234"/>
          </w:tcPr>
          <w:p>
            <w:pPr>
              <w:spacing w:after="20" w:before="20"/>
            </w:pPr>
            <w:r/>
            <w:r>
              <w:rPr>
                <w:b w:val="0"/>
                <w:i w:val="0"/>
                <w:sz w:val="17"/>
              </w:rPr>
              <w:t>≥ 92%</w:t>
            </w:r>
          </w:p>
        </w:tc>
        <w:tc>
          <w:tcPr>
            <w:tcW w:type="dxa" w:w="1234"/>
          </w:tcPr>
          <w:p>
            <w:pPr>
              <w:spacing w:after="20" w:before="20"/>
            </w:pPr>
            <w:r/>
            <w:r>
              <w:rPr>
                <w:b w:val="0"/>
                <w:i w:val="0"/>
                <w:sz w:val="17"/>
              </w:rPr>
              <w:t>90%</w:t>
            </w:r>
          </w:p>
        </w:tc>
        <w:tc>
          <w:tcPr>
            <w:tcW w:type="dxa" w:w="1234"/>
          </w:tcPr>
          <w:p>
            <w:pPr>
              <w:spacing w:after="20" w:before="20"/>
            </w:pPr>
            <w:r/>
            <w:r>
              <w:rPr>
                <w:b w:val="0"/>
                <w:i w:val="0"/>
                <w:sz w:val="17"/>
              </w:rPr>
              <w:t>96%</w:t>
            </w:r>
          </w:p>
        </w:tc>
        <w:tc>
          <w:tcPr>
            <w:tcW w:type="dxa" w:w="1234"/>
          </w:tcPr>
          <w:p>
            <w:pPr>
              <w:spacing w:after="20" w:before="20"/>
            </w:pPr>
            <w:r/>
            <w:r>
              <w:rPr>
                <w:b w:val="0"/>
                <w:i w:val="0"/>
                <w:sz w:val="17"/>
              </w:rPr>
              <w:t>20%</w:t>
            </w:r>
          </w:p>
        </w:tc>
        <w:tc>
          <w:tcPr>
            <w:tcW w:type="dxa" w:w="1234"/>
          </w:tcPr>
          <w:p>
            <w:pPr>
              <w:spacing w:after="20" w:before="20"/>
            </w:pPr>
            <w:r/>
            <w:r>
              <w:rPr>
                <w:b w:val="0"/>
                <w:i w:val="0"/>
                <w:sz w:val="17"/>
              </w:rPr>
              <w:t>Ficheiro de Processos (entrados/concluídos)</w:t>
            </w:r>
          </w:p>
        </w:tc>
      </w:tr>
      <w:tr>
        <w:tc>
          <w:tcPr>
            <w:tcW w:type="dxa" w:w="1234"/>
          </w:tcPr>
          <w:p>
            <w:pPr>
              <w:spacing w:after="20" w:before="20"/>
            </w:pPr>
            <w:r/>
            <w:r>
              <w:rPr>
                <w:b w:val="0"/>
                <w:i w:val="0"/>
                <w:sz w:val="17"/>
              </w:rPr>
              <w:t>OOp 2. Garantir a resposta no período de maior pressão</w:t>
            </w:r>
          </w:p>
        </w:tc>
        <w:tc>
          <w:tcPr>
            <w:tcW w:type="dxa" w:w="1234"/>
          </w:tcPr>
          <w:p>
            <w:pPr>
              <w:spacing w:after="20" w:before="20"/>
            </w:pPr>
            <w:r/>
            <w:r>
              <w:rPr>
                <w:b w:val="0"/>
                <w:i w:val="0"/>
                <w:sz w:val="17"/>
              </w:rPr>
              <w:t>Taxa de conclusão nos meses de pico (setembro + outubro)</w:t>
            </w:r>
          </w:p>
        </w:tc>
        <w:tc>
          <w:tcPr>
            <w:tcW w:type="dxa" w:w="1234"/>
          </w:tcPr>
          <w:p>
            <w:pPr>
              <w:spacing w:after="20" w:before="20"/>
            </w:pPr>
            <w:r/>
            <w:r>
              <w:rPr>
                <w:b w:val="0"/>
                <w:i w:val="0"/>
                <w:sz w:val="17"/>
              </w:rPr>
              <w:t>≥ 90%</w:t>
            </w:r>
          </w:p>
        </w:tc>
        <w:tc>
          <w:tcPr>
            <w:tcW w:type="dxa" w:w="1234"/>
          </w:tcPr>
          <w:p>
            <w:pPr>
              <w:spacing w:after="20" w:before="20"/>
            </w:pPr>
            <w:r/>
            <w:r>
              <w:rPr>
                <w:b w:val="0"/>
                <w:i w:val="0"/>
                <w:sz w:val="17"/>
              </w:rPr>
              <w:t>86%</w:t>
            </w:r>
          </w:p>
        </w:tc>
        <w:tc>
          <w:tcPr>
            <w:tcW w:type="dxa" w:w="1234"/>
          </w:tcPr>
          <w:p>
            <w:pPr>
              <w:spacing w:after="20" w:before="20"/>
            </w:pPr>
            <w:r/>
            <w:r>
              <w:rPr>
                <w:b w:val="0"/>
                <w:i w:val="0"/>
                <w:sz w:val="17"/>
              </w:rPr>
              <w:t>93%</w:t>
            </w:r>
          </w:p>
        </w:tc>
        <w:tc>
          <w:tcPr>
            <w:tcW w:type="dxa" w:w="1234"/>
          </w:tcPr>
          <w:p>
            <w:pPr>
              <w:spacing w:after="20" w:before="20"/>
            </w:pPr>
            <w:r/>
            <w:r>
              <w:rPr>
                <w:b w:val="0"/>
                <w:i w:val="0"/>
                <w:sz w:val="17"/>
              </w:rPr>
              <w:t>10%</w:t>
            </w:r>
          </w:p>
        </w:tc>
        <w:tc>
          <w:tcPr>
            <w:tcW w:type="dxa" w:w="1234"/>
          </w:tcPr>
          <w:p>
            <w:pPr>
              <w:spacing w:after="20" w:before="20"/>
            </w:pPr>
            <w:r/>
            <w:r>
              <w:rPr>
                <w:b w:val="0"/>
                <w:i w:val="0"/>
                <w:sz w:val="17"/>
              </w:rPr>
              <w:t>Ficheiro de Processos (set+out)</w:t>
            </w:r>
          </w:p>
        </w:tc>
      </w:tr>
      <w:tr>
        <w:tc>
          <w:tcPr>
            <w:tcW w:type="dxa" w:w="1234"/>
          </w:tcPr>
          <w:p>
            <w:pPr>
              <w:spacing w:after="20" w:before="20"/>
            </w:pPr>
            <w:r/>
            <w:r>
              <w:rPr>
                <w:b w:val="0"/>
                <w:i w:val="0"/>
                <w:sz w:val="17"/>
              </w:rPr>
              <w:t>OOp 3. Acelerar a emissão de certidões</w:t>
            </w:r>
          </w:p>
        </w:tc>
        <w:tc>
          <w:tcPr>
            <w:tcW w:type="dxa" w:w="1234"/>
          </w:tcPr>
          <w:p>
            <w:pPr>
              <w:spacing w:after="20" w:before="20"/>
            </w:pPr>
            <w:r/>
            <w:r>
              <w:rPr>
                <w:b w:val="0"/>
                <w:i w:val="0"/>
                <w:sz w:val="17"/>
              </w:rPr>
              <w:t>Prazo médio de emissão de certidões</w:t>
            </w:r>
          </w:p>
        </w:tc>
        <w:tc>
          <w:tcPr>
            <w:tcW w:type="dxa" w:w="1234"/>
          </w:tcPr>
          <w:p>
            <w:pPr>
              <w:spacing w:after="20" w:before="20"/>
            </w:pPr>
            <w:r/>
            <w:r>
              <w:rPr>
                <w:b w:val="0"/>
                <w:i w:val="0"/>
                <w:sz w:val="17"/>
              </w:rPr>
              <w:t>≤ 5 dias úteis</w:t>
            </w:r>
          </w:p>
        </w:tc>
        <w:tc>
          <w:tcPr>
            <w:tcW w:type="dxa" w:w="1234"/>
          </w:tcPr>
          <w:p>
            <w:pPr>
              <w:spacing w:after="20" w:before="20"/>
            </w:pPr>
            <w:r/>
            <w:r>
              <w:rPr>
                <w:b w:val="0"/>
                <w:i w:val="0"/>
                <w:sz w:val="17"/>
              </w:rPr>
              <w:t>≤ 6 dias úteis</w:t>
            </w:r>
          </w:p>
        </w:tc>
        <w:tc>
          <w:tcPr>
            <w:tcW w:type="dxa" w:w="1234"/>
          </w:tcPr>
          <w:p>
            <w:pPr>
              <w:spacing w:after="20" w:before="20"/>
            </w:pPr>
            <w:r/>
            <w:r>
              <w:rPr>
                <w:b w:val="0"/>
                <w:i w:val="0"/>
                <w:sz w:val="17"/>
              </w:rPr>
              <w:t>≤ 4 dias úteis</w:t>
            </w:r>
          </w:p>
        </w:tc>
        <w:tc>
          <w:tcPr>
            <w:tcW w:type="dxa" w:w="1234"/>
          </w:tcPr>
          <w:p>
            <w:pPr>
              <w:spacing w:after="20" w:before="20"/>
            </w:pPr>
            <w:r/>
            <w:r>
              <w:rPr>
                <w:b w:val="0"/>
                <w:i w:val="0"/>
                <w:sz w:val="17"/>
              </w:rPr>
              <w:t>10%</w:t>
            </w:r>
          </w:p>
        </w:tc>
        <w:tc>
          <w:tcPr>
            <w:tcW w:type="dxa" w:w="1234"/>
          </w:tcPr>
          <w:p>
            <w:pPr>
              <w:spacing w:after="20" w:before="20"/>
            </w:pPr>
            <w:r/>
            <w:r>
              <w:rPr>
                <w:b w:val="0"/>
                <w:i w:val="0"/>
                <w:sz w:val="17"/>
              </w:rPr>
              <w:t>Ficheiro de Processos (Certidões)</w:t>
            </w:r>
          </w:p>
        </w:tc>
      </w:tr>
      <w:tr>
        <w:tc>
          <w:tcPr>
            <w:tcW w:type="dxa" w:w="8638"/>
            <w:gridSpan w:val="7"/>
            <w:shd w:val="clear" w:color="auto" w:fill="D9E1F2"/>
          </w:tcPr>
          <w:p>
            <w:pPr>
              <w:spacing w:after="20" w:before="20"/>
            </w:pPr>
            <w:r/>
            <w:r>
              <w:rPr>
                <w:b/>
                <w:i w:val="0"/>
                <w:sz w:val="18"/>
              </w:rPr>
              <w:t>Parâmetro: EFICIÊNCIA — ponderação 25%</w:t>
            </w:r>
          </w:p>
        </w:tc>
      </w:tr>
      <w:tr>
        <w:tc>
          <w:tcPr>
            <w:tcW w:type="dxa" w:w="1234"/>
          </w:tcPr>
          <w:p>
            <w:pPr>
              <w:spacing w:after="20" w:before="20"/>
            </w:pPr>
            <w:r/>
            <w:r>
              <w:rPr>
                <w:b w:val="0"/>
                <w:i w:val="0"/>
                <w:sz w:val="17"/>
              </w:rPr>
              <w:t>OOp 4. Melhorar o prazo de resposta global do serviço</w:t>
            </w:r>
          </w:p>
        </w:tc>
        <w:tc>
          <w:tcPr>
            <w:tcW w:type="dxa" w:w="1234"/>
          </w:tcPr>
          <w:p>
            <w:pPr>
              <w:spacing w:after="20" w:before="20"/>
            </w:pPr>
            <w:r/>
            <w:r>
              <w:rPr>
                <w:b w:val="0"/>
                <w:i w:val="0"/>
                <w:sz w:val="17"/>
              </w:rPr>
              <w:t>Prazo médio de conclusão de processos</w:t>
            </w:r>
          </w:p>
        </w:tc>
        <w:tc>
          <w:tcPr>
            <w:tcW w:type="dxa" w:w="1234"/>
          </w:tcPr>
          <w:p>
            <w:pPr>
              <w:spacing w:after="20" w:before="20"/>
            </w:pPr>
            <w:r/>
            <w:r>
              <w:rPr>
                <w:b w:val="0"/>
                <w:i w:val="0"/>
                <w:sz w:val="17"/>
              </w:rPr>
              <w:t>≤ 12 dias úteis</w:t>
            </w:r>
          </w:p>
        </w:tc>
        <w:tc>
          <w:tcPr>
            <w:tcW w:type="dxa" w:w="1234"/>
          </w:tcPr>
          <w:p>
            <w:pPr>
              <w:spacing w:after="20" w:before="20"/>
            </w:pPr>
            <w:r/>
            <w:r>
              <w:rPr>
                <w:b w:val="0"/>
                <w:i w:val="0"/>
                <w:sz w:val="17"/>
              </w:rPr>
              <w:t>≤ 13 dias úteis</w:t>
            </w:r>
          </w:p>
        </w:tc>
        <w:tc>
          <w:tcPr>
            <w:tcW w:type="dxa" w:w="1234"/>
          </w:tcPr>
          <w:p>
            <w:pPr>
              <w:spacing w:after="20" w:before="20"/>
            </w:pPr>
            <w:r/>
            <w:r>
              <w:rPr>
                <w:b w:val="0"/>
                <w:i w:val="0"/>
                <w:sz w:val="17"/>
              </w:rPr>
              <w:t>≤ 10 dias úteis</w:t>
            </w:r>
          </w:p>
        </w:tc>
        <w:tc>
          <w:tcPr>
            <w:tcW w:type="dxa" w:w="1234"/>
          </w:tcPr>
          <w:p>
            <w:pPr>
              <w:spacing w:after="20" w:before="20"/>
            </w:pPr>
            <w:r/>
            <w:r>
              <w:rPr>
                <w:b w:val="0"/>
                <w:i w:val="0"/>
                <w:sz w:val="17"/>
              </w:rPr>
              <w:t>25%</w:t>
            </w:r>
          </w:p>
        </w:tc>
        <w:tc>
          <w:tcPr>
            <w:tcW w:type="dxa" w:w="1234"/>
          </w:tcPr>
          <w:p>
            <w:pPr>
              <w:spacing w:after="20" w:before="20"/>
            </w:pPr>
            <w:r/>
            <w:r>
              <w:rPr>
                <w:b w:val="0"/>
                <w:i w:val="0"/>
                <w:sz w:val="17"/>
              </w:rPr>
              <w:t>Ficheiro de Processos</w:t>
            </w:r>
          </w:p>
        </w:tc>
      </w:tr>
      <w:tr>
        <w:tc>
          <w:tcPr>
            <w:tcW w:type="dxa" w:w="8638"/>
            <w:gridSpan w:val="7"/>
            <w:shd w:val="clear" w:color="auto" w:fill="D9E1F2"/>
          </w:tcPr>
          <w:p>
            <w:pPr>
              <w:spacing w:after="20" w:before="20"/>
            </w:pPr>
            <w:r/>
            <w:r>
              <w:rPr>
                <w:b/>
                <w:i w:val="0"/>
                <w:sz w:val="18"/>
              </w:rPr>
              <w:t>Parâmetro: QUALIDADE — ponderação 35%</w:t>
            </w:r>
          </w:p>
        </w:tc>
      </w:tr>
      <w:tr>
        <w:tc>
          <w:tcPr>
            <w:tcW w:type="dxa" w:w="1234"/>
          </w:tcPr>
          <w:p>
            <w:pPr>
              <w:spacing w:after="20" w:before="20"/>
            </w:pPr>
            <w:r/>
            <w:r>
              <w:rPr>
                <w:b w:val="0"/>
                <w:i w:val="0"/>
                <w:sz w:val="17"/>
              </w:rPr>
              <w:t>OOp 5. Garantir a satisfação dos utentes no atendimento</w:t>
            </w:r>
          </w:p>
        </w:tc>
        <w:tc>
          <w:tcPr>
            <w:tcW w:type="dxa" w:w="1234"/>
          </w:tcPr>
          <w:p>
            <w:pPr>
              <w:spacing w:after="20" w:before="20"/>
            </w:pPr>
            <w:r/>
            <w:r>
              <w:rPr>
                <w:b w:val="0"/>
                <w:i w:val="0"/>
                <w:sz w:val="17"/>
              </w:rPr>
              <w:t>Satisfação média no atendimento (escala 1-5)</w:t>
            </w:r>
          </w:p>
        </w:tc>
        <w:tc>
          <w:tcPr>
            <w:tcW w:type="dxa" w:w="1234"/>
          </w:tcPr>
          <w:p>
            <w:pPr>
              <w:spacing w:after="20" w:before="20"/>
            </w:pPr>
            <w:r/>
            <w:r>
              <w:rPr>
                <w:b w:val="0"/>
                <w:i w:val="0"/>
                <w:sz w:val="17"/>
              </w:rPr>
              <w:t>≥ 4,0</w:t>
            </w:r>
          </w:p>
        </w:tc>
        <w:tc>
          <w:tcPr>
            <w:tcW w:type="dxa" w:w="1234"/>
          </w:tcPr>
          <w:p>
            <w:pPr>
              <w:spacing w:after="20" w:before="20"/>
            </w:pPr>
            <w:r/>
            <w:r>
              <w:rPr>
                <w:b w:val="0"/>
                <w:i w:val="0"/>
                <w:sz w:val="17"/>
              </w:rPr>
              <w:t>≥ 3,90</w:t>
            </w:r>
          </w:p>
        </w:tc>
        <w:tc>
          <w:tcPr>
            <w:tcW w:type="dxa" w:w="1234"/>
          </w:tcPr>
          <w:p>
            <w:pPr>
              <w:spacing w:after="20" w:before="20"/>
            </w:pPr>
            <w:r/>
            <w:r>
              <w:rPr>
                <w:b w:val="0"/>
                <w:i w:val="0"/>
                <w:sz w:val="17"/>
              </w:rPr>
              <w:t>≥ 4,3</w:t>
            </w:r>
          </w:p>
        </w:tc>
        <w:tc>
          <w:tcPr>
            <w:tcW w:type="dxa" w:w="1234"/>
          </w:tcPr>
          <w:p>
            <w:pPr>
              <w:spacing w:after="20" w:before="20"/>
            </w:pPr>
            <w:r/>
            <w:r>
              <w:rPr>
                <w:b w:val="0"/>
                <w:i w:val="0"/>
                <w:sz w:val="17"/>
              </w:rPr>
              <w:t>20%</w:t>
            </w:r>
          </w:p>
        </w:tc>
        <w:tc>
          <w:tcPr>
            <w:tcW w:type="dxa" w:w="1234"/>
          </w:tcPr>
          <w:p>
            <w:pPr>
              <w:spacing w:after="20" w:before="20"/>
            </w:pPr>
            <w:r/>
            <w:r>
              <w:rPr>
                <w:b w:val="0"/>
                <w:i w:val="0"/>
                <w:sz w:val="17"/>
              </w:rPr>
              <w:t>Ficheiro de Atendimentos</w:t>
            </w:r>
          </w:p>
        </w:tc>
      </w:tr>
      <w:tr>
        <w:tc>
          <w:tcPr>
            <w:tcW w:type="dxa" w:w="1234"/>
          </w:tcPr>
          <w:p>
            <w:pPr>
              <w:spacing w:after="20" w:before="20"/>
            </w:pPr>
            <w:r/>
            <w:r>
              <w:rPr>
                <w:b w:val="0"/>
                <w:i w:val="0"/>
                <w:sz w:val="17"/>
              </w:rPr>
              <w:t>OOp 6. Promover a utilização dos canais digitais</w:t>
            </w:r>
          </w:p>
        </w:tc>
        <w:tc>
          <w:tcPr>
            <w:tcW w:type="dxa" w:w="1234"/>
          </w:tcPr>
          <w:p>
            <w:pPr>
              <w:spacing w:after="20" w:before="20"/>
            </w:pPr>
            <w:r/>
            <w:r>
              <w:rPr>
                <w:b w:val="0"/>
                <w:i w:val="0"/>
                <w:sz w:val="17"/>
              </w:rPr>
              <w:t>% de atendimentos por canais digitais (portal online + e-mail)</w:t>
            </w:r>
          </w:p>
        </w:tc>
        <w:tc>
          <w:tcPr>
            <w:tcW w:type="dxa" w:w="1234"/>
          </w:tcPr>
          <w:p>
            <w:pPr>
              <w:spacing w:after="20" w:before="20"/>
            </w:pPr>
            <w:r/>
            <w:r>
              <w:rPr>
                <w:b w:val="0"/>
                <w:i w:val="0"/>
                <w:sz w:val="17"/>
              </w:rPr>
              <w:t>≥ 60%</w:t>
            </w:r>
          </w:p>
        </w:tc>
        <w:tc>
          <w:tcPr>
            <w:tcW w:type="dxa" w:w="1234"/>
          </w:tcPr>
          <w:p>
            <w:pPr>
              <w:spacing w:after="20" w:before="20"/>
            </w:pPr>
            <w:r/>
            <w:r>
              <w:rPr>
                <w:b w:val="0"/>
                <w:i w:val="0"/>
                <w:sz w:val="17"/>
              </w:rPr>
              <w:t>≥ 57%</w:t>
            </w:r>
          </w:p>
        </w:tc>
        <w:tc>
          <w:tcPr>
            <w:tcW w:type="dxa" w:w="1234"/>
          </w:tcPr>
          <w:p>
            <w:pPr>
              <w:spacing w:after="20" w:before="20"/>
            </w:pPr>
            <w:r/>
            <w:r>
              <w:rPr>
                <w:b w:val="0"/>
                <w:i w:val="0"/>
                <w:sz w:val="17"/>
              </w:rPr>
              <w:t>≥ 65%</w:t>
            </w:r>
          </w:p>
        </w:tc>
        <w:tc>
          <w:tcPr>
            <w:tcW w:type="dxa" w:w="1234"/>
          </w:tcPr>
          <w:p>
            <w:pPr>
              <w:spacing w:after="20" w:before="20"/>
            </w:pPr>
            <w:r/>
            <w:r>
              <w:rPr>
                <w:b w:val="0"/>
                <w:i w:val="0"/>
                <w:sz w:val="17"/>
              </w:rPr>
              <w:t>15%</w:t>
            </w:r>
          </w:p>
        </w:tc>
        <w:tc>
          <w:tcPr>
            <w:tcW w:type="dxa" w:w="1234"/>
          </w:tcPr>
          <w:p>
            <w:pPr>
              <w:spacing w:after="20" w:before="20"/>
            </w:pPr>
            <w:r/>
            <w:r>
              <w:rPr>
                <w:b w:val="0"/>
                <w:i w:val="0"/>
                <w:sz w:val="17"/>
              </w:rPr>
              <w:t>Ficheiro de Atendimentos</w:t>
            </w:r>
          </w:p>
        </w:tc>
      </w:tr>
    </w:tbl>
    <w:p>
      <w:r>
        <w:rPr>
          <w:b/>
        </w:rPr>
        <w:t xml:space="preserve">Como se lê o quadro. </w:t>
      </w:r>
      <w:r>
        <w:t>A meta é o valor a atingir; a tolerância é o limite a partir do qual o objetivo se considera parcialmente cumprido; o valor crítico é o nível de superação. O grau de cumprimento (cumprido / parcialmente cumprido / não cumprido) não consta deste quadro: apura-se cruzando estas metas com a execução real registada nos ficheiros de Processos e de Atendimentos. As médias de prazos e de satisfação ponderam-se pelo volume.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