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Objetivos do dirigente 2025/2026 — Diretor dos Serviços Académicos (SIADAP 2)</w:t>
      </w:r>
    </w:p>
    <w:p>
      <w:r>
        <w:t>Carta de objetivos fixada ao dirigente para o ciclo 2025/2026, no âmbito do SIADAP 2. A avaliação assenta em dois parâmetros — Objetivos (ponderação 75%) e Competências (ponderação 25%). Os objetivos do dirigente decorrem, em cascata, dos objetivos do serviço fixados no QUAR (SIADAP 1): cada objetivo abaixo identifica o objetivo do QUAR para que contribui.</w:t>
      </w:r>
    </w:p>
    <w:p>
      <w:r>
        <w:rPr>
          <w:b/>
        </w:rPr>
        <w:t xml:space="preserve">Nota sobre a ligação ao QUAR. </w:t>
      </w:r>
      <w:r>
        <w:t>No SIADAP, os objetivos do dirigente não são autónomos — traduzem, ao nível da responsabilidade individual do diretor, os compromissos assumidos pelo serviço no QUAR. A coluna «Contributo para o QUAR» torna essa cascata explícita.</w:t>
      </w:r>
    </w:p>
    <w:p>
      <w:pPr>
        <w:pStyle w:val="Heading1"/>
      </w:pPr>
      <w:r>
        <w:t>Parâmetro 1 — Objetivos (ponderação 75%)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Objetivo do dirigente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Indicador / meta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Peso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Contributo para o QUAR (SIADAP 1)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17"/>
              </w:rPr>
              <w:t>Fonte de verificação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OD 1. Implementar o portal de requerimentos online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Portal em produção até março de 2026 e % de atendimentos por canais digitais ≥ 60% no ano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25%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→ Qualidade, OOp 6 (promover os canais digitais)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Notas de atividade + Ficheiro de Atendimentos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OD 2. Melhorar o prazo de resposta do serviço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Prazo médio de conclusão de processos ≤ 12 dias úteis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20%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→ Eficiência, OOp 4 (prazo de resposta global) — espelho directo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Ficheiro de Processos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OD 3. Concluir a digitalização do arquivo corrente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100% do arquivo corrente digitalizado e indexado no ano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15%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→ Eficácia, OOp 1 (base da conclusão tempestiva)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Notas de atividade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OD 4. Executar o plano de formação da equipa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≥ 20 horas de formação por colaborador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15%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→ Qualidade, OOp 5 + Competências da equipa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Notas de atividade (registo de formação)</w:t>
            </w:r>
          </w:p>
        </w:tc>
      </w:tr>
    </w:tbl>
    <w:p>
      <w:r>
        <w:rPr>
          <w:i/>
        </w:rPr>
        <w:t>Soma das ponderações dos objetivos: 75%.</w:t>
      </w:r>
    </w:p>
    <w:p>
      <w:pPr>
        <w:pStyle w:val="Heading1"/>
      </w:pPr>
      <w:r>
        <w:t>Parâmetro 2 — Competências (ponderação 25%)</w:t>
      </w:r>
    </w:p>
    <w:p>
      <w:r>
        <w:t>Avaliação de natureza qualitativa, atribuída pelo superior hierárquico no final do ciclo. Ao contrário dos objetivos, as competências não se apuram a partir dos ficheiros de execução — não há indicador numérico nos Excel que as meça. Competências fixadas:</w:t>
      </w:r>
    </w:p>
    <w:p>
      <w:pPr>
        <w:pStyle w:val="ListBullet"/>
      </w:pPr>
      <w:r>
        <w:t>Orientação para resultados — capacidade de concretizar os objetivos do serviço dentro dos prazos.</w:t>
      </w:r>
    </w:p>
    <w:p>
      <w:pPr>
        <w:pStyle w:val="ListBullet"/>
      </w:pPr>
      <w:r>
        <w:t>Liderança e gestão da equipa — mobilização e desenvolvimento dos colaboradores, sobretudo em períodos de sobrecarga.</w:t>
      </w:r>
    </w:p>
    <w:p>
      <w:pPr>
        <w:pStyle w:val="ListBullet"/>
      </w:pPr>
      <w:r>
        <w:t>Otimização de recursos e inovação — melhoria de processos e adoção de soluções digitais.</w:t>
      </w:r>
    </w:p>
    <w:p>
      <w:pPr>
        <w:pStyle w:val="ListBullet"/>
      </w:pPr>
      <w:r>
        <w:t>Orientação para o utente — foco na qualidade e na acessibilidade do atendimento.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