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b/>
          <w:bCs/>
          <w:color w:val="1F3864"/>
          <w:sz w:val="36"/>
          <w:szCs w:val="36"/>
        </w:rPr>
        <w:t xml:space="preserve">Exercício Autónomo 3 — ESTG-IPL: Estágios Curriculares</w:t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Contexto</w:t>
      </w:r>
    </w:p>
    <w:p>
      <w:pPr>
        <w:spacing w:after="80"/>
      </w:pPr>
      <w:r>
        <w:rPr>
          <w:i/>
          <w:iCs/>
        </w:rPr>
        <w:t xml:space="preserve">A ESTG-IPL gere estágios curriculares para todos os cursos de licenciatura. Cada aluno é colocado numa empresa da região, com um orientador da escola e um supervisor da empresa. O processo actual é gerido por email entre coordenadores, alunos e empresas. Não existe base de dados centralizada — cada coordenador tem o seu Excel.</w:t>
      </w:r>
    </w:p>
    <w:p>
      <w:pPr>
        <w:spacing w:after="100" w:before="160"/>
      </w:pPr>
      <w:r>
        <w:rPr>
          <w:b/>
          <w:bCs/>
          <w:color w:val="1F3864"/>
          <w:sz w:val="24"/>
          <w:szCs w:val="24"/>
        </w:rPr>
        <w:t xml:space="preserve">Dados actuais (exemplo)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tblHeader/>
        </w:trPr>
        <w:tc>
          <w:tcPr>
            <w:tcW w:type="dxa" w:w="87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Aluno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NumAluno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Curso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Empresa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NIFEmp.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Supervisor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OrientESTG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Tema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DataIni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DataFim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Nota</w:t>
            </w:r>
          </w:p>
        </w:tc>
      </w:tr>
      <w:tr>
        <w:tc>
          <w:tcPr>
            <w:tcW w:type="dxa" w:w="87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João Silva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2100123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EI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TechLeiria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501111222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Dr. Rui Costa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Prof. Ana Matos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App Mobile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2025-02-01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2025-06-30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87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Maria Costa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2100456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EI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TechLeiria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501111222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Dr. Rui Costa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Prof. Ana Matos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Chatbot IA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2025-02-01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2025-06-30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87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Pedro Santos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2100789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GAP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CM Leiria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500222333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Dra. Sofia Lima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Prof. Carlos Dias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Gestão RH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2025-03-01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2025-07-31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87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Ana Ferreira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2100234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CTESP-TI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WebSoft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509444555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Eng. Tiago Lopes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Prof. Ana Matos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E-commerce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2025-02-15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2025-05-15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1 — Determinar entidades</w:t>
      </w:r>
    </w:p>
    <w:p>
      <w:pPr>
        <w:spacing w:after="80"/>
      </w:pPr>
      <w:r>
        <w:t xml:space="preserve">Liste as entidades que identifica no cenário. Uma entidade representa algo que existe independentemente (pessoa, objecto, evento) e sobre a qual queremos guardar dados.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«coisas» o cenário descreve? Cada uma pode tornar-se uma entidade?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curta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2 — Desenhar DER simplificado</w:t>
      </w:r>
    </w:p>
    <w:p>
      <w:pPr>
        <w:spacing w:after="80"/>
      </w:pPr>
      <w:r>
        <w:t xml:space="preserve">Liste as relações entre pares de entidades, sem atributos ainda. Pode esboçar o diagrama em papel ou começar no ERDPlus.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Entre que entidades existe ligação? Use um verbo curto para dar nome à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Relação (verbo)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A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B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3 — Definir pressupostos</w:t>
      </w:r>
    </w:p>
    <w:p>
      <w:pPr>
        <w:spacing w:after="80"/>
      </w:pPr>
      <w:r>
        <w:t xml:space="preserve">Um pressuposto é uma regra de negócio explícita que justifica as cardinalidades. Escreva frases claras do tipo «Cada X tem um Y» ou «Um Z pode ter vários W».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O que é obrigatório? O que é opcional? Qual é o máximo de ligações em cada lado?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1.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2.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3.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4.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5.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6.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7.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4 — Desenhar DER completo</w:t>
      </w:r>
    </w:p>
    <w:p>
      <w:pPr>
        <w:spacing w:after="80"/>
      </w:pPr>
      <w:r>
        <w:t xml:space="preserve">Para cada entidade indique os atributos, a chave primária candidata e as cardinalidades das suas relações (1:1, 1:N, M:N) com indicação de obrigatoriedade.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Desenhe no ERDPlus com atributos em elipses, chave sublinhada e cardinalidades nas linhas da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8"/>
        <w:gridCol w:w="16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candidata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5 — Determinar tabelas (aplicar regras de construção)</w:t>
      </w:r>
    </w:p>
    <w:p>
      <w:pPr>
        <w:spacing w:after="80"/>
      </w:pPr>
      <w:r>
        <w:t xml:space="preserve">Para cada relação, identifique a cardinalidade e a participação, escolha a regra aplicável (1 a 6) e indique o número de tabelas resultantes e onde fica a chave estrangeira.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Regra 1: 1:1 ambas obrig. → 1 tabela  |  Regra 2: 1:1 obrig. numa → 2  |  Regra 3: 1:1 nenhuma obrig. → 3  |  Regra 4: 1:N obrig. N → 2  |  Regra 5: 1:N não obrig. N → 3  |  Regra 6: N:M → 3</w:t>
            </w:r>
          </w:p>
        </w:tc>
      </w:tr>
    </w:tbl>
    <w:p>
      <w:pPr>
        <w:spacing w:after="12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1: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2: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3: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6 — Determinar chaves candidatas</w:t>
      </w:r>
    </w:p>
    <w:p>
      <w:pPr>
        <w:spacing w:after="80"/>
      </w:pPr>
      <w:r>
        <w:t xml:space="preserve">Para cada tabela, identifique os atributos (ou combinações) que podem identificar univocamente uma linha.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atributos são únicos por natureza? Qual serve para distinguir linhas sem ambiguidade?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Chaves candidatas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7 — Determinar chaves primárias</w:t>
      </w:r>
    </w:p>
    <w:p>
      <w:pPr>
        <w:spacing w:after="80"/>
      </w:pPr>
      <w:r>
        <w:t xml:space="preserve">Escolha a PK de cada tabela entre as chaves candidatas. Justifique a escolha (estabilidade, simplicidade, comprimento).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Prefira códigos internos a dados que podem mudar (ex.: CC, email). Simples vence compostas sempre que possível.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escolhida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8 — Definir tabelas finais (esquema relacional)</w:t>
      </w:r>
    </w:p>
    <w:p>
      <w:pPr>
        <w:spacing w:after="80"/>
      </w:pPr>
      <w:r>
        <w:t xml:space="preserve">Escreva o esquema relacional final na notação TABELA(pk, atributo, #fk). Sublinhe a chave primária e prefixe as chaves estrangeiras com #.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Uma linha por tabela. As FKs apontam para as PKs das tabelas referenciadas.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9 — Definir domínio dos atributos (entidade principal)</w:t>
      </w:r>
    </w:p>
    <w:p>
      <w:pPr>
        <w:spacing w:after="80"/>
      </w:pPr>
      <w:r>
        <w:t xml:space="preserve">Para a entidade mais central do modelo, defina o tipo de dados, obrigatoriedade e restrições de cada atributo.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Tipos comuns: INTEGER, VARCHAR(n), DATE, DECIMAL(p,s), TEXT, BOOLEAN.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600"/>
        <w:gridCol w:w="2638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6"/>
        <w:szCs w:val="16"/>
      </w:rPr>
      <w:t xml:space="preserve">STI — MAP — 2025/2026    |   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left" w:pos="3600"/>
        <w:tab w:val="left" w:pos="6400"/>
        <w:tab w:val="left" w:pos="8800"/>
      </w:tabs>
    </w:pPr>
    <w:r>
      <w:rPr>
        <w:b/>
        <w:bCs/>
        <w:sz w:val="20"/>
        <w:szCs w:val="20"/>
      </w:rPr>
      <w:t xml:space="preserve">Nome: </w:t>
    </w:r>
    <w:r>
      <w:rPr>
        <w:sz w:val="20"/>
        <w:szCs w:val="20"/>
      </w:rPr>
      <w:t xml:space="preserve">_______________________________	</w:t>
    </w:r>
    <w:r>
      <w:rPr>
        <w:b/>
        <w:bCs/>
        <w:sz w:val="20"/>
        <w:szCs w:val="20"/>
      </w:rPr>
      <w:t xml:space="preserve">Nº: </w:t>
    </w:r>
    <w:r>
      <w:rPr>
        <w:sz w:val="20"/>
        <w:szCs w:val="20"/>
      </w:rPr>
      <w:t xml:space="preserve">__________	</w:t>
    </w:r>
    <w:r>
      <w:rPr>
        <w:b/>
        <w:bCs/>
        <w:sz w:val="20"/>
        <w:szCs w:val="20"/>
      </w:rPr>
      <w:t xml:space="preserve">Data: </w:t>
    </w:r>
    <w:r>
      <w:rPr>
        <w:sz w:val="20"/>
        <w:szCs w:val="20"/>
      </w:rPr>
      <w:t xml:space="preserve">___ / ___ / _____</w:t>
    </w:r>
  </w:p>
  <w:p>
    <w:pPr>
      <w:pBdr>
        <w:bottom w:val="single" w:color="1F3864" w:sz="6" w:space="4"/>
      </w:pBdr>
      <w:spacing w:after="60"/>
      <w:jc w:val="right"/>
    </w:pPr>
    <w:r>
      <w:rPr>
        <w:i/>
        <w:iCs/>
        <w:color w:val="1F3864"/>
        <w:sz w:val="18"/>
        <w:szCs w:val="18"/>
      </w:rPr>
      <w:t xml:space="preserve">Exercício Autónomo 3 — ESTG-IPL: Estágios Curriculares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Exercício Autónomo 3 — ESTG-IPL: Estágios Curriculares</dc:title>
  <dc:creator>ESTG-IPL — MAP — STI</dc:creator>
  <cp:lastModifiedBy>Un-named</cp:lastModifiedBy>
  <cp:revision>1</cp:revision>
  <dcterms:created xsi:type="dcterms:W3CDTF">2026-04-21T18:20:07.733Z</dcterms:created>
  <dcterms:modified xsi:type="dcterms:W3CDTF">2026-04-21T18:20:07.733Z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