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2 — Licenciamento de Obras Particulares</w:t>
      </w:r>
    </w:p>
    <w:p>
      <w:pPr>
        <w:pBdr>
          <w:top w:val="single" w:color="2E7D32" w:sz="4"/>
          <w:bottom w:val="single" w:color="2E7D32" w:sz="4"/>
          <w:left w:val="single" w:color="2E7D32" w:sz="4"/>
          <w:right w:val="single" w:color="2E7D32" w:sz="4"/>
        </w:pBdr>
        <w:shd w:fill="E8F4E8" w:val="clear"/>
        <w:spacing w:after="120" w:before="80"/>
      </w:pPr>
      <w:r>
        <w:rPr>
          <w:i/>
          <w:iCs/>
          <w:color w:val="1B5E20"/>
          <w:sz w:val="20"/>
          <w:szCs w:val="20"/>
        </w:rPr>
        <w:t xml:space="preserve">Versão com solução — todos os campos estão pré-preenchidos. Use para conferência após ter resolvido autonomamente, ou para consulta quando bloquear. Para maximizar a aprendizagem, tente primeiro a versão em branco.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O Gabinete de Urbanismo da Câmara Municipal de Vila Feliz recebe pedidos de licenciamento de obras particulares (construção, ampliação, demolição). Cada pedido é analisado por técnicos que emitem pareceres. Actualmente, o registo é feito em processos físicos e numa folha Excel com dados do requerente, obra e pareceres todos juntos.</w:t>
      </w:r>
    </w:p>
    <w:p>
      <w:pPr>
        <w:spacing w:after="100" w:before="160"/>
      </w:pPr>
      <w:r>
        <w:rPr>
          <w:b/>
          <w:bCs/>
          <w:color w:val="1F3864"/>
          <w:sz w:val="24"/>
          <w:szCs w:val="24"/>
        </w:rPr>
        <w:t xml:space="preserve">Dados actuais (exemplo)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1"/>
        <w:gridCol w:w="963"/>
        <w:gridCol w:w="963"/>
        <w:gridCol w:w="963"/>
        <w:gridCol w:w="963"/>
        <w:gridCol w:w="963"/>
        <w:gridCol w:w="963"/>
        <w:gridCol w:w="963"/>
        <w:gridCol w:w="963"/>
        <w:gridCol w:w="963"/>
      </w:tblGrid>
      <w:tr>
        <w:trPr>
          <w:tblHeader/>
        </w:trP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Requerente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NIF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Morada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NumProc.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TipoObra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Localização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Técnico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Especialidade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Parecer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DataParecer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2025-03-10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Manuel Ferreira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123456789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Nova, 3,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Construção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Lote 15, Z. Industrial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Rita Sousa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Eng. Civil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Favorável c/ cond.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2025-03-12</w:t>
            </w:r>
          </w:p>
        </w:tc>
      </w:tr>
      <w:tr>
        <w:tc>
          <w:tcPr>
            <w:tcW w:type="dxa" w:w="971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Sofia Lopes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987654321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Av. Mar, 8,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P-2025/002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Ampliação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R. Oliveira, 22, Vila Feliz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Carlos Mendes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Arquitectura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Desfavorável</w:t>
            </w:r>
          </w:p>
        </w:tc>
        <w:tc>
          <w:tcPr>
            <w:tcW w:type="dxa" w:w="963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sz w:val="14"/>
                <w:szCs w:val="14"/>
              </w:rPr>
              <w:t xml:space="preserve">2025-03-15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Pessoa/entidade que pede licenciamento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Pedido de licenciamento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Funcionário que analisa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submete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analisa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1. Cada processo pertence a exactamente um requerente.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2. Um requerente pode ter vários processos ao longo do tempo.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3. Um processo é analisado por vários técnicos de especialidades distintas.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4. Um técnico analisa vários processos.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5. Cada parecer resulta da combinação (técnico, processo) e tem data, resultado e observações.</w:t>
      </w:r>
    </w:p>
    <w:p>
      <w:pPr>
        <w:pBdr>
          <w:bottom w:val="single" w:color="AAAAAA" w:sz="4" w:space="1"/>
        </w:pBdr>
        <w:spacing w:after="120"/>
      </w:pPr>
      <w:r>
        <w:rPr>
          <w:i w:val="false"/>
          <w:iCs w:val="false"/>
          <w:color w:val="000000"/>
          <w:sz w:val="22"/>
          <w:szCs w:val="22"/>
        </w:rPr>
        <w:t xml:space="preserve">6. Todo processo tem um requerente; nem todo requerente tem processo activo.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codRequerente, nome, NIF, morada, telefone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submete Processo (1:N)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numProcesso, tipoObra, descricao, localizacao, dataEntrada, estado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submetido (N:1); analisado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codTecnico, nome, especialidade, email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analisa Processo (M:N)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(aplicar regras de construção)</w:t>
      </w:r>
    </w:p>
    <w:p>
      <w:pPr>
        <w:spacing w:after="80"/>
      </w:pPr>
      <w:r>
        <w:t xml:space="preserve">Solução detalhada para cada relação, identificando a cardinalidade, a participação, a regra aplicável e as tabelas resultantes.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Requerente → Processo (1:N, obrig. lado 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1:N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Obrig. no Processo; não obrig. no Requerente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4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 codRequerente → FK no Processo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REQUERENTE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codRequerente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nome, NIF, morada, telefone)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PROCESSO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numProcesso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tipoObra, ..., FK_codRequerente)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Relação: Técnico ↔ Processo (N:M)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600"/>
        <w:gridCol w:w="1400"/>
        <w:gridCol w:w="2438"/>
      </w:tblGrid>
      <w:tr>
        <w:trPr>
          <w:tblHeader/>
        </w:trP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Participação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Regra aplicável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Nº tabelas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Onde fica a FK</w:t>
            </w:r>
          </w:p>
        </w:tc>
      </w:tr>
      <w:tr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N:M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Indiferente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Regra 6</w:t>
            </w:r>
          </w:p>
        </w:tc>
        <w:tc>
          <w:tcPr>
            <w:tcW w:type="dxa" w:w="1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Tabela da relação com PK composta (ambas PKs)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Aplicação (tabelas resultantes):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TECNICO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codTecnico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nome, especialidade, email)</w:t>
      </w:r>
    </w:p>
    <w:p>
      <w:pPr>
        <w:spacing w:after="60"/>
      </w:pPr>
      <w:r>
        <w:rPr>
          <w:rFonts w:ascii="Consolas" w:cs="Consolas" w:eastAsia="Consolas" w:hAnsi="Consolas"/>
          <w:color w:val="1F3864"/>
          <w:sz w:val="20"/>
          <w:szCs w:val="20"/>
        </w:rPr>
        <w:t xml:space="preserve">PARECER (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numProcesso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1F3864"/>
          <w:sz w:val="20"/>
          <w:szCs w:val="20"/>
          <w:u w:val="single"/>
        </w:rPr>
        <w:t xml:space="preserve">codTecnico</w:t>
      </w:r>
      <w:r>
        <w:rPr>
          <w:rFonts w:ascii="Consolas" w:cs="Consolas" w:eastAsia="Consolas" w:hAnsi="Consolas"/>
          <w:color w:val="1F3864"/>
          <w:sz w:val="20"/>
          <w:szCs w:val="20"/>
        </w:rPr>
        <w:t xml:space="preserve">, dataParecer, resultado, observacoes)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Nota: A tabela Parecer tem atributos próprios (data, resultado, observações)</w:t>
      </w:r>
    </w:p>
    <w:p>
      <w:pPr>
        <w:spacing w:after="12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codRequerente; NIF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codTecnico; email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(numProcesso, codTecnico)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Requerente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 estável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Processo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Identificador oficial já usado na Câmara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Técnico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codTecnico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Código interno; email pode mudar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Parecer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(numProcesso, codTecnico)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Um técnico dá um parecer a um processo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REQUERENTE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codRequerente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nome, NIF, morada, telefone)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PROCESSO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numProcesso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tipoObra, descricao, localizacao, dataEntrada, estado, FK_codRequerente)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TECNICO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codTecnico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nome, especialidade, email)</w:t>
      </w:r>
    </w:p>
    <w:p>
      <w:pPr>
        <w:spacing w:after="80"/>
      </w:pPr>
      <w:r>
        <w:rPr>
          <w:rFonts w:ascii="Consolas" w:cs="Consolas" w:eastAsia="Consolas" w:hAnsi="Consolas"/>
          <w:color w:val="1F3864"/>
          <w:sz w:val="22"/>
          <w:szCs w:val="22"/>
        </w:rPr>
        <w:t xml:space="preserve">PARECER (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numProcesso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1F3864"/>
          <w:sz w:val="22"/>
          <w:szCs w:val="22"/>
          <w:u w:val="single"/>
        </w:rPr>
        <w:t xml:space="preserve">codTecnico</w:t>
      </w:r>
      <w:r>
        <w:rPr>
          <w:rFonts w:ascii="Consolas" w:cs="Consolas" w:eastAsia="Consolas" w:hAnsi="Consolas"/>
          <w:color w:val="1F3864"/>
          <w:sz w:val="22"/>
          <w:szCs w:val="22"/>
        </w:rPr>
        <w:t xml:space="preserve">, dataParecer, resultado, observacoes)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Processo)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numProcesso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VARCHAR(15)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PK, formato P-AAAA/NNN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tipoObra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VARCHAR(30)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{Construção, Ampliação, Demolição, Alteração}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descricao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TEXT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localizacao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dataEntrada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≤ data actual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estado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VARCHAR(20)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{Pendente, Em análise, Aprovado, Rejeitado}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codRequerente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INTEGER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Sim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FK → Requerente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2 (solução) — Licenciamento de Obras Particulares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2 (solução) — Licenciamento de Obras Particulares</dc:title>
  <dc:creator>ESTG-IPL — MAP — STI</dc:creator>
  <cp:lastModifiedBy>Un-named</cp:lastModifiedBy>
  <cp:revision>1</cp:revision>
  <dcterms:created xsi:type="dcterms:W3CDTF">2026-04-21T18:32:13.007Z</dcterms:created>
  <dcterms:modified xsi:type="dcterms:W3CDTF">2026-04-21T18:32:13.007Z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