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1 — Obras e Empreitadas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Câmara Municipal de Vila Feliz gere actualmente mais de 30 obras públicas em simultâneo — estradas, escolas, equipamentos desportivos, espaços verdes. Cada obra é adjudicada a um empreiteiro através de concurso público. Um fiscal da câmara acompanha a execução. Actualmente, os dados estão em pastas físicas e folhas Excel separadas por ano.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Empreiteiro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NIFEmpr.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Contacto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Fiscal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DataInício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DataFim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Valor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Estado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Requal. EN8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Km 45-52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Construções Silva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501234567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J. Silva / 918...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Ana Costa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2024-09-01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850 000€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Em curso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Pavilhão Escolar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EB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Construções Silva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501234567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J. Silva / 918...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Pedro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2024-11-15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320 000€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Em curso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Parque Urbano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Zona Norte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Jardins &amp; 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509876543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M. Jardim / 926...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Ana Costa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2025-08-30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175 000€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Adjudicada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1 — Obras e Empreitadas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1 — Obras e Empreitadas</dc:title>
  <dc:creator>ESTG-IPL — MAP — STI</dc:creator>
  <cp:lastModifiedBy>Un-named</cp:lastModifiedBy>
  <cp:revision>1</cp:revision>
  <dcterms:created xsi:type="dcterms:W3CDTF">2026-04-18T17:34:07.339Z</dcterms:created>
  <dcterms:modified xsi:type="dcterms:W3CDTF">2026-04-18T17:34:07.340Z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