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Bdr>
          <w:top w:val="single" w:color="F5A623" w:sz="4"/>
          <w:bottom w:val="single" w:color="F5A623" w:sz="4"/>
          <w:left w:val="single" w:color="F5A623" w:sz="4"/>
          <w:right w:val="single" w:color="F5A623" w:sz="4"/>
        </w:pBdr>
        <w:shd w:fill="FFF4E5" w:val="clear"/>
        <w:spacing w:after="120" w:before="80"/>
      </w:pPr>
      <w:r>
        <w:rPr>
          <w:i/>
          <w:iCs/>
          <w:color w:val="8A5A00"/>
          <w:sz w:val="20"/>
          <w:szCs w:val="20"/>
        </w:rPr>
        <w:t xml:space="preserve">Versão com apoio — os nomes de entidades e tabelas já estão listados (continuidade entre fases). A si cabe preencher o raciocínio: atributos, cardinalidades, tentativas da Fase 5, chaves primárias e justificações.</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i/>
          <w:iCs/>
          <w:color w:val="555555"/>
          <w:sz w:val="22"/>
          <w:szCs w:val="22"/>
        </w:rPr>
        <w:t xml:space="preserve">1. Cada viatura está atribuída a um departamento.</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Para cada relação, aplique o método em 4 passos: (A) tentativa com 3 linhas de dados reais; (B) observação de vazios ou repetições; (C) decisão; (D) nome da regra.</w:t>
      </w:r>
    </w:p>
    <w:p>
      <w:pPr>
        <w:spacing w:after="80"/>
      </w:pPr>
      <w:r>
        <w:rPr>
          <w:b/>
          <w:bCs/>
          <w:sz w:val="20"/>
          <w:szCs w:val="20"/>
        </w:rPr>
        <w:t xml:space="preserve">Lembrete rápido: </w:t>
      </w:r>
      <w:r>
        <w:rPr>
          <w:sz w:val="20"/>
          <w:szCs w:val="20"/>
        </w:rPr>
        <w:t xml:space="preserve">tudo limpo → </w:t>
      </w:r>
      <w:r>
        <w:rPr>
          <w:b/>
          <w:bCs/>
          <w:color w:val="1F3864"/>
          <w:sz w:val="20"/>
          <w:szCs w:val="20"/>
        </w:rPr>
        <w:t xml:space="preserve">Regra 4 (2 tabelas)</w:t>
      </w:r>
      <w:r>
        <w:rPr>
          <w:sz w:val="20"/>
          <w:szCs w:val="20"/>
        </w:rPr>
        <w:t xml:space="preserve">   |   NULLs → </w:t>
      </w:r>
      <w:r>
        <w:rPr>
          <w:b/>
          <w:bCs/>
          <w:color w:val="1F3864"/>
          <w:sz w:val="20"/>
          <w:szCs w:val="20"/>
        </w:rPr>
        <w:t xml:space="preserve">Regra 5 (3 tabelas)</w:t>
      </w:r>
      <w:r>
        <w:rPr>
          <w:sz w:val="20"/>
          <w:szCs w:val="20"/>
        </w:rPr>
        <w:t xml:space="preserve">   |   repetições → </w:t>
      </w:r>
      <w:r>
        <w:rPr>
          <w:b/>
          <w:bCs/>
          <w:color w:val="1F3864"/>
          <w:sz w:val="20"/>
          <w:szCs w:val="20"/>
        </w:rPr>
        <w:t xml:space="preserve">Regra 6 (3 tabelas)</w:t>
      </w:r>
    </w:p>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Viatura)</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marca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modelo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combustivel</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quilometragem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estado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(FK)</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(com apoio)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(com apoio) — Viaturas e Motoristas da Câmara</dc:title>
  <dc:creator>ESTG-IPL — MAP — STI</dc:creator>
  <cp:lastModifiedBy>Un-named</cp:lastModifiedBy>
  <cp:revision>1</cp:revision>
  <dcterms:created xsi:type="dcterms:W3CDTF">2026-04-18T17:34:06.723Z</dcterms:created>
  <dcterms:modified xsi:type="dcterms:W3CDTF">2026-04-18T17:34:06.723Z</dcterms:modified>
</cp:coreProperties>
</file>

<file path=docProps/custom.xml><?xml version="1.0" encoding="utf-8"?>
<Properties xmlns="http://schemas.openxmlformats.org/officeDocument/2006/custom-properties" xmlns:vt="http://schemas.openxmlformats.org/officeDocument/2006/docPropsVTypes"/>
</file>