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Exercício Autónomo 1 — Obras e Empreitadas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A Câmara Municipal de Vila Feliz gere actualmente mais de 30 obras públicas em simultâneo — estradas, escolas, equipamentos desportivos, espaços verdes. Cada obra é adjudicada a um empreiteiro através de concurso público. Um fiscal da câmara acompanha a execução. Actualmente, os dados estão em pastas físicas e folhas Excel separadas por ano.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Obra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Local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Empreiteiro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NIFEmpr.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Contacto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Fiscal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DataInício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DataFim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Requal. EN8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Km 45-52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Construções Silva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501234567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J. Silva / 918...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Eng. Ana Costa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2024-09-01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2025-03-30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850 000€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Em curso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Pavilhão Escolar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EB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Construções Silva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501234567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J. Silva / 918...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Eng. Pedro Lopes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2024-11-15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2025-06-30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320 000€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Em curso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Parque Urbano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Zona Norte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Jardins &amp; Co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509876543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M. Jardim / 926...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Eng. Ana Costa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2025-01-10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2025-08-30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175 000€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Adjudicada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Exercício Autónomo 1 — Obras e Empreitadas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Autónomo 1 — Obras e Empreitadas</dc:title>
  <dc:creator>ESTG-IPL — MAP — STI</dc:creator>
  <cp:lastModifiedBy>Un-named</cp:lastModifiedBy>
  <cp:revision>1</cp:revision>
  <dcterms:created xsi:type="dcterms:W3CDTF">2026-04-21T17:54:43.694Z</dcterms:created>
  <dcterms:modified xsi:type="dcterms:W3CDTF">2026-04-21T17:54:43.694Z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