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Caso Guiado 2 — Licenciamento de Obras Particulares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O Gabinete de Urbanismo da Câmara Municipal de Vila Feliz recebe pedidos de licenciamento de obras particulares (construção, ampliação, demolição). Cada pedido é analisado por técnicos que emitem pareceres. Actualmente, o registo é feito em processos físicos e numa folha Excel com dados do requerente, obra e pareceres todos juntos.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1"/>
        <w:gridCol w:w="963"/>
        <w:gridCol w:w="963"/>
        <w:gridCol w:w="963"/>
        <w:gridCol w:w="963"/>
        <w:gridCol w:w="963"/>
        <w:gridCol w:w="963"/>
        <w:gridCol w:w="963"/>
        <w:gridCol w:w="963"/>
        <w:gridCol w:w="963"/>
      </w:tblGrid>
      <w:tr>
        <w:trPr>
          <w:tblHeader/>
        </w:trP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Requerente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NIF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Morada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NumProc.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TipoObra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Localização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Técnico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Especialidade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Parecer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DataParecer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Manuel Ferreira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123456789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Nova, 3,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P-2025/001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Construção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Lote 15, Z. Industrial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Carlos Mendes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Arquitectura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Favorável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2025-03-10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Manuel Ferreira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123456789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Nova, 3,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P-2025/001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Construção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Lote 15, Z. Industrial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Rita Sousa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Eng. Civil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Favorável c/ cond.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2025-03-12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Sofia Lopes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987654321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Av. Mar, 8,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P-2025/002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Ampliação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Oliveira, 22,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Carlos Mendes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Arquitectura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Desfavorável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2025-03-15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1.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(aplicar regras de construção)</w:t>
      </w:r>
    </w:p>
    <w:p>
      <w:pPr>
        <w:spacing w:after="80"/>
      </w:pPr>
      <w:r>
        <w:t xml:space="preserve">Para cada relação, identifique a cardinalidade e a participação, escolha a regra aplicável (1 a 6) e indique o número de tabelas resultantes e onde fica a chave estrangeira.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Regra 1: 1:1 ambas obrig. → 1 tabela  |  Regra 2: 1:1 obrig. numa → 2  |  Regra 3: 1:1 nenhuma obrig. → 3  |  Regra 4: 1:N obrig. N → 2  |  Regra 5: 1:N não obrig. N → 3  |  Regra 6: N:M → 3</w:t>
            </w:r>
          </w:p>
        </w:tc>
      </w:tr>
    </w:tbl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Caso Guiado 2 — Licenciamento de Obras Particulares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Guiado 2 — Licenciamento de Obras Particulares</dc:title>
  <dc:creator>ESTG-IPL — MAP — STI</dc:creator>
  <cp:lastModifiedBy>Un-named</cp:lastModifiedBy>
  <cp:revision>1</cp:revision>
  <dcterms:created xsi:type="dcterms:W3CDTF">2026-04-21T17:54:42.448Z</dcterms:created>
  <dcterms:modified xsi:type="dcterms:W3CDTF">2026-04-21T17:54:42.448Z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