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Caso Guiado 3 — Refeições Sociais IPSS</w:t>
      </w:r>
    </w:p>
    <w:p>
      <w:pPr>
        <w:pBdr>
          <w:top w:val="single" w:color="F5A623" w:sz="4"/>
          <w:bottom w:val="single" w:color="F5A623" w:sz="4"/>
          <w:left w:val="single" w:color="F5A623" w:sz="4"/>
          <w:right w:val="single" w:color="F5A623" w:sz="4"/>
        </w:pBdr>
        <w:shd w:fill="FFF4E5" w:val="clear"/>
        <w:spacing w:after="120" w:before="80"/>
      </w:pPr>
      <w:r>
        <w:rPr>
          <w:i/>
          <w:iCs/>
          <w:color w:val="8A5A00"/>
          <w:sz w:val="20"/>
          <w:szCs w:val="20"/>
        </w:rPr>
        <w:t xml:space="preserve">Versão com apoio — os nomes de entidades e tabelas já estão listados (continuidade entre fases). A si cabe preencher o raciocínio: atributos, cardinalidades, tentativas da Fase 5, chaves primárias e justificações.</w:t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Contexto</w:t>
      </w:r>
    </w:p>
    <w:p>
      <w:pPr>
        <w:spacing w:after="80"/>
      </w:pPr>
      <w:r>
        <w:rPr>
          <w:i/>
          <w:iCs/>
        </w:rPr>
        <w:t xml:space="preserve">Uma IPSS (Instituição Particular de Solidariedade Social) de Vila Feliz distribui refeições ao domicílio a idosos e pessoas com mobilidade reduzida. Os voluntários entregam as refeições seguindo rotas pré-definidas. Cada utente pode ter restrições alimentares. O registo actual é feito em papel e num quadro na cozinha.</w:t>
      </w:r>
    </w:p>
    <w:p>
      <w:pPr>
        <w:spacing w:after="80"/>
      </w:pPr>
      <w:r>
        <w:rPr>
          <w:i/>
          <w:iCs/>
        </w:rPr>
        <w:t xml:space="preserve">Os voluntários têm turnos rotativos e cada rota cobre uma zona diferente da vila.</w:t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1 — Determinar entidades</w:t>
      </w:r>
    </w:p>
    <w:p>
      <w:pPr>
        <w:spacing w:after="80"/>
      </w:pPr>
      <w:r>
        <w:t xml:space="preserve">Liste as entidades que identifica no cenário. Uma entidade representa algo que existe independentemente (pessoa, objecto, evento) e sobre a qual queremos guardar 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«coisas» o cenário descreve? Cada uma pode tornar-se uma entidade?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Utente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Refeição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Voluntário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2 — Desenhar DER simplificado</w:t>
      </w:r>
    </w:p>
    <w:p>
      <w:pPr>
        <w:spacing w:after="80"/>
      </w:pPr>
      <w:r>
        <w:t xml:space="preserve">Liste as relações entre pares de entidades, sem atributos ainda. Pode esboçar o diagrama em papel ou começar no ERDPlus.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Entre que entidades existe ligação? Use um verbo curto para dar nome à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Relação (verbo)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3 — Definir pressupostos</w:t>
      </w:r>
    </w:p>
    <w:p>
      <w:pPr>
        <w:spacing w:after="80"/>
      </w:pPr>
      <w:r>
        <w:t xml:space="preserve">Um pressuposto é uma regra de negócio explícita que justifica as cardinalidades. Escreva frases claras do tipo «Cada X tem um Y» ou «Um Z pode ter vários W».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O que é obrigatório? O que é opcional? Qual é o máximo de ligações em cada lado?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rPr>
          <w:i/>
          <w:iCs/>
          <w:color w:val="555555"/>
          <w:sz w:val="22"/>
          <w:szCs w:val="22"/>
        </w:rPr>
        <w:t xml:space="preserve">1. Cada utente pode receber várias refeições (uma ou duas por dia).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2.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3.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4.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5.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6.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7.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4 — Desenhar DER completo</w:t>
      </w:r>
    </w:p>
    <w:p>
      <w:pPr>
        <w:spacing w:after="80"/>
      </w:pPr>
      <w:r>
        <w:t xml:space="preserve">Para cada entidade indique os atributos, a chave primária candidata e as cardinalidades das suas relações (1:1, 1:N, M:N) com indicação de obrigatoriedade.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Desenhe no ERDPlus com atributos em elipses, chave sublinhada e cardinalidades nas linhas da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16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candidata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Utente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Refeição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Voluntário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5 — Determinar tabelas (aplicar regras de construção)</w:t>
      </w:r>
    </w:p>
    <w:p>
      <w:pPr>
        <w:spacing w:after="80"/>
      </w:pPr>
      <w:r>
        <w:t xml:space="preserve">Para cada relação, identifique a cardinalidade e a participação, escolha a regra aplicável (1 a 6) e indique o número de tabelas resultantes e onde fica a chave estrangeira.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Regra 1: 1:1 ambas obrig. → 1 tabela  |  Regra 2: 1:1 obrig. numa → 2  |  Regra 3: 1:1 nenhuma obrig. → 3  |  Regra 4: 1:N obrig. N → 2  |  Regra 5: 1:N não obrig. N → 3  |  Regra 6: N:M → 3</w:t>
            </w:r>
          </w:p>
        </w:tc>
      </w:tr>
    </w:tbl>
    <w:p>
      <w:pPr>
        <w:spacing w:after="12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1: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2: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3: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6 — Determinar chaves candidatas</w:t>
      </w:r>
    </w:p>
    <w:p>
      <w:pPr>
        <w:spacing w:after="80"/>
      </w:pPr>
      <w:r>
        <w:t xml:space="preserve">Para cada tabela, identifique os atributos (ou combinações) que podem identificar univocamente uma linha.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atributos são únicos por natureza? Qual serve para distinguir linhas sem ambiguidade?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Chaves candidatas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Utente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Refeicao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Voluntario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Entrega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7 — Determinar chaves primárias</w:t>
      </w:r>
    </w:p>
    <w:p>
      <w:pPr>
        <w:spacing w:after="80"/>
      </w:pPr>
      <w:r>
        <w:t xml:space="preserve">Escolha a PK de cada tabela entre as chaves candidatas. Justifique a escolha (estabilidade, simplicidade, comprimento).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Prefira códigos internos a dados que podem mudar (ex.: CC, email). Simples vence compostas sempre que possível.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escolhida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Utente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Refeicao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Voluntario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Entrega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8 — Definir tabelas finais (esquema relacional)</w:t>
      </w:r>
    </w:p>
    <w:p>
      <w:pPr>
        <w:spacing w:after="80"/>
      </w:pPr>
      <w:r>
        <w:t xml:space="preserve">Escreva o esquema relacional final na notação TABELA(pk, atributo, #fk). Sublinhe a chave primária e prefixe as chaves estrangeiras com #.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Uma linha por tabela. As FKs apontam para as PKs das tabelas referenciadas.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9 — Definir domínio dos atributos (entidade Utente)</w:t>
      </w:r>
    </w:p>
    <w:p>
      <w:pPr>
        <w:spacing w:after="80"/>
      </w:pPr>
      <w:r>
        <w:t xml:space="preserve">Para a entidade mais central do modelo, defina o tipo de dados, obrigatoriedade e restrições de cada atributo.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Tipos comuns: INTEGER, VARCHAR(n), DATE, DECIMAL(p,s), TEXT, BOOLEAN.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codUtente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morada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telefone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contactoEmergencia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restricoes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6"/>
        <w:szCs w:val="16"/>
      </w:rPr>
      <w:t xml:space="preserve">STI — MAP — 2025/2026    | 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3600"/>
        <w:tab w:val="left" w:pos="6400"/>
        <w:tab w:val="left" w:pos="8800"/>
      </w:tabs>
    </w:pPr>
    <w:r>
      <w:rPr>
        <w:b/>
        <w:bCs/>
        <w:sz w:val="20"/>
        <w:szCs w:val="20"/>
      </w:rPr>
      <w:t xml:space="preserve">Nome: </w:t>
    </w:r>
    <w:r>
      <w:rPr>
        <w:sz w:val="20"/>
        <w:szCs w:val="20"/>
      </w:rPr>
      <w:t xml:space="preserve">_______________________________	</w:t>
    </w:r>
    <w:r>
      <w:rPr>
        <w:b/>
        <w:bCs/>
        <w:sz w:val="20"/>
        <w:szCs w:val="20"/>
      </w:rPr>
      <w:t xml:space="preserve">Nº: </w:t>
    </w:r>
    <w:r>
      <w:rPr>
        <w:sz w:val="20"/>
        <w:szCs w:val="20"/>
      </w:rPr>
      <w:t xml:space="preserve">__________	</w:t>
    </w:r>
    <w:r>
      <w:rPr>
        <w:b/>
        <w:bCs/>
        <w:sz w:val="20"/>
        <w:szCs w:val="20"/>
      </w:rPr>
      <w:t xml:space="preserve">Data: </w:t>
    </w:r>
    <w:r>
      <w:rPr>
        <w:sz w:val="20"/>
        <w:szCs w:val="20"/>
      </w:rPr>
      <w:t xml:space="preserve">___ / ___ / _____</w:t>
    </w:r>
  </w:p>
  <w:p>
    <w:pPr>
      <w:pBdr>
        <w:bottom w:val="single" w:color="1F3864" w:sz="6" w:space="4"/>
      </w:pBdr>
      <w:spacing w:after="60"/>
      <w:jc w:val="right"/>
    </w:pPr>
    <w:r>
      <w:rPr>
        <w:i/>
        <w:iCs/>
        <w:color w:val="1F3864"/>
        <w:sz w:val="18"/>
        <w:szCs w:val="18"/>
      </w:rPr>
      <w:t xml:space="preserve">Caso Guiado 3 (com apoio) — Refeições Sociais IPSS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Guiado 3 (com apoio) — Refeições Sociais IPSS</dc:title>
  <dc:creator>ESTG-IPL — MAP — STI</dc:creator>
  <cp:lastModifiedBy>Un-named</cp:lastModifiedBy>
  <cp:revision>1</cp:revision>
  <dcterms:created xsi:type="dcterms:W3CDTF">2026-04-21T17:54:43.009Z</dcterms:created>
  <dcterms:modified xsi:type="dcterms:W3CDTF">2026-04-21T17:54:43.009Z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