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Bdr>
          <w:top w:val="single" w:color="F5A623" w:sz="4"/>
          <w:bottom w:val="single" w:color="F5A623" w:sz="4"/>
          <w:left w:val="single" w:color="F5A623" w:sz="4"/>
          <w:right w:val="single" w:color="F5A623" w:sz="4"/>
        </w:pBdr>
        <w:shd w:fill="FFF4E5" w:val="clear"/>
        <w:spacing w:after="120" w:before="80"/>
      </w:pPr>
      <w:r>
        <w:rPr>
          <w:i/>
          <w:iCs/>
          <w:color w:val="8A5A00"/>
          <w:sz w:val="20"/>
          <w:szCs w:val="20"/>
        </w:rPr>
        <w:t xml:space="preserve">Versão com apoio — os nomes de entidades e tabelas já estão listados (continuidade entre fases). A si cabe preencher o raciocínio: atributos, cardinalidades, tentativas da Fase 5, chaves primárias e justificações.</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rPr>
          <w:i/>
          <w:iCs/>
          <w:color w:val="555555"/>
          <w:sz w:val="22"/>
          <w:szCs w:val="22"/>
        </w:rPr>
        <w:t xml:space="preserve">1. Cada viatura está atribuída a um departamento.</w:t>
      </w:r>
    </w:p>
    <w:p>
      <w:pPr>
        <w:pBdr>
          <w:bottom w:val="single" w:color="AAAAAA" w:sz="4" w:space="1"/>
        </w:pBdr>
        <w:spacing w:after="120"/>
      </w:pPr>
      <w:r>
        <w:rPr>
          <w:sz w:val="22"/>
          <w:szCs w:val="22"/>
        </w:rPr>
        <w:t xml:space="preserve">2.</w:t>
      </w:r>
    </w:p>
    <w:p>
      <w:pPr>
        <w:pBdr>
          <w:bottom w:val="single" w:color="AAAAAA" w:sz="4" w:space="1"/>
        </w:pBdr>
        <w:spacing w:after="120"/>
      </w:pPr>
      <w:r>
        <w:rPr>
          <w:sz w:val="22"/>
          <w:szCs w:val="22"/>
        </w:rPr>
        <w:t xml:space="preserve">3.</w:t>
      </w:r>
    </w:p>
    <w:p>
      <w:pPr>
        <w:pBdr>
          <w:bottom w:val="single" w:color="AAAAAA" w:sz="4" w:space="1"/>
        </w:pBdr>
        <w:spacing w:after="120"/>
      </w:pPr>
      <w:r>
        <w:rPr>
          <w:sz w:val="22"/>
          <w:szCs w:val="22"/>
        </w:rPr>
        <w:t xml:space="preserve">4.</w:t>
      </w:r>
    </w:p>
    <w:p>
      <w:pPr>
        <w:pBdr>
          <w:bottom w:val="single" w:color="AAAAAA" w:sz="4" w:space="1"/>
        </w:pBdr>
        <w:spacing w:after="120"/>
      </w:pPr>
      <w:r>
        <w:rPr>
          <w:sz w:val="22"/>
          <w:szCs w:val="22"/>
        </w:rPr>
        <w:t xml:space="preserve">5.</w:t>
      </w:r>
    </w:p>
    <w:p>
      <w:pPr>
        <w:pBdr>
          <w:bottom w:val="single" w:color="AAAAAA" w:sz="4" w:space="1"/>
        </w:pBdr>
        <w:spacing w:after="120"/>
      </w:pPr>
      <w:r>
        <w:rPr>
          <w:sz w:val="22"/>
          <w:szCs w:val="22"/>
        </w:rPr>
        <w:t xml:space="preserve">6.</w:t>
      </w:r>
    </w:p>
    <w:p>
      <w:pPr>
        <w:pBdr>
          <w:bottom w:val="single" w:color="AAAAAA" w:sz="4" w:space="1"/>
        </w:pBdr>
        <w:spacing w:after="120"/>
      </w:pPr>
      <w:r>
        <w:rPr>
          <w:sz w:val="22"/>
          <w:szCs w:val="22"/>
        </w:rPr>
        <w:t xml:space="preserve">7.</w:t>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(aplicar regras de construção)</w:t>
      </w:r>
    </w:p>
    <w:p>
      <w:pPr>
        <w:spacing w:after="80"/>
      </w:pPr>
      <w:r>
        <w:t xml:space="preserve">Para cada relação, identifique a cardinalidade e a participação, escolha a regra aplicável (1 a 6) e indique o número de tabelas resultantes e onde fica a chave estrangeira.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Regra 1: 1:1 ambas obrig. → 1 tabela  |  Regra 2: 1:1 obrig. numa → 2  |  Regra 3: 1:1 nenhuma obrig. → 3  |  Regra 4: 1:N obrig. N → 2  |  Regra 5: 1:N não obrig. N → 3  |  Regra 6: N:M → 3</w:t>
            </w:r>
          </w:p>
        </w:tc>
      </w:tr>
    </w:tbl>
    <w:p>
      <w:pPr>
        <w:spacing w:after="120"/>
      </w:pPr>
      <w:r>
        <w:t xml:space="preserve"/>
      </w:r>
    </w:p>
    <w:p>
      <w:pPr>
        <w:shd w:fill="DCE6F1" w:val="clear"/>
        <w:spacing w:after="80" w:before="200"/>
      </w:pPr>
      <w:r>
        <w:rPr>
          <w:b/>
          <w:bCs/>
          <w:color w:val="1F3864"/>
          <w:sz w:val="22"/>
          <w:szCs w:val="22"/>
        </w:rPr>
        <w:t xml:space="preserve">  Relação 1: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shd w:fill="DCE6F1" w:val="clear"/>
        <w:spacing w:after="80" w:before="200"/>
      </w:pPr>
      <w:r>
        <w:rPr>
          <w:b/>
          <w:bCs/>
          <w:color w:val="1F3864"/>
          <w:sz w:val="22"/>
          <w:szCs w:val="22"/>
        </w:rPr>
        <w:t xml:space="preserve">  Relação 2: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shd w:fill="DCE6F1" w:val="clear"/>
        <w:spacing w:after="80" w:before="200"/>
      </w:pPr>
      <w:r>
        <w:rPr>
          <w:b/>
          <w:bCs/>
          <w:color w:val="1F3864"/>
          <w:sz w:val="22"/>
          <w:szCs w:val="22"/>
        </w:rPr>
        <w:t xml:space="preserve">  Relação 3: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shd w:fill="DCE6F1" w:val="clear"/>
        <w:spacing w:after="80" w:before="200"/>
      </w:pPr>
      <w:r>
        <w:rPr>
          <w:b/>
          <w:bCs/>
          <w:color w:val="1F3864"/>
          <w:sz w:val="22"/>
          <w:szCs w:val="22"/>
        </w:rPr>
        <w:t xml:space="preserve">  Relação 4: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Manutencao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Requisicao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Manutencao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Requisicao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9 — Definir domínio dos atributos (entidade Viatura)</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marca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modelo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ano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combustivel</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quilometragem</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estado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 (FK)</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(com apoio)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(com apoio) — Viaturas e Motoristas da Câmara</dc:title>
  <dc:creator>ESTG-IPL — MAP — STI</dc:creator>
  <cp:lastModifiedBy>Un-named</cp:lastModifiedBy>
  <cp:revision>1</cp:revision>
  <dcterms:created xsi:type="dcterms:W3CDTF">2026-04-21T17:54:43.139Z</dcterms:created>
  <dcterms:modified xsi:type="dcterms:W3CDTF">2026-04-21T17:54:43.139Z</dcterms:modified>
</cp:coreProperties>
</file>

<file path=docProps/custom.xml><?xml version="1.0" encoding="utf-8"?>
<Properties xmlns="http://schemas.openxmlformats.org/officeDocument/2006/custom-properties" xmlns:vt="http://schemas.openxmlformats.org/officeDocument/2006/docPropsVTypes"/>
</file>