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Caso Guiado 1 — Biblioteca Municipal de Vila Feliz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A Biblioteca Municipal de Vila Feliz gere um acervo de mais de 15.000 volumes e serve centenas de leitores registados. Actualmente, os empréstimos são registados numa folha Excel com todos os dados misturados: nome do leitor, morada, título do livro, autor, data do empréstimo — tudo na mesma linha.</w:t>
      </w:r>
    </w:p>
    <w:p>
      <w:pPr>
        <w:spacing w:after="100" w:before="160"/>
      </w:pPr>
      <w:r>
        <w:rPr>
          <w:b/>
          <w:bCs/>
          <w:color w:val="1F3864"/>
          <w:sz w:val="24"/>
          <w:szCs w:val="24"/>
        </w:rPr>
        <w:t xml:space="preserve">Dados actuais (exemplo)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0"/>
        <w:gridCol w:w="1927"/>
        <w:gridCol w:w="1927"/>
        <w:gridCol w:w="1927"/>
        <w:gridCol w:w="1927"/>
      </w:tblGrid>
      <w:tr>
        <w:trPr>
          <w:tblHeader/>
        </w:trPr>
        <w:tc>
          <w:tcPr>
            <w:tcW w:type="dxa" w:w="193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Leitor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BI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Livro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Autor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DataEmpr.</w:t>
            </w:r>
          </w:p>
        </w:tc>
      </w:tr>
      <w:tr>
        <w:tc>
          <w:tcPr>
            <w:tcW w:type="dxa" w:w="193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Ana Costa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12345678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Dom Casmurro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Machado de Assis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2025-01-10</w:t>
            </w:r>
          </w:p>
        </w:tc>
      </w:tr>
      <w:tr>
        <w:tc>
          <w:tcPr>
            <w:tcW w:type="dxa" w:w="193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Ana Costa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12345678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Os Maias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Eça de Queirós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2025-01-15</w:t>
            </w:r>
          </w:p>
        </w:tc>
      </w:tr>
      <w:tr>
        <w:tc>
          <w:tcPr>
            <w:tcW w:type="dxa" w:w="193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João Silva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87654321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Dom Casmurro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Machado de Assis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2025-02-01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(abordagem intuitiva)</w:t>
      </w:r>
    </w:p>
    <w:p>
      <w:pPr>
        <w:spacing w:after="80"/>
      </w:pPr>
      <w:r>
        <w:t xml:space="preserve">Para cada relação, aplique o método em 4 passos: (A) tentativa com 3 linhas de dados reais; (B) observação de vazios ou repetições; (C) decisão; (D) nome da regra.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Lembrete rápido: </w:t>
      </w:r>
      <w:r>
        <w:rPr>
          <w:sz w:val="20"/>
          <w:szCs w:val="20"/>
        </w:rPr>
        <w:t xml:space="preserve">tudo limpo → </w:t>
      </w:r>
      <w:r>
        <w:rPr>
          <w:b/>
          <w:bCs/>
          <w:color w:val="1F3864"/>
          <w:sz w:val="20"/>
          <w:szCs w:val="20"/>
        </w:rPr>
        <w:t xml:space="preserve">Regra 4 (2 tabelas)</w:t>
      </w:r>
      <w:r>
        <w:rPr>
          <w:sz w:val="20"/>
          <w:szCs w:val="20"/>
        </w:rPr>
        <w:t xml:space="preserve">   |   NULLs → </w:t>
      </w:r>
      <w:r>
        <w:rPr>
          <w:b/>
          <w:bCs/>
          <w:color w:val="1F3864"/>
          <w:sz w:val="20"/>
          <w:szCs w:val="20"/>
        </w:rPr>
        <w:t xml:space="preserve">Regra 5 (3 tabelas)</w:t>
      </w:r>
      <w:r>
        <w:rPr>
          <w:sz w:val="20"/>
          <w:szCs w:val="20"/>
        </w:rPr>
        <w:t xml:space="preserve">   |   repetições → </w:t>
      </w:r>
      <w:r>
        <w:rPr>
          <w:b/>
          <w:bCs/>
          <w:color w:val="1F3864"/>
          <w:sz w:val="20"/>
          <w:szCs w:val="20"/>
        </w:rPr>
        <w:t xml:space="preserve">Regra 6 (3 tabelas)</w:t>
      </w:r>
    </w:p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1: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2: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3: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principal)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Caso Guiado 1 — Biblioteca Municipal de Vila Feliz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 Guiado 1 — Biblioteca Municipal de Vila Feliz</dc:title>
  <dc:creator>ESTG-IPL — MAP — STI</dc:creator>
  <cp:lastModifiedBy>Un-named</cp:lastModifiedBy>
  <cp:revision>1</cp:revision>
  <dcterms:created xsi:type="dcterms:W3CDTF">2026-04-18T16:50:19.401Z</dcterms:created>
  <dcterms:modified xsi:type="dcterms:W3CDTF">2026-04-18T16:50:19.401Z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