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56"/>
          <w:szCs w:val="56"/>
        </w:rPr>
        <w:t xml:space="preserve">PLAYBOOK</w:t>
      </w:r>
    </w:p>
    <w:p>
      <w:pPr>
        <w:jc w:val="center"/>
      </w:pPr>
      <w:r>
        <w:rPr>
          <w:b/>
          <w:bCs/>
          <w:color w:val="C00000"/>
          <w:sz w:val="40"/>
          <w:szCs w:val="40"/>
        </w:rPr>
        <w:t xml:space="preserve">[ Tipo de Incidente ]</w:t>
      </w:r>
    </w:p>
    <w:p>
      <w:pPr>
        <w:spacing w:after="800" w:before="240"/>
        <w:jc w:val="center"/>
      </w:pPr>
      <w:r>
        <w:rPr>
          <w:i/>
          <w:iCs/>
          <w:color w:val="595959"/>
          <w:sz w:val="22"/>
          <w:szCs w:val="22"/>
        </w:rPr>
        <w:t xml:space="preserve">Ex.: Ransomware  |  Phishing  |  Acesso Não Autorizado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tblGrid>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2"/>
                <w:szCs w:val="22"/>
              </w:rPr>
              <w:t xml:space="preserve">Organização</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2"/>
                <w:szCs w:val="22"/>
              </w:rPr>
              <w:t xml:space="preserve">[Nome da organização do projeto]</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2"/>
                <w:szCs w:val="22"/>
              </w:rPr>
              <w:t xml:space="preserve">Domínio / Âmbito</w:t>
            </w:r>
          </w:p>
        </w:tc>
        <w:tc>
          <w:tcPr>
            <w:tcW w:type="dxa" w:w="4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2"/>
                <w:szCs w:val="22"/>
              </w:rPr>
              <w:t xml:space="preserve">[Toda a organização / Unidade X / Sistema Y]</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2"/>
                <w:szCs w:val="22"/>
              </w:rPr>
              <w:t xml:space="preserve">Versão</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2"/>
                <w:szCs w:val="22"/>
              </w:rPr>
              <w:t xml:space="preserve">1.0</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2"/>
                <w:szCs w:val="22"/>
              </w:rPr>
              <w:t xml:space="preserve">Autor(es)</w:t>
            </w:r>
          </w:p>
        </w:tc>
        <w:tc>
          <w:tcPr>
            <w:tcW w:type="dxa" w:w="4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2"/>
                <w:szCs w:val="22"/>
              </w:rPr>
              <w:t xml:space="preserve">[Equipa do projeto]</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2"/>
                <w:szCs w:val="22"/>
              </w:rPr>
              <w:t xml:space="preserve">Data de criação</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2"/>
                <w:szCs w:val="22"/>
              </w:rPr>
              <w:t xml:space="preserve">[DD/MM/AAAA]</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2"/>
                <w:szCs w:val="22"/>
              </w:rPr>
              <w:t xml:space="preserve">Data de revisão</w:t>
            </w:r>
          </w:p>
        </w:tc>
        <w:tc>
          <w:tcPr>
            <w:tcW w:type="dxa" w:w="4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2"/>
                <w:szCs w:val="22"/>
              </w:rPr>
              <w:t xml:space="preserve">[DD/MM/AAAA]</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2"/>
                <w:szCs w:val="22"/>
              </w:rPr>
              <w:t xml:space="preserve">Owner do playbook</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2"/>
                <w:szCs w:val="22"/>
              </w:rPr>
              <w:t xml:space="preserve">[Papel responsável pela manutenção — ex: SOC Manager]</w:t>
            </w:r>
          </w:p>
        </w:tc>
      </w:tr>
    </w:tbl>
    <w:p>
      <w:pPr>
        <w:spacing w:before="2400"/>
        <w:jc w:val="center"/>
      </w:pPr>
      <w:r>
        <w:rPr>
          <w:color w:val="595959"/>
          <w:sz w:val="22"/>
          <w:szCs w:val="22"/>
        </w:rPr>
        <w:t xml:space="preserve">Mestrado em Cibersegurança e Informática Forense</w:t>
      </w:r>
    </w:p>
    <w:p>
      <w:pPr>
        <w:jc w:val="center"/>
      </w:pPr>
      <w:r>
        <w:rPr>
          <w:i/>
          <w:iCs/>
          <w:color w:val="595959"/>
          <w:sz w:val="20"/>
          <w:szCs w:val="20"/>
        </w:rPr>
        <w:t xml:space="preserve">Tratamento de Incidentes de Segurança Informática  |  2025/26</w:t>
      </w:r>
    </w:p>
    <w:p>
      <w:r>
        <w:br w:type="page"/>
      </w:r>
    </w:p>
    <w:p>
      <w:pPr>
        <w:pStyle w:val="Heading1"/>
        <w:pBdr>
          <w:bottom w:val="single" w:color="1F3864" w:sz="8" w:space="4"/>
        </w:pBdr>
        <w:spacing w:after="200" w:before="360"/>
      </w:pPr>
      <w:r>
        <w:rPr>
          <w:b/>
          <w:bCs/>
          <w:color w:val="1F3864"/>
          <w:sz w:val="32"/>
          <w:szCs w:val="32"/>
        </w:rPr>
        <w:t xml:space="preserve">Instruções de utilização deste template</w:t>
      </w:r>
    </w:p>
    <w:p>
      <w:pPr>
        <w:spacing w:after="100"/>
      </w:pPr>
      <w:r>
        <w:rPr>
          <w:i/>
          <w:iCs/>
          <w:color w:val="595959"/>
          <w:sz w:val="20"/>
          <w:szCs w:val="20"/>
        </w:rPr>
        <w:t xml:space="preserve">Esta página é só para vos orientar — remova-a no relatório final.</w:t>
      </w:r>
    </w:p>
    <w:p>
      <w:pPr>
        <w:spacing w:after="120"/>
      </w:pPr>
      <w:r>
        <w:t xml:space="preserve">Este template está alinhado com os 5 elementos obrigatórios que o enunciado do projeto exige para cada playbook:</w:t>
      </w:r>
    </w:p>
    <w:p>
      <w:pPr>
        <w:pStyle w:val="ListParagraph"/>
        <w:numPr>
          <w:ilvl w:val="0"/>
          <w:numId w:val="2"/>
        </w:numPr>
        <w:spacing w:after="80"/>
      </w:pPr>
      <w:r>
        <w:rPr>
          <w:sz w:val="22"/>
          <w:szCs w:val="22"/>
        </w:rPr>
        <w:t xml:space="preserve">Como é normalmente detetado o incidente</w:t>
      </w:r>
    </w:p>
    <w:p>
      <w:pPr>
        <w:pStyle w:val="ListParagraph"/>
        <w:numPr>
          <w:ilvl w:val="0"/>
          <w:numId w:val="2"/>
        </w:numPr>
        <w:spacing w:after="80"/>
      </w:pPr>
      <w:r>
        <w:rPr>
          <w:sz w:val="22"/>
          <w:szCs w:val="22"/>
        </w:rPr>
        <w:t xml:space="preserve">Qual seria o nível de gravidade normal</w:t>
      </w:r>
    </w:p>
    <w:p>
      <w:pPr>
        <w:pStyle w:val="ListParagraph"/>
        <w:numPr>
          <w:ilvl w:val="0"/>
          <w:numId w:val="2"/>
        </w:numPr>
        <w:spacing w:after="80"/>
      </w:pPr>
      <w:r>
        <w:rPr>
          <w:sz w:val="22"/>
          <w:szCs w:val="22"/>
        </w:rPr>
        <w:t xml:space="preserve">Os detalhes do caso</w:t>
      </w:r>
    </w:p>
    <w:p>
      <w:pPr>
        <w:pStyle w:val="ListParagraph"/>
        <w:numPr>
          <w:ilvl w:val="0"/>
          <w:numId w:val="2"/>
        </w:numPr>
        <w:spacing w:after="80"/>
      </w:pPr>
      <w:r>
        <w:rPr>
          <w:sz w:val="22"/>
          <w:szCs w:val="22"/>
        </w:rPr>
        <w:t xml:space="preserve">As funções e responsabilidades das partes interessadas</w:t>
      </w:r>
    </w:p>
    <w:p>
      <w:pPr>
        <w:pStyle w:val="ListParagraph"/>
        <w:numPr>
          <w:ilvl w:val="0"/>
          <w:numId w:val="2"/>
        </w:numPr>
        <w:spacing w:after="80"/>
      </w:pPr>
      <w:r>
        <w:rPr>
          <w:sz w:val="22"/>
          <w:szCs w:val="22"/>
        </w:rPr>
        <w:t xml:space="preserve">As tarefas de resposta padrão</w:t>
      </w:r>
    </w:p>
    <w:p>
      <w:pPr>
        <w:spacing w:after="120"/>
      </w:pPr>
      <w:r>
        <w:t xml:space="preserve"/>
      </w:r>
    </w:p>
    <w:p>
      <w:r>
        <w:rPr>
          <w:b/>
          <w:bCs/>
        </w:rPr>
        <w:t xml:space="preserve">Para além destes 5 pontos obrigatórios, este template inclui boas práticas:</w:t>
      </w:r>
    </w:p>
    <w:p>
      <w:pPr>
        <w:pStyle w:val="ListParagraph"/>
        <w:numPr>
          <w:ilvl w:val="0"/>
          <w:numId w:val="2"/>
        </w:numPr>
        <w:spacing w:after="80"/>
      </w:pPr>
      <w:r>
        <w:rPr>
          <w:sz w:val="22"/>
          <w:szCs w:val="22"/>
        </w:rPr>
        <w:t xml:space="preserve">Camadas MaGMa (Business / Threat / Implementation) para enquadrar o playbook na ameaça e no negócio</w:t>
      </w:r>
    </w:p>
    <w:p>
      <w:pPr>
        <w:pStyle w:val="ListParagraph"/>
        <w:numPr>
          <w:ilvl w:val="0"/>
          <w:numId w:val="2"/>
        </w:numPr>
        <w:spacing w:after="80"/>
      </w:pPr>
      <w:r>
        <w:rPr>
          <w:sz w:val="22"/>
          <w:szCs w:val="22"/>
        </w:rPr>
        <w:t xml:space="preserve">Mapeamento MITRE ATT&amp;CK para descrever técnicas do atacante</w:t>
      </w:r>
    </w:p>
    <w:p>
      <w:pPr>
        <w:pStyle w:val="ListParagraph"/>
        <w:numPr>
          <w:ilvl w:val="0"/>
          <w:numId w:val="2"/>
        </w:numPr>
        <w:spacing w:after="80"/>
      </w:pPr>
      <w:r>
        <w:rPr>
          <w:sz w:val="22"/>
          <w:szCs w:val="22"/>
        </w:rPr>
        <w:t xml:space="preserve">Runbook técnico embebido (comandos, queries) — a parte operacional</w:t>
      </w:r>
    </w:p>
    <w:p>
      <w:pPr>
        <w:pStyle w:val="ListParagraph"/>
        <w:numPr>
          <w:ilvl w:val="0"/>
          <w:numId w:val="2"/>
        </w:numPr>
        <w:spacing w:after="80"/>
      </w:pPr>
      <w:r>
        <w:rPr>
          <w:sz w:val="22"/>
          <w:szCs w:val="22"/>
        </w:rPr>
        <w:t xml:space="preserve">Critério de ativação BCP/DRP — ponte para outras secções do PRI</w:t>
      </w:r>
    </w:p>
    <w:p>
      <w:pPr>
        <w:pStyle w:val="ListParagraph"/>
        <w:numPr>
          <w:ilvl w:val="0"/>
          <w:numId w:val="2"/>
        </w:numPr>
        <w:spacing w:after="80"/>
      </w:pPr>
      <w:r>
        <w:rPr>
          <w:sz w:val="22"/>
          <w:szCs w:val="22"/>
        </w:rPr>
        <w:t xml:space="preserve">Critério de fecho do incidente — quando se considera resolvido</w:t>
      </w:r>
    </w:p>
    <w:p>
      <w:pPr>
        <w:pStyle w:val="ListParagraph"/>
        <w:numPr>
          <w:ilvl w:val="0"/>
          <w:numId w:val="2"/>
        </w:numPr>
        <w:spacing w:after="80"/>
      </w:pPr>
      <w:r>
        <w:rPr>
          <w:sz w:val="22"/>
          <w:szCs w:val="22"/>
        </w:rPr>
        <w:t xml:space="preserve">Template de lições aprendidas — alimenta o ciclo de melhoria do PRI</w:t>
      </w:r>
    </w:p>
    <w:p>
      <w:pPr>
        <w:spacing w:after="120"/>
      </w:pPr>
      <w:r>
        <w:t xml:space="preserve"/>
      </w:r>
    </w:p>
    <w:p>
      <w:r>
        <w:rPr>
          <w:b/>
          <w:bCs/>
        </w:rPr>
        <w:t xml:space="preserve">Como preencher:</w:t>
      </w:r>
    </w:p>
    <w:p>
      <w:pPr>
        <w:pStyle w:val="ListParagraph"/>
        <w:numPr>
          <w:ilvl w:val="0"/>
          <w:numId w:val="2"/>
        </w:numPr>
        <w:spacing w:after="80"/>
      </w:pPr>
      <w:r>
        <w:rPr>
          <w:sz w:val="22"/>
          <w:szCs w:val="22"/>
        </w:rPr>
        <w:t xml:space="preserve">Substituam o texto em [colchetes] pelo conteúdo da vossa organização</w:t>
      </w:r>
    </w:p>
    <w:p>
      <w:pPr>
        <w:pStyle w:val="ListParagraph"/>
        <w:numPr>
          <w:ilvl w:val="0"/>
          <w:numId w:val="2"/>
        </w:numPr>
        <w:spacing w:after="80"/>
      </w:pPr>
      <w:r>
        <w:rPr>
          <w:sz w:val="22"/>
          <w:szCs w:val="22"/>
        </w:rPr>
        <w:t xml:space="preserve">Mantenham os títulos das secções — facilita avaliação cruzada</w:t>
      </w:r>
    </w:p>
    <w:p>
      <w:pPr>
        <w:pStyle w:val="ListParagraph"/>
        <w:numPr>
          <w:ilvl w:val="0"/>
          <w:numId w:val="2"/>
        </w:numPr>
        <w:spacing w:after="80"/>
      </w:pPr>
      <w:r>
        <w:rPr>
          <w:sz w:val="22"/>
          <w:szCs w:val="22"/>
        </w:rPr>
        <w:t xml:space="preserve">Sejam concretos: nomes de ferramentas, IPs anonimizados, comandos reais, papéis identificados</w:t>
      </w:r>
    </w:p>
    <w:p>
      <w:pPr>
        <w:pStyle w:val="ListParagraph"/>
        <w:numPr>
          <w:ilvl w:val="0"/>
          <w:numId w:val="2"/>
        </w:numPr>
        <w:spacing w:after="80"/>
      </w:pPr>
      <w:r>
        <w:rPr>
          <w:sz w:val="22"/>
          <w:szCs w:val="22"/>
        </w:rPr>
        <w:t xml:space="preserve">Onde não houver evidência factual, assumam — mas declarem a assunção</w:t>
      </w:r>
    </w:p>
    <w:p>
      <w:r>
        <w:br w:type="page"/>
      </w:r>
    </w:p>
    <w:p>
      <w:pPr>
        <w:pStyle w:val="Heading1"/>
        <w:pBdr>
          <w:bottom w:val="single" w:color="1F3864" w:sz="8" w:space="4"/>
        </w:pBdr>
        <w:spacing w:after="200" w:before="360"/>
      </w:pPr>
      <w:r>
        <w:rPr>
          <w:b/>
          <w:bCs/>
          <w:color w:val="1F3864"/>
          <w:sz w:val="32"/>
          <w:szCs w:val="32"/>
        </w:rPr>
        <w:t xml:space="preserve">0. Identificação do Playbook</w:t>
      </w:r>
    </w:p>
    <w:p>
      <w:pPr>
        <w:spacing w:after="100"/>
      </w:pPr>
      <w:r>
        <w:rPr>
          <w:i/>
          <w:iCs/>
          <w:color w:val="595959"/>
          <w:sz w:val="20"/>
          <w:szCs w:val="20"/>
        </w:rPr>
        <w:t xml:space="preserve">Metadados de gestão. Atualizar a cada revisão.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Código do playbook</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PB-[ORG]-[NUM] — ex: PB-CMP-001</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Tipo de incidente</w:t>
            </w:r>
          </w:p>
        </w:tc>
        <w:tc>
          <w:tcPr>
            <w:tcW w:type="dxa" w:w="62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[Ransomware / Phishing / Acesso Não Autorizado / Outro]</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Classificação</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[Público interno / Restrito / Confidencial]</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Próxima revisão</w:t>
            </w:r>
          </w:p>
        </w:tc>
        <w:tc>
          <w:tcPr>
            <w:tcW w:type="dxa" w:w="62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[Trimestral / Semestral / Anual]</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Aprovado por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[Papel — ex: CISO, Direção de Sistemas]</w:t>
            </w:r>
          </w:p>
        </w:tc>
      </w:tr>
    </w:tbl>
    <w:p>
      <w:pPr>
        <w:pStyle w:val="Heading1"/>
        <w:pBdr>
          <w:bottom w:val="single" w:color="1F3864" w:sz="8" w:space="4"/>
        </w:pBdr>
        <w:spacing w:after="200" w:before="360"/>
      </w:pPr>
      <w:r>
        <w:rPr>
          <w:b/>
          <w:bCs/>
          <w:color w:val="1F3864"/>
          <w:sz w:val="32"/>
          <w:szCs w:val="32"/>
        </w:rPr>
        <w:t xml:space="preserve">1. Enquadramento MaGMa</w:t>
      </w:r>
    </w:p>
    <w:p>
      <w:pPr>
        <w:spacing w:after="100"/>
      </w:pPr>
      <w:r>
        <w:rPr>
          <w:i/>
          <w:iCs/>
          <w:color w:val="595959"/>
          <w:sz w:val="20"/>
          <w:szCs w:val="20"/>
        </w:rPr>
        <w:t xml:space="preserve">Três camadas: porque este playbook existe (Business), contra o quê protege (Threat), como funciona tecnicamente (Implementation). Esta secção liga o operacional ao estratégico — vai ser valorizada na avaliação.</w:t>
      </w:r>
    </w:p>
    <w:p>
      <w:pPr>
        <w:pStyle w:val="Heading2"/>
        <w:spacing w:after="140" w:before="280"/>
      </w:pPr>
      <w:r>
        <w:rPr>
          <w:b/>
          <w:bCs/>
          <w:color w:val="1F3864"/>
          <w:sz w:val="26"/>
          <w:szCs w:val="26"/>
        </w:rPr>
        <w:t xml:space="preserve">1.1 Camada Business — Porquê?</w:t>
      </w:r>
    </w:p>
    <w:p>
      <w:pPr>
        <w:spacing w:after="100"/>
      </w:pPr>
      <w:r>
        <w:rPr>
          <w:i/>
          <w:iCs/>
          <w:color w:val="595959"/>
          <w:sz w:val="20"/>
          <w:szCs w:val="20"/>
        </w:rPr>
        <w:t xml:space="preserve">Que processo ou ativo de negócio este playbook protege? Que ‘driver’ organizacional justifica investir tempo a manter este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Processo de negócio protegido</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[Ex: Faturação a clientes, atendimento ao munícipe, dados de RH]</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Ativos críticos abrangidos</w:t>
            </w:r>
          </w:p>
        </w:tc>
        <w:tc>
          <w:tcPr>
            <w:tcW w:type="dxa" w:w="62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[Sistemas, BD, aplicações afetadas — listar nomes]</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Driver de negócio</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[Ex: Continuidade do serviço público / Proteção de dados RGPD / Cumprimento RJC NIS2]</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Impacto se não houver playbook</w:t>
            </w:r>
          </w:p>
        </w:tc>
        <w:tc>
          <w:tcPr>
            <w:tcW w:type="dxa" w:w="62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[Resposta inconsistente, MTTR elevado, risco regulatório]</w:t>
            </w:r>
          </w:p>
        </w:tc>
      </w:tr>
    </w:tbl>
    <w:p>
      <w:pPr>
        <w:pStyle w:val="Heading2"/>
        <w:spacing w:after="140" w:before="280"/>
      </w:pPr>
      <w:r>
        <w:rPr>
          <w:b/>
          <w:bCs/>
          <w:color w:val="1F3864"/>
          <w:sz w:val="26"/>
          <w:szCs w:val="26"/>
        </w:rPr>
        <w:t xml:space="preserve">1.2 Camada Threat — Contra o quê?</w:t>
      </w:r>
    </w:p>
    <w:p>
      <w:pPr>
        <w:spacing w:after="100"/>
      </w:pPr>
      <w:r>
        <w:rPr>
          <w:i/>
          <w:iCs/>
          <w:color w:val="595959"/>
          <w:sz w:val="20"/>
          <w:szCs w:val="20"/>
        </w:rPr>
        <w:t xml:space="preserve">Que ameaça concretamente este playbook trata? Atores, motivações, técnicas (MITRE ATT&amp;CK).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Tipo de ameaça</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[Ex: Ransomware double-extortion / Spear-phishing com BEC]</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Atores prováveis</w:t>
            </w:r>
          </w:p>
        </w:tc>
        <w:tc>
          <w:tcPr>
            <w:tcW w:type="dxa" w:w="62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[APTs, crime organizado, insider — caracterizar capacidade]</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Motivação</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[Financeira / Espionagem / Disrupção / Hacktivismo]</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Técnicas MITRE ATT&amp;CK</w:t>
            </w:r>
          </w:p>
        </w:tc>
        <w:tc>
          <w:tcPr>
            <w:tcW w:type="dxa" w:w="62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[Listar IDs — ex: T1566.002 Spear-phishing Link; T1078 Valid Accounts; T1486 Data Encrypted for Impact]</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IoCs típicos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[Ficheiros, hashes, domínios, IPs, padrões de tráfego característicos]</w:t>
            </w:r>
          </w:p>
        </w:tc>
      </w:tr>
    </w:tbl>
    <w:p>
      <w:pPr>
        <w:pStyle w:val="Heading2"/>
        <w:spacing w:after="140" w:before="280"/>
      </w:pPr>
      <w:r>
        <w:rPr>
          <w:b/>
          <w:bCs/>
          <w:color w:val="1F3864"/>
          <w:sz w:val="26"/>
          <w:szCs w:val="26"/>
        </w:rPr>
        <w:t xml:space="preserve">1.3 Camada Implementation — Como?</w:t>
      </w:r>
    </w:p>
    <w:p>
      <w:pPr>
        <w:spacing w:after="100"/>
      </w:pPr>
      <w:r>
        <w:rPr>
          <w:i/>
          <w:iCs/>
          <w:color w:val="595959"/>
          <w:sz w:val="20"/>
          <w:szCs w:val="20"/>
        </w:rPr>
        <w:t xml:space="preserve">Como é que isto está implementado tecnicamente na vossa infraestrutura? Que dados, regras e ferramentas suportam este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Fontes de log obrigatórias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[Ex: Firewall, AD, Email Gateway, EDR, Proxy — identificar específicos]</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Ferramentas envolvidas</w:t>
            </w:r>
          </w:p>
        </w:tc>
        <w:tc>
          <w:tcPr>
            <w:tcW w:type="dxa" w:w="62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[SIEM (qual?), EDR (qual?), Ticketing (qual?), TI Platform, Sandbox]</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Regras de deteção principais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[Ex: Sigma rule X; correlação Y; threshold Z]</w:t>
            </w:r>
          </w:p>
        </w:tc>
      </w:tr>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Use cases relacionados</w:t>
            </w:r>
          </w:p>
        </w:tc>
        <w:tc>
          <w:tcPr>
            <w:tcW w:type="dxa" w:w="62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[Códigos de use cases que disparam este playbook]</w:t>
            </w:r>
          </w:p>
        </w:tc>
      </w:tr>
    </w:tbl>
    <w:p>
      <w:r>
        <w:br w:type="page"/>
      </w:r>
    </w:p>
    <w:p>
      <w:pPr>
        <w:pStyle w:val="Heading1"/>
        <w:pBdr>
          <w:bottom w:val="single" w:color="1F3864" w:sz="8" w:space="4"/>
        </w:pBdr>
        <w:spacing w:after="200" w:before="360"/>
      </w:pPr>
      <w:r>
        <w:rPr>
          <w:b/>
          <w:bCs/>
          <w:color w:val="1F3864"/>
          <w:sz w:val="32"/>
          <w:szCs w:val="32"/>
        </w:rPr>
        <w:t xml:space="preserve">2. Como é normalmente detetado este incidente</w:t>
      </w:r>
    </w:p>
    <w:p>
      <w:pPr>
        <w:spacing w:after="100"/>
      </w:pPr>
      <w:r>
        <w:rPr>
          <w:i/>
          <w:iCs/>
          <w:color w:val="595959"/>
          <w:sz w:val="20"/>
          <w:szCs w:val="20"/>
        </w:rPr>
        <w:t xml:space="preserve">Ponto (i) do enunciado: descrever os mecanismos típicos de deteção. Sejam concretos com fontes e tipos de alerta.</w:t>
      </w:r>
    </w:p>
    <w:p>
      <w:pPr>
        <w:pStyle w:val="Heading2"/>
        <w:spacing w:after="140" w:before="280"/>
      </w:pPr>
      <w:r>
        <w:rPr>
          <w:b/>
          <w:bCs/>
          <w:color w:val="1F3864"/>
          <w:sz w:val="26"/>
          <w:szCs w:val="26"/>
        </w:rPr>
        <w:t xml:space="preserve">2.1 Triggers (eventos disparadores)</w:t>
      </w:r>
    </w:p>
    <w:p>
      <w:pPr>
        <w:pStyle w:val="ListParagraph"/>
        <w:numPr>
          <w:ilvl w:val="0"/>
          <w:numId w:val="2"/>
        </w:numPr>
        <w:spacing w:after="80"/>
      </w:pPr>
      <w:r>
        <w:rPr>
          <w:sz w:val="22"/>
          <w:szCs w:val="22"/>
        </w:rPr>
        <w:t xml:space="preserve">[Trigger 1 — ex: Alerta SIEM por correlação de N tentativas de login falhadas em M minutos]</w:t>
      </w:r>
    </w:p>
    <w:p>
      <w:pPr>
        <w:pStyle w:val="ListParagraph"/>
        <w:numPr>
          <w:ilvl w:val="0"/>
          <w:numId w:val="2"/>
        </w:numPr>
        <w:spacing w:after="80"/>
      </w:pPr>
      <w:r>
        <w:rPr>
          <w:sz w:val="22"/>
          <w:szCs w:val="22"/>
        </w:rPr>
        <w:t xml:space="preserve">[Trigger 2 — ex: Email gateway sinaliza anexo malicioso confirmado por sandbox]</w:t>
      </w:r>
    </w:p>
    <w:p>
      <w:pPr>
        <w:pStyle w:val="ListParagraph"/>
        <w:numPr>
          <w:ilvl w:val="0"/>
          <w:numId w:val="2"/>
        </w:numPr>
        <w:spacing w:after="80"/>
      </w:pPr>
      <w:r>
        <w:rPr>
          <w:sz w:val="22"/>
          <w:szCs w:val="22"/>
        </w:rPr>
        <w:t xml:space="preserve">[Trigger 3 — ex: Report de utilizador via canal definido (botão ‘Report Phishing’ no Outlook)]</w:t>
      </w:r>
    </w:p>
    <w:p>
      <w:pPr>
        <w:pStyle w:val="ListParagraph"/>
        <w:numPr>
          <w:ilvl w:val="0"/>
          <w:numId w:val="2"/>
        </w:numPr>
        <w:spacing w:after="80"/>
      </w:pPr>
      <w:r>
        <w:rPr>
          <w:sz w:val="22"/>
          <w:szCs w:val="22"/>
        </w:rPr>
        <w:t xml:space="preserve">[Trigger 4 — ex: Deteção do EDR de processo malicioso em endpoint]</w:t>
      </w:r>
    </w:p>
    <w:p>
      <w:pPr>
        <w:pStyle w:val="Heading2"/>
        <w:spacing w:after="140" w:before="280"/>
      </w:pPr>
      <w:r>
        <w:rPr>
          <w:b/>
          <w:bCs/>
          <w:color w:val="1F3864"/>
          <w:sz w:val="26"/>
          <w:szCs w:val="26"/>
        </w:rPr>
        <w:t xml:space="preserve">2.2 Fontes de evidência iniciais</w:t>
      </w:r>
    </w:p>
    <w:p>
      <w:pPr>
        <w:pStyle w:val="ListParagraph"/>
        <w:numPr>
          <w:ilvl w:val="0"/>
          <w:numId w:val="2"/>
        </w:numPr>
        <w:spacing w:after="80"/>
      </w:pPr>
      <w:r>
        <w:rPr>
          <w:sz w:val="22"/>
          <w:szCs w:val="22"/>
        </w:rPr>
        <w:t xml:space="preserve">[Fonte 1 — ex: Cabeçalhos do email, hash de anexo, URL]</w:t>
      </w:r>
    </w:p>
    <w:p>
      <w:pPr>
        <w:pStyle w:val="ListParagraph"/>
        <w:numPr>
          <w:ilvl w:val="0"/>
          <w:numId w:val="2"/>
        </w:numPr>
        <w:spacing w:after="80"/>
      </w:pPr>
      <w:r>
        <w:rPr>
          <w:sz w:val="22"/>
          <w:szCs w:val="22"/>
        </w:rPr>
        <w:t xml:space="preserve">[Fonte 2 — ex: Logs de autenticação do AD (event IDs 4624, 4625, 4768)]</w:t>
      </w:r>
    </w:p>
    <w:p>
      <w:pPr>
        <w:pStyle w:val="ListParagraph"/>
        <w:numPr>
          <w:ilvl w:val="0"/>
          <w:numId w:val="2"/>
        </w:numPr>
        <w:spacing w:after="80"/>
      </w:pPr>
      <w:r>
        <w:rPr>
          <w:sz w:val="22"/>
          <w:szCs w:val="22"/>
        </w:rPr>
        <w:t xml:space="preserve">[Fonte 3 — ex: Network flows / proxy logs]</w:t>
      </w:r>
    </w:p>
    <w:p>
      <w:pPr>
        <w:pStyle w:val="Heading2"/>
        <w:spacing w:after="140" w:before="280"/>
      </w:pPr>
      <w:r>
        <w:rPr>
          <w:b/>
          <w:bCs/>
          <w:color w:val="1F3864"/>
          <w:sz w:val="26"/>
          <w:szCs w:val="26"/>
        </w:rPr>
        <w:t xml:space="preserve">2.3 Pré-requisitos de deteção</w:t>
      </w:r>
    </w:p>
    <w:p>
      <w:pPr>
        <w:spacing w:after="100"/>
      </w:pPr>
      <w:r>
        <w:rPr>
          <w:i/>
          <w:iCs/>
          <w:color w:val="595959"/>
          <w:sz w:val="20"/>
          <w:szCs w:val="20"/>
        </w:rPr>
        <w:t xml:space="preserve">Que controlos têm de estar em funcionamento para que este incidente seja detetável? Importante para identificar lacunas.</w:t>
      </w:r>
    </w:p>
    <w:p>
      <w:pPr>
        <w:pStyle w:val="ListParagraph"/>
        <w:numPr>
          <w:ilvl w:val="0"/>
          <w:numId w:val="2"/>
        </w:numPr>
        <w:spacing w:after="80"/>
      </w:pPr>
      <w:r>
        <w:rPr>
          <w:sz w:val="22"/>
          <w:szCs w:val="22"/>
        </w:rPr>
        <w:t xml:space="preserve">[Ex: SIEM com regras de phishing ativas e fontes corretamente onboarded]</w:t>
      </w:r>
    </w:p>
    <w:p>
      <w:pPr>
        <w:pStyle w:val="ListParagraph"/>
        <w:numPr>
          <w:ilvl w:val="0"/>
          <w:numId w:val="2"/>
        </w:numPr>
        <w:spacing w:after="80"/>
      </w:pPr>
      <w:r>
        <w:rPr>
          <w:sz w:val="22"/>
          <w:szCs w:val="22"/>
        </w:rPr>
        <w:t xml:space="preserve">[Ex: EDR com política de bloqueio + alerting funcional em 100% dos endpoints]</w:t>
      </w:r>
    </w:p>
    <w:p>
      <w:pPr>
        <w:pStyle w:val="ListParagraph"/>
        <w:numPr>
          <w:ilvl w:val="0"/>
          <w:numId w:val="2"/>
        </w:numPr>
        <w:spacing w:after="80"/>
      </w:pPr>
      <w:r>
        <w:rPr>
          <w:sz w:val="22"/>
          <w:szCs w:val="22"/>
        </w:rPr>
        <w:t xml:space="preserve">[Ex: Email gateway com sandboxing de anexos]</w:t>
      </w:r>
    </w:p>
    <w:p>
      <w:pPr>
        <w:pStyle w:val="Heading1"/>
        <w:pBdr>
          <w:bottom w:val="single" w:color="1F3864" w:sz="8" w:space="4"/>
        </w:pBdr>
        <w:spacing w:after="200" w:before="360"/>
      </w:pPr>
      <w:r>
        <w:rPr>
          <w:b/>
          <w:bCs/>
          <w:color w:val="1F3864"/>
          <w:sz w:val="32"/>
          <w:szCs w:val="32"/>
        </w:rPr>
        <w:t xml:space="preserve">3. Nível de gravidade normal</w:t>
      </w:r>
    </w:p>
    <w:p>
      <w:pPr>
        <w:spacing w:after="100"/>
      </w:pPr>
      <w:r>
        <w:rPr>
          <w:i/>
          <w:iCs/>
          <w:color w:val="595959"/>
          <w:sz w:val="20"/>
          <w:szCs w:val="20"/>
        </w:rPr>
        <w:t xml:space="preserve">Ponto (ii) do enunciado: que severidade tipicamente este incidente tem? Usar a matriz de severidade do PRI.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20"/>
                <w:szCs w:val="20"/>
              </w:rPr>
              <w:t xml:space="preserve">Severidade</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20"/>
                <w:szCs w:val="20"/>
              </w:rPr>
              <w:t xml:space="preserve">Condição de aplicação</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20"/>
                <w:szCs w:val="20"/>
              </w:rPr>
              <w:t xml:space="preserve">SLA de resposta</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20"/>
                <w:szCs w:val="20"/>
              </w:rPr>
              <w:t xml:space="preserve">Quem é informado?</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Baixa</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[Ex: 1-2 utilizadores afetados, sem cliques, contido]</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[Ex: 8h úteis]</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[Ex: SOC L1]</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Média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[Ex: 3-10 utilizadores, cliques sem credenciais comprometidas]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[Ex: 4h]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[Ex: SOC L2 + IR Manager]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Alta</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[Ex: &gt;10 utilizadores, credenciais comprometidas, malware]</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[Ex: 1h]</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[Ex: CISO + Direção SI + Jurídico]</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Crítica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[Ex: Admin comprometido, ransomware ativo, exfiltração massiva]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[Ex: Imediata]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[Ex: Administração + CSIRT nacional + CNCS]</w:t>
            </w:r>
          </w:p>
        </w:tc>
      </w:tr>
    </w:tbl>
    <w:p>
      <w:pPr>
        <w:spacing w:after="120"/>
      </w:pPr>
      <w:r>
        <w:t xml:space="preserve"/>
      </w:r>
    </w:p>
    <w:p>
      <w:r>
        <w:rPr>
          <w:b/>
          <w:bCs/>
        </w:rPr>
        <w:t xml:space="preserve">Gravidade normal deste incidente (mediana esperada): </w:t>
      </w:r>
      <w:r>
        <w:rPr>
          <w:i/>
          <w:iCs/>
          <w:color w:val="C00000"/>
        </w:rPr>
        <w:t xml:space="preserve">[Indicar a severidade tipicamente aplicada]</w:t>
      </w:r>
    </w:p>
    <w:p>
      <w:pPr>
        <w:spacing w:after="100"/>
      </w:pPr>
      <w:r>
        <w:rPr>
          <w:i/>
          <w:iCs/>
          <w:color w:val="595959"/>
          <w:sz w:val="20"/>
          <w:szCs w:val="20"/>
        </w:rPr>
        <w:t xml:space="preserve">Justifiquem porquê — isto ajuda na avaliação cruzada com a matriz de severidade do PRI.</w:t>
      </w:r>
    </w:p>
    <w:p>
      <w:r>
        <w:br w:type="page"/>
      </w:r>
    </w:p>
    <w:p>
      <w:pPr>
        <w:pStyle w:val="Heading1"/>
        <w:pBdr>
          <w:bottom w:val="single" w:color="1F3864" w:sz="8" w:space="4"/>
        </w:pBdr>
        <w:spacing w:after="200" w:before="360"/>
      </w:pPr>
      <w:r>
        <w:rPr>
          <w:b/>
          <w:bCs/>
          <w:color w:val="1F3864"/>
          <w:sz w:val="32"/>
          <w:szCs w:val="32"/>
        </w:rPr>
        <w:t xml:space="preserve">4. Detalhes do caso</w:t>
      </w:r>
    </w:p>
    <w:p>
      <w:pPr>
        <w:spacing w:after="100"/>
      </w:pPr>
      <w:r>
        <w:rPr>
          <w:i/>
          <w:iCs/>
          <w:color w:val="595959"/>
          <w:sz w:val="20"/>
          <w:szCs w:val="20"/>
        </w:rPr>
        <w:t xml:space="preserve">Ponto (iii) do enunciado: caracterizar o tipo de incidente para um analista júnior perceber rapidamente do que se trata.</w:t>
      </w:r>
    </w:p>
    <w:p>
      <w:pPr>
        <w:pStyle w:val="Heading2"/>
        <w:spacing w:after="140" w:before="280"/>
      </w:pPr>
      <w:r>
        <w:rPr>
          <w:b/>
          <w:bCs/>
          <w:color w:val="1F3864"/>
          <w:sz w:val="26"/>
          <w:szCs w:val="26"/>
        </w:rPr>
        <w:t xml:space="preserve">4.1 Descrição executiva</w:t>
      </w:r>
    </w:p>
    <w:p>
      <w:pPr>
        <w:spacing w:after="100"/>
      </w:pPr>
      <w:r>
        <w:rPr>
          <w:i/>
          <w:iCs/>
          <w:color w:val="595959"/>
          <w:sz w:val="20"/>
          <w:szCs w:val="20"/>
        </w:rPr>
        <w:t xml:space="preserve">Parágrafo curto (3-5 linhas) que explica o incidente para alguém que nunca tenha visto este playbook.</w:t>
      </w:r>
    </w:p>
    <w:p>
      <w:pPr>
        <w:spacing w:after="200"/>
      </w:pPr>
      <w:r>
        <w:t xml:space="preserve">[Ex: Um ataque de ransomware envolve cifragem dos dados de sistemas comprometidos com o objetivo de extorquir pagamento em troca da chave de decifração. Em variantes ‘double extortion’, há também exfiltração prévia de dados com ameaça de divulgação. Os vetores mais comuns são phishing, exploração de VPN/RDP, ou comprometimento de fornecedor.]</w:t>
      </w:r>
    </w:p>
    <w:p>
      <w:pPr>
        <w:pStyle w:val="Heading2"/>
        <w:spacing w:after="140" w:before="280"/>
      </w:pPr>
      <w:r>
        <w:rPr>
          <w:b/>
          <w:bCs/>
          <w:color w:val="1F3864"/>
          <w:sz w:val="26"/>
          <w:szCs w:val="26"/>
        </w:rPr>
        <w:t xml:space="preserve">4.2 Indicadores iniciais (IoCs típicos)</w:t>
      </w:r>
    </w:p>
    <w:p>
      <w:pPr>
        <w:pStyle w:val="ListParagraph"/>
        <w:numPr>
          <w:ilvl w:val="0"/>
          <w:numId w:val="2"/>
        </w:numPr>
        <w:spacing w:after="80"/>
      </w:pPr>
      <w:r>
        <w:rPr>
          <w:sz w:val="22"/>
          <w:szCs w:val="22"/>
        </w:rPr>
        <w:t xml:space="preserve">[Indicador 1 — ex: Ficheiros com extensões específicas (.locked, .enc)]</w:t>
      </w:r>
    </w:p>
    <w:p>
      <w:pPr>
        <w:pStyle w:val="ListParagraph"/>
        <w:numPr>
          <w:ilvl w:val="0"/>
          <w:numId w:val="2"/>
        </w:numPr>
        <w:spacing w:after="80"/>
      </w:pPr>
      <w:r>
        <w:rPr>
          <w:sz w:val="22"/>
          <w:szCs w:val="22"/>
        </w:rPr>
        <w:t xml:space="preserve">[Indicador 2 — ex: Nota de resgate em formato readme.txt em múltiplas pastas]</w:t>
      </w:r>
    </w:p>
    <w:p>
      <w:pPr>
        <w:pStyle w:val="ListParagraph"/>
        <w:numPr>
          <w:ilvl w:val="0"/>
          <w:numId w:val="2"/>
        </w:numPr>
        <w:spacing w:after="80"/>
      </w:pPr>
      <w:r>
        <w:rPr>
          <w:sz w:val="22"/>
          <w:szCs w:val="22"/>
        </w:rPr>
        <w:t xml:space="preserve">[Indicador 3 — ex: Tráfego anómalo de saída para domínios .onion / IPs conhecidos]</w:t>
      </w:r>
    </w:p>
    <w:p>
      <w:pPr>
        <w:pStyle w:val="Heading2"/>
        <w:spacing w:after="140" w:before="280"/>
      </w:pPr>
      <w:r>
        <w:rPr>
          <w:b/>
          <w:bCs/>
          <w:color w:val="1F3864"/>
          <w:sz w:val="26"/>
          <w:szCs w:val="26"/>
        </w:rPr>
        <w:t xml:space="preserve">4.3 Cenários típicos</w:t>
      </w:r>
    </w:p>
    <w:p>
      <w:pPr>
        <w:spacing w:after="100"/>
      </w:pPr>
      <w:r>
        <w:rPr>
          <w:i/>
          <w:iCs/>
          <w:color w:val="595959"/>
          <w:sz w:val="20"/>
          <w:szCs w:val="20"/>
        </w:rPr>
        <w:t xml:space="preserve">2-3 cenários concretos para o analista identificar variantes.</w:t>
      </w:r>
    </w:p>
    <w:p>
      <w:pPr>
        <w:pStyle w:val="ListParagraph"/>
        <w:numPr>
          <w:ilvl w:val="0"/>
          <w:numId w:val="2"/>
        </w:numPr>
        <w:spacing w:after="80"/>
      </w:pPr>
      <w:r>
        <w:rPr>
          <w:sz w:val="22"/>
          <w:szCs w:val="22"/>
        </w:rPr>
        <w:t xml:space="preserve">[Cenário A — ex: Ransomware iniciado via macro Office em email de phishing]</w:t>
      </w:r>
    </w:p>
    <w:p>
      <w:pPr>
        <w:pStyle w:val="ListParagraph"/>
        <w:numPr>
          <w:ilvl w:val="0"/>
          <w:numId w:val="2"/>
        </w:numPr>
        <w:spacing w:after="80"/>
      </w:pPr>
      <w:r>
        <w:rPr>
          <w:sz w:val="22"/>
          <w:szCs w:val="22"/>
        </w:rPr>
        <w:t xml:space="preserve">[Cenário B — ex: Ransomware via acesso RDP comprometido]</w:t>
      </w:r>
    </w:p>
    <w:p>
      <w:pPr>
        <w:pStyle w:val="ListParagraph"/>
        <w:numPr>
          <w:ilvl w:val="0"/>
          <w:numId w:val="2"/>
        </w:numPr>
        <w:spacing w:after="80"/>
      </w:pPr>
      <w:r>
        <w:rPr>
          <w:sz w:val="22"/>
          <w:szCs w:val="22"/>
        </w:rPr>
        <w:t xml:space="preserve">[Cenário C — ex: Ransomware distribuído via supply chain]</w:t>
      </w:r>
    </w:p>
    <w:p>
      <w:pPr>
        <w:pStyle w:val="Heading2"/>
        <w:spacing w:after="140" w:before="280"/>
      </w:pPr>
      <w:r>
        <w:rPr>
          <w:b/>
          <w:bCs/>
          <w:color w:val="1F3864"/>
          <w:sz w:val="26"/>
          <w:szCs w:val="26"/>
        </w:rPr>
        <w:t xml:space="preserve">4.4 Quando NÃO usar este playbook</w:t>
      </w:r>
    </w:p>
    <w:p>
      <w:pPr>
        <w:spacing w:after="100"/>
      </w:pPr>
      <w:r>
        <w:rPr>
          <w:i/>
          <w:iCs/>
          <w:color w:val="595959"/>
          <w:sz w:val="20"/>
          <w:szCs w:val="20"/>
        </w:rPr>
        <w:t xml:space="preserve">Importante para evitar uso indevido. Quando o incidente parece este mas não é.</w:t>
      </w:r>
    </w:p>
    <w:p>
      <w:pPr>
        <w:pStyle w:val="ListParagraph"/>
        <w:numPr>
          <w:ilvl w:val="0"/>
          <w:numId w:val="2"/>
        </w:numPr>
        <w:spacing w:after="80"/>
      </w:pPr>
      <w:r>
        <w:rPr>
          <w:sz w:val="22"/>
          <w:szCs w:val="22"/>
        </w:rPr>
        <w:t xml:space="preserve">[Ex: Ficheiros cifrados por engano (utilizador aplicou BitLocker) — usar PB de erro humano]</w:t>
      </w:r>
    </w:p>
    <w:p>
      <w:pPr>
        <w:pStyle w:val="ListParagraph"/>
        <w:numPr>
          <w:ilvl w:val="0"/>
          <w:numId w:val="2"/>
        </w:numPr>
        <w:spacing w:after="80"/>
      </w:pPr>
      <w:r>
        <w:rPr>
          <w:sz w:val="22"/>
          <w:szCs w:val="22"/>
        </w:rPr>
        <w:t xml:space="preserve">[Ex: Falso positivo de EDR sobre encryption legítimo — usar PB de gestão de falsos positivos]</w:t>
      </w:r>
    </w:p>
    <w:p>
      <w:r>
        <w:br w:type="page"/>
      </w:r>
    </w:p>
    <w:p>
      <w:pPr>
        <w:pStyle w:val="Heading1"/>
        <w:pBdr>
          <w:bottom w:val="single" w:color="1F3864" w:sz="8" w:space="4"/>
        </w:pBdr>
        <w:spacing w:after="200" w:before="360"/>
      </w:pPr>
      <w:r>
        <w:rPr>
          <w:b/>
          <w:bCs/>
          <w:color w:val="1F3864"/>
          <w:sz w:val="32"/>
          <w:szCs w:val="32"/>
        </w:rPr>
        <w:t xml:space="preserve">5. Funções e responsabilidades — Matriz RACI</w:t>
      </w:r>
    </w:p>
    <w:p>
      <w:pPr>
        <w:spacing w:after="100"/>
      </w:pPr>
      <w:r>
        <w:rPr>
          <w:i/>
          <w:iCs/>
          <w:color w:val="595959"/>
          <w:sz w:val="20"/>
          <w:szCs w:val="20"/>
        </w:rPr>
        <w:t xml:space="preserve">Ponto (iv) do enunciado. R = Responsável (executa); A = Accountable (aprova, responde); C = Consultado; I = Informado. Cada linha = uma tarefa, cada coluna = um papel.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80"/>
        <w:gridCol w:w="980"/>
        <w:gridCol w:w="980"/>
        <w:gridCol w:w="980"/>
        <w:gridCol w:w="980"/>
        <w:gridCol w:w="980"/>
        <w:gridCol w:w="108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20"/>
                <w:szCs w:val="20"/>
              </w:rPr>
              <w:t xml:space="preserve">Tarefa</w:t>
            </w:r>
          </w:p>
        </w:tc>
        <w:tc>
          <w:tcPr>
            <w:tcW w:type="dxa" w:w="9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SOC L1</w:t>
            </w:r>
          </w:p>
        </w:tc>
        <w:tc>
          <w:tcPr>
            <w:tcW w:type="dxa" w:w="9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SOC L2</w:t>
            </w:r>
          </w:p>
        </w:tc>
        <w:tc>
          <w:tcPr>
            <w:tcW w:type="dxa" w:w="9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IR Mgr</w:t>
            </w:r>
          </w:p>
        </w:tc>
        <w:tc>
          <w:tcPr>
            <w:tcW w:type="dxa" w:w="9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CISO</w:t>
            </w:r>
          </w:p>
        </w:tc>
        <w:tc>
          <w:tcPr>
            <w:tcW w:type="dxa" w:w="9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TI Infra</w:t>
            </w:r>
          </w:p>
        </w:tc>
        <w:tc>
          <w:tcPr>
            <w:tcW w:type="dxa" w:w="9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Jurídico</w:t>
            </w:r>
          </w:p>
        </w:tc>
        <w:tc>
          <w:tcPr>
            <w:tcW w:type="dxa" w:w="10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Direção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Triagem inicial do alerta</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R</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C</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A</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I</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Confirmação do incidente</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C</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b/>
                <w:bCs/>
                <w:color w:val="000000"/>
                <w:sz w:val="20"/>
                <w:szCs w:val="20"/>
              </w:rPr>
              <w:t xml:space="preserve">R</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b/>
                <w:bCs/>
                <w:color w:val="000000"/>
                <w:sz w:val="20"/>
                <w:szCs w:val="20"/>
              </w:rPr>
              <w:t xml:space="preserve">A</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I</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C</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w:t>
            </w:r>
          </w:p>
        </w:tc>
        <w:tc>
          <w:tcPr>
            <w:tcW w:type="dxa" w:w="10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Contenção (isolar endpoints)</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R</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A</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I</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C</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I</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Notificação a entidades externas (CNCS, CNPD)</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b/>
                <w:bCs/>
                <w:color w:val="000000"/>
                <w:sz w:val="20"/>
                <w:szCs w:val="20"/>
              </w:rPr>
              <w:t xml:space="preserve">R</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b/>
                <w:bCs/>
                <w:color w:val="000000"/>
                <w:sz w:val="20"/>
                <w:szCs w:val="20"/>
              </w:rPr>
              <w:t xml:space="preserve">A</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C</w:t>
            </w:r>
          </w:p>
        </w:tc>
        <w:tc>
          <w:tcPr>
            <w:tcW w:type="dxa" w:w="10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Erradicação e recuperação</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C</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A</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I</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R</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I</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Comunicação interna / utilizadores</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C</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b/>
                <w:bCs/>
                <w:color w:val="000000"/>
                <w:sz w:val="20"/>
                <w:szCs w:val="20"/>
              </w:rPr>
              <w:t xml:space="preserve">A</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w:t>
            </w:r>
          </w:p>
        </w:tc>
        <w:tc>
          <w:tcPr>
            <w:tcW w:type="dxa" w:w="9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color w:val="000000"/>
                <w:sz w:val="20"/>
                <w:szCs w:val="20"/>
              </w:rPr>
              <w:t xml:space="preserve">C</w:t>
            </w:r>
          </w:p>
        </w:tc>
        <w:tc>
          <w:tcPr>
            <w:tcW w:type="dxa" w:w="10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b/>
                <w:bCs/>
                <w:color w:val="000000"/>
                <w:sz w:val="20"/>
                <w:szCs w:val="20"/>
              </w:rPr>
              <w:t xml:space="preserv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Relatório pós-incidente / lições aprendidas</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C</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R</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color w:val="000000"/>
                <w:sz w:val="20"/>
                <w:szCs w:val="20"/>
              </w:rPr>
              <w:t xml:space="preserve">A</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I</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C</w:t>
            </w:r>
          </w:p>
        </w:tc>
        <w:tc>
          <w:tcPr>
            <w:tcW w:type="dxa" w:w="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I</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color w:val="000000"/>
                <w:sz w:val="20"/>
                <w:szCs w:val="20"/>
              </w:rPr>
              <w:t xml:space="preserve">I</w:t>
            </w:r>
          </w:p>
        </w:tc>
      </w:tr>
    </w:tbl>
    <w:p>
      <w:pPr>
        <w:spacing w:after="120"/>
      </w:pPr>
      <w:r>
        <w:t xml:space="preserve"/>
      </w:r>
    </w:p>
    <w:p>
      <w:pPr>
        <w:spacing w:after="100"/>
      </w:pPr>
      <w:r>
        <w:rPr>
          <w:i/>
          <w:iCs/>
          <w:color w:val="595959"/>
          <w:sz w:val="20"/>
          <w:szCs w:val="20"/>
        </w:rPr>
        <w:t xml:space="preserve">⚠ Adaptar as colunas aos papéis reais da vossa organização. Se a empresa não tem SOC L2 nem IR Manager separados, fundir colunas. Mas mantenham sempre pelo menos: quem executa, quem aprova, quem é informado.</w:t>
      </w:r>
    </w:p>
    <w:p>
      <w:pPr>
        <w:pStyle w:val="Heading2"/>
        <w:spacing w:after="140" w:before="280"/>
      </w:pPr>
      <w:r>
        <w:rPr>
          <w:b/>
          <w:bCs/>
          <w:color w:val="1F3864"/>
          <w:sz w:val="26"/>
          <w:szCs w:val="26"/>
        </w:rPr>
        <w:t xml:space="preserve">5.1 Contactos operacionais</w:t>
      </w:r>
    </w:p>
    <w:p>
      <w:pPr>
        <w:spacing w:after="100"/>
      </w:pPr>
      <w:r>
        <w:rPr>
          <w:i/>
          <w:iCs/>
          <w:color w:val="595959"/>
          <w:sz w:val="20"/>
          <w:szCs w:val="20"/>
        </w:rPr>
        <w:t xml:space="preserve">Não basta saber o papel — é preciso saber quem é a pessoa. Listar contactos atualizados.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Papel</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Nome</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Contacto primário</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Backup</w:t>
            </w:r>
          </w:p>
        </w:tc>
      </w:tr>
      <w:tr>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SOC L1</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[Nome]</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[+351 xxx; email; Teams]</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[Backup]</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IR Manager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[Nome]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[Contactos]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20"/>
                <w:szCs w:val="20"/>
              </w:rPr>
              <w:t xml:space="preserve">[Backup]</w:t>
            </w:r>
          </w:p>
        </w:tc>
      </w:tr>
      <w:tr>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CISO</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[Nome]</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[Contactos]</w:t>
            </w:r>
          </w:p>
        </w:tc>
        <w:tc>
          <w:tcPr>
            <w:tcW w:type="dxa" w:w="234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[Backup]</w:t>
            </w:r>
          </w:p>
        </w:tc>
      </w:tr>
    </w:tbl>
    <w:p>
      <w:r>
        <w:br w:type="page"/>
      </w:r>
    </w:p>
    <w:p>
      <w:pPr>
        <w:pStyle w:val="Heading1"/>
        <w:pBdr>
          <w:bottom w:val="single" w:color="1F3864" w:sz="8" w:space="4"/>
        </w:pBdr>
        <w:spacing w:after="200" w:before="360"/>
      </w:pPr>
      <w:r>
        <w:rPr>
          <w:b/>
          <w:bCs/>
          <w:color w:val="1F3864"/>
          <w:sz w:val="32"/>
          <w:szCs w:val="32"/>
        </w:rPr>
        <w:t xml:space="preserve">6. Tarefas de resposta padrão (modelo NIST SP 800-61)</w:t>
      </w:r>
    </w:p>
    <w:p>
      <w:pPr>
        <w:spacing w:after="100"/>
      </w:pPr>
      <w:r>
        <w:rPr>
          <w:i/>
          <w:iCs/>
          <w:color w:val="595959"/>
          <w:sz w:val="20"/>
          <w:szCs w:val="20"/>
        </w:rPr>
        <w:t xml:space="preserve">Ponto (v) do enunciado: as etapas de resposta detalhadas. Seguimos as 6 fases NIST. Cada fase tem entradas, ações concretas, saídas e critério de transição para a fase seguinte.</w:t>
      </w:r>
    </w:p>
    <w:p>
      <w:pPr>
        <w:pStyle w:val="Heading2"/>
        <w:spacing w:after="140" w:before="280"/>
      </w:pPr>
      <w:r>
        <w:rPr>
          <w:b/>
          <w:bCs/>
          <w:color w:val="1F3864"/>
          <w:sz w:val="26"/>
          <w:szCs w:val="26"/>
        </w:rPr>
        <w:t xml:space="preserve">Fase 1 — Preparação</w:t>
      </w:r>
    </w:p>
    <w:p>
      <w:pPr>
        <w:spacing w:after="100"/>
      </w:pPr>
      <w:r>
        <w:rPr>
          <w:i/>
          <w:iCs/>
          <w:color w:val="595959"/>
          <w:sz w:val="20"/>
          <w:szCs w:val="20"/>
        </w:rPr>
        <w:t xml:space="preserve">O que tem de estar pronto ANTES do incidente para este playbook funcionar. Não se faz durante o incidente — é pré-trabalho.</w:t>
      </w:r>
    </w:p>
    <w:p>
      <w:pPr>
        <w:pStyle w:val="ListParagraph"/>
        <w:numPr>
          <w:ilvl w:val="0"/>
          <w:numId w:val="2"/>
        </w:numPr>
        <w:spacing w:after="80"/>
      </w:pPr>
      <w:r>
        <w:rPr>
          <w:sz w:val="22"/>
          <w:szCs w:val="22"/>
        </w:rPr>
        <w:t xml:space="preserve">[Controlos preventivos em vigor: MFA, EDR atualizado, backups testados]</w:t>
      </w:r>
    </w:p>
    <w:p>
      <w:pPr>
        <w:pStyle w:val="ListParagraph"/>
        <w:numPr>
          <w:ilvl w:val="0"/>
          <w:numId w:val="2"/>
        </w:numPr>
        <w:spacing w:after="80"/>
      </w:pPr>
      <w:r>
        <w:rPr>
          <w:sz w:val="22"/>
          <w:szCs w:val="22"/>
        </w:rPr>
        <w:t xml:space="preserve">[Formação de utilizadores e analistas no procedimento]</w:t>
      </w:r>
    </w:p>
    <w:p>
      <w:pPr>
        <w:pStyle w:val="ListParagraph"/>
        <w:numPr>
          <w:ilvl w:val="0"/>
          <w:numId w:val="2"/>
        </w:numPr>
        <w:spacing w:after="80"/>
      </w:pPr>
      <w:r>
        <w:rPr>
          <w:sz w:val="22"/>
          <w:szCs w:val="22"/>
        </w:rPr>
        <w:t xml:space="preserve">[Acordos com fornecedores / IR retainer em vigor]</w:t>
      </w:r>
    </w:p>
    <w:p>
      <w:pPr>
        <w:pStyle w:val="ListParagraph"/>
        <w:numPr>
          <w:ilvl w:val="0"/>
          <w:numId w:val="2"/>
        </w:numPr>
        <w:spacing w:after="80"/>
      </w:pPr>
      <w:r>
        <w:rPr>
          <w:sz w:val="22"/>
          <w:szCs w:val="22"/>
        </w:rPr>
        <w:t xml:space="preserve">[Testes regulares do playbook (mínimo trimestral)]</w:t>
      </w:r>
    </w:p>
    <w:p>
      <w:pPr>
        <w:pStyle w:val="Heading2"/>
        <w:spacing w:after="140" w:before="280"/>
      </w:pPr>
      <w:r>
        <w:rPr>
          <w:b/>
          <w:bCs/>
          <w:color w:val="1F3864"/>
          <w:sz w:val="26"/>
          <w:szCs w:val="26"/>
        </w:rPr>
        <w:t xml:space="preserve">Fase 2 — Identificação</w:t>
      </w:r>
    </w:p>
    <w:p>
      <w:pPr>
        <w:pStyle w:val="Heading3"/>
        <w:spacing w:after="100" w:before="200"/>
      </w:pPr>
      <w:r>
        <w:rPr>
          <w:b/>
          <w:bCs/>
          <w:color w:val="1F3864"/>
          <w:sz w:val="22"/>
          <w:szCs w:val="22"/>
        </w:rPr>
        <w:t xml:space="preserve">Entrada: alerta ou sinal disparador</w:t>
      </w:r>
    </w:p>
    <w:p>
      <w:pPr>
        <w:pStyle w:val="Heading3"/>
        <w:spacing w:after="100" w:before="200"/>
      </w:pPr>
      <w:r>
        <w:rPr>
          <w:b/>
          <w:bCs/>
          <w:color w:val="1F3864"/>
          <w:sz w:val="22"/>
          <w:szCs w:val="22"/>
        </w:rPr>
        <w:t xml:space="preserve">Ações:</w:t>
      </w:r>
    </w:p>
    <w:p>
      <w:pPr>
        <w:pStyle w:val="ListParagraph"/>
        <w:numPr>
          <w:ilvl w:val="0"/>
          <w:numId w:val="2"/>
        </w:numPr>
        <w:spacing w:after="80"/>
      </w:pPr>
      <w:r>
        <w:rPr>
          <w:sz w:val="22"/>
          <w:szCs w:val="22"/>
        </w:rPr>
        <w:t xml:space="preserve">[Confirmar autenticidade do alerta — verificar com fonte original]</w:t>
      </w:r>
    </w:p>
    <w:p>
      <w:pPr>
        <w:pStyle w:val="ListParagraph"/>
        <w:numPr>
          <w:ilvl w:val="0"/>
          <w:numId w:val="2"/>
        </w:numPr>
        <w:spacing w:after="80"/>
      </w:pPr>
      <w:r>
        <w:rPr>
          <w:sz w:val="22"/>
          <w:szCs w:val="22"/>
        </w:rPr>
        <w:t xml:space="preserve">[Recolher evidências iniciais — logs, headers, hashes]</w:t>
      </w:r>
    </w:p>
    <w:p>
      <w:pPr>
        <w:pStyle w:val="ListParagraph"/>
        <w:numPr>
          <w:ilvl w:val="0"/>
          <w:numId w:val="2"/>
        </w:numPr>
        <w:spacing w:after="80"/>
      </w:pPr>
      <w:r>
        <w:rPr>
          <w:sz w:val="22"/>
          <w:szCs w:val="22"/>
        </w:rPr>
        <w:t xml:space="preserve">[Verificar se outros indicadores correlacionam — pivotar no SIEM]</w:t>
      </w:r>
    </w:p>
    <w:p>
      <w:pPr>
        <w:pStyle w:val="ListParagraph"/>
        <w:numPr>
          <w:ilvl w:val="0"/>
          <w:numId w:val="2"/>
        </w:numPr>
        <w:spacing w:after="80"/>
      </w:pPr>
      <w:r>
        <w:rPr>
          <w:sz w:val="22"/>
          <w:szCs w:val="22"/>
        </w:rPr>
        <w:t xml:space="preserve">[Determinar âmbito preliminar — quantos sistemas/utilizadores afetados]</w:t>
      </w:r>
    </w:p>
    <w:p>
      <w:pPr>
        <w:pStyle w:val="ListParagraph"/>
        <w:numPr>
          <w:ilvl w:val="0"/>
          <w:numId w:val="2"/>
        </w:numPr>
        <w:spacing w:after="80"/>
      </w:pPr>
      <w:r>
        <w:rPr>
          <w:sz w:val="22"/>
          <w:szCs w:val="22"/>
        </w:rPr>
        <w:t xml:space="preserve">[Classificar severidade segundo matriz da secção 3]</w:t>
      </w:r>
    </w:p>
    <w:p>
      <w:pPr>
        <w:pStyle w:val="Heading3"/>
        <w:spacing w:after="100" w:before="200"/>
      </w:pPr>
      <w:r>
        <w:rPr>
          <w:b/>
          <w:bCs/>
          <w:color w:val="1F3864"/>
          <w:sz w:val="22"/>
          <w:szCs w:val="22"/>
        </w:rPr>
        <w:t xml:space="preserve">Saída esperada:</w:t>
      </w:r>
    </w:p>
    <w:p>
      <w:pPr>
        <w:pStyle w:val="ListParagraph"/>
        <w:numPr>
          <w:ilvl w:val="0"/>
          <w:numId w:val="2"/>
        </w:numPr>
        <w:spacing w:after="80"/>
      </w:pPr>
      <w:r>
        <w:rPr>
          <w:sz w:val="22"/>
          <w:szCs w:val="22"/>
        </w:rPr>
        <w:t xml:space="preserve">[Ticket de incidente aberto com classificação, âmbito, evidências iniciais]</w:t>
      </w:r>
    </w:p>
    <w:p>
      <w:pPr>
        <w:pStyle w:val="Heading3"/>
        <w:spacing w:after="100" w:before="200"/>
      </w:pPr>
      <w:r>
        <w:rPr>
          <w:b/>
          <w:bCs/>
          <w:color w:val="1F3864"/>
          <w:sz w:val="22"/>
          <w:szCs w:val="22"/>
        </w:rPr>
        <w:t xml:space="preserve">Critério para passar à fase seguinte:</w:t>
      </w:r>
    </w:p>
    <w:p>
      <w:pPr>
        <w:pStyle w:val="ListParagraph"/>
        <w:numPr>
          <w:ilvl w:val="0"/>
          <w:numId w:val="2"/>
        </w:numPr>
        <w:spacing w:after="80"/>
      </w:pPr>
      <w:r>
        <w:rPr>
          <w:sz w:val="22"/>
          <w:szCs w:val="22"/>
        </w:rPr>
        <w:t xml:space="preserve">[Incidente confirmado (não falso positivo) E severidade ≥ Média]</w:t>
      </w:r>
    </w:p>
    <w:p>
      <w:pPr>
        <w:pStyle w:val="Heading2"/>
        <w:spacing w:after="140" w:before="280"/>
      </w:pPr>
      <w:r>
        <w:rPr>
          <w:b/>
          <w:bCs/>
          <w:color w:val="1F3864"/>
          <w:sz w:val="26"/>
          <w:szCs w:val="26"/>
        </w:rPr>
        <w:t xml:space="preserve">Fase 3 — Contenção</w:t>
      </w:r>
    </w:p>
    <w:p>
      <w:pPr>
        <w:pStyle w:val="Heading3"/>
        <w:spacing w:after="100" w:before="200"/>
      </w:pPr>
      <w:r>
        <w:rPr>
          <w:b/>
          <w:bCs/>
          <w:color w:val="1F3864"/>
          <w:sz w:val="22"/>
          <w:szCs w:val="22"/>
        </w:rPr>
        <w:t xml:space="preserve">Ações de contenção a curto prazo (imediatas):</w:t>
      </w:r>
    </w:p>
    <w:p>
      <w:pPr>
        <w:pStyle w:val="ListParagraph"/>
        <w:numPr>
          <w:ilvl w:val="0"/>
          <w:numId w:val="2"/>
        </w:numPr>
        <w:spacing w:after="80"/>
      </w:pPr>
      <w:r>
        <w:rPr>
          <w:sz w:val="22"/>
          <w:szCs w:val="22"/>
        </w:rPr>
        <w:t xml:space="preserve">[Isolar endpoints afetados via EDR]</w:t>
      </w:r>
    </w:p>
    <w:p>
      <w:pPr>
        <w:pStyle w:val="ListParagraph"/>
        <w:numPr>
          <w:ilvl w:val="0"/>
          <w:numId w:val="2"/>
        </w:numPr>
        <w:spacing w:after="80"/>
      </w:pPr>
      <w:r>
        <w:rPr>
          <w:sz w:val="22"/>
          <w:szCs w:val="22"/>
        </w:rPr>
        <w:t xml:space="preserve">[Suspender contas comprometidas — não eliminar (preservar evidência)]</w:t>
      </w:r>
    </w:p>
    <w:p>
      <w:pPr>
        <w:pStyle w:val="ListParagraph"/>
        <w:numPr>
          <w:ilvl w:val="0"/>
          <w:numId w:val="2"/>
        </w:numPr>
        <w:spacing w:after="80"/>
      </w:pPr>
      <w:r>
        <w:rPr>
          <w:sz w:val="22"/>
          <w:szCs w:val="22"/>
        </w:rPr>
        <w:t xml:space="preserve">[Bloquear IoCs no perímetro (firewall, proxy, email gateway)]</w:t>
      </w:r>
    </w:p>
    <w:p>
      <w:pPr>
        <w:pStyle w:val="Heading3"/>
        <w:spacing w:after="100" w:before="200"/>
      </w:pPr>
      <w:r>
        <w:rPr>
          <w:b/>
          <w:bCs/>
          <w:color w:val="1F3864"/>
          <w:sz w:val="22"/>
          <w:szCs w:val="22"/>
        </w:rPr>
        <w:t xml:space="preserve">Ações de contenção a longo prazo (após análise):</w:t>
      </w:r>
    </w:p>
    <w:p>
      <w:pPr>
        <w:pStyle w:val="ListParagraph"/>
        <w:numPr>
          <w:ilvl w:val="0"/>
          <w:numId w:val="2"/>
        </w:numPr>
        <w:spacing w:after="80"/>
      </w:pPr>
      <w:r>
        <w:rPr>
          <w:sz w:val="22"/>
          <w:szCs w:val="22"/>
        </w:rPr>
        <w:t xml:space="preserve">[Aplicar patches específicos identificados]</w:t>
      </w:r>
    </w:p>
    <w:p>
      <w:pPr>
        <w:pStyle w:val="ListParagraph"/>
        <w:numPr>
          <w:ilvl w:val="0"/>
          <w:numId w:val="2"/>
        </w:numPr>
        <w:spacing w:after="80"/>
      </w:pPr>
      <w:r>
        <w:rPr>
          <w:sz w:val="22"/>
          <w:szCs w:val="22"/>
        </w:rPr>
        <w:t xml:space="preserve">[Segmentar rede afetada]</w:t>
      </w:r>
    </w:p>
    <w:p>
      <w:pPr>
        <w:pStyle w:val="ListParagraph"/>
        <w:numPr>
          <w:ilvl w:val="0"/>
          <w:numId w:val="2"/>
        </w:numPr>
        <w:spacing w:after="80"/>
      </w:pPr>
      <w:r>
        <w:rPr>
          <w:sz w:val="22"/>
          <w:szCs w:val="22"/>
        </w:rPr>
        <w:t xml:space="preserve">[Reforçar regras de deteção com novos IoCs]</w:t>
      </w:r>
    </w:p>
    <w:p>
      <w:pPr>
        <w:pStyle w:val="Heading3"/>
        <w:spacing w:after="100" w:before="200"/>
      </w:pPr>
      <w:r>
        <w:rPr>
          <w:b/>
          <w:bCs/>
          <w:color w:val="1F3864"/>
          <w:sz w:val="22"/>
          <w:szCs w:val="22"/>
        </w:rPr>
        <w:t xml:space="preserve">Decisão crítica: contenção vs preservação de evidência</w:t>
      </w:r>
    </w:p>
    <w:p>
      <w:pPr>
        <w:spacing w:after="100"/>
      </w:pPr>
      <w:r>
        <w:rPr>
          <w:i/>
          <w:iCs/>
          <w:color w:val="595959"/>
          <w:sz w:val="20"/>
          <w:szCs w:val="20"/>
        </w:rPr>
        <w:t xml:space="preserve">Para casos com componente forense (suspeita de crime), consultar Jurídico antes de erradicar. Pode ser necessário manter sistemas ‘vivos’ para captura de memória.</w:t>
      </w:r>
    </w:p>
    <w:p>
      <w:pPr>
        <w:pStyle w:val="Heading2"/>
        <w:spacing w:after="140" w:before="280"/>
      </w:pPr>
      <w:r>
        <w:rPr>
          <w:b/>
          <w:bCs/>
          <w:color w:val="1F3864"/>
          <w:sz w:val="26"/>
          <w:szCs w:val="26"/>
        </w:rPr>
        <w:t xml:space="preserve">Fase 4 — Erradicação</w:t>
      </w:r>
    </w:p>
    <w:p>
      <w:pPr>
        <w:pStyle w:val="ListParagraph"/>
        <w:numPr>
          <w:ilvl w:val="0"/>
          <w:numId w:val="2"/>
        </w:numPr>
        <w:spacing w:after="80"/>
      </w:pPr>
      <w:r>
        <w:rPr>
          <w:sz w:val="22"/>
          <w:szCs w:val="22"/>
        </w:rPr>
        <w:t xml:space="preserve">[Eliminar artefactos maliciosos — ficheiros, processos, chaves de registo, tarefas agendadas]</w:t>
      </w:r>
    </w:p>
    <w:p>
      <w:pPr>
        <w:pStyle w:val="ListParagraph"/>
        <w:numPr>
          <w:ilvl w:val="0"/>
          <w:numId w:val="2"/>
        </w:numPr>
        <w:spacing w:after="80"/>
      </w:pPr>
      <w:r>
        <w:rPr>
          <w:sz w:val="22"/>
          <w:szCs w:val="22"/>
        </w:rPr>
        <w:t xml:space="preserve">[Reset de credenciais comprometidas]</w:t>
      </w:r>
    </w:p>
    <w:p>
      <w:pPr>
        <w:pStyle w:val="ListParagraph"/>
        <w:numPr>
          <w:ilvl w:val="0"/>
          <w:numId w:val="2"/>
        </w:numPr>
        <w:spacing w:after="80"/>
      </w:pPr>
      <w:r>
        <w:rPr>
          <w:sz w:val="22"/>
          <w:szCs w:val="22"/>
        </w:rPr>
        <w:t xml:space="preserve">[Validar com EDR / segunda ferramenta que sistema está limpo]</w:t>
      </w:r>
    </w:p>
    <w:p>
      <w:pPr>
        <w:pStyle w:val="ListParagraph"/>
        <w:numPr>
          <w:ilvl w:val="0"/>
          <w:numId w:val="2"/>
        </w:numPr>
        <w:spacing w:after="80"/>
      </w:pPr>
      <w:r>
        <w:rPr>
          <w:sz w:val="22"/>
          <w:szCs w:val="22"/>
        </w:rPr>
        <w:t xml:space="preserve">[Identificar e corrigir vulnerabilidade explorada (root cause)]</w:t>
      </w:r>
    </w:p>
    <w:p>
      <w:pPr>
        <w:pStyle w:val="Heading2"/>
        <w:spacing w:after="140" w:before="280"/>
      </w:pPr>
      <w:r>
        <w:rPr>
          <w:b/>
          <w:bCs/>
          <w:color w:val="1F3864"/>
          <w:sz w:val="26"/>
          <w:szCs w:val="26"/>
        </w:rPr>
        <w:t xml:space="preserve">Fase 5 — Recuperação</w:t>
      </w:r>
    </w:p>
    <w:p>
      <w:pPr>
        <w:pStyle w:val="ListParagraph"/>
        <w:numPr>
          <w:ilvl w:val="0"/>
          <w:numId w:val="2"/>
        </w:numPr>
        <w:spacing w:after="80"/>
      </w:pPr>
      <w:r>
        <w:rPr>
          <w:sz w:val="22"/>
          <w:szCs w:val="22"/>
        </w:rPr>
        <w:t xml:space="preserve">[Restaurar sistemas a partir de backups limpos OU reinstalar do zero]</w:t>
      </w:r>
    </w:p>
    <w:p>
      <w:pPr>
        <w:pStyle w:val="ListParagraph"/>
        <w:numPr>
          <w:ilvl w:val="0"/>
          <w:numId w:val="2"/>
        </w:numPr>
        <w:spacing w:after="80"/>
      </w:pPr>
      <w:r>
        <w:rPr>
          <w:sz w:val="22"/>
          <w:szCs w:val="22"/>
        </w:rPr>
        <w:t xml:space="preserve">[Validar funcionamento dos serviços]</w:t>
      </w:r>
    </w:p>
    <w:p>
      <w:pPr>
        <w:pStyle w:val="ListParagraph"/>
        <w:numPr>
          <w:ilvl w:val="0"/>
          <w:numId w:val="2"/>
        </w:numPr>
        <w:spacing w:after="80"/>
      </w:pPr>
      <w:r>
        <w:rPr>
          <w:sz w:val="22"/>
          <w:szCs w:val="22"/>
        </w:rPr>
        <w:t xml:space="preserve">[Monitorização reforçada por X dias após recuperação]</w:t>
      </w:r>
    </w:p>
    <w:p>
      <w:pPr>
        <w:pStyle w:val="ListParagraph"/>
        <w:numPr>
          <w:ilvl w:val="0"/>
          <w:numId w:val="2"/>
        </w:numPr>
        <w:spacing w:after="80"/>
      </w:pPr>
      <w:r>
        <w:rPr>
          <w:sz w:val="22"/>
          <w:szCs w:val="22"/>
        </w:rPr>
        <w:t xml:space="preserve">[Restaurar acessos progressivamente — não tudo de uma vez]</w:t>
      </w:r>
    </w:p>
    <w:p>
      <w:pPr>
        <w:pStyle w:val="Heading2"/>
        <w:spacing w:after="140" w:before="280"/>
      </w:pPr>
      <w:r>
        <w:rPr>
          <w:b/>
          <w:bCs/>
          <w:color w:val="1F3864"/>
          <w:sz w:val="26"/>
          <w:szCs w:val="26"/>
        </w:rPr>
        <w:t xml:space="preserve">Fase 6 — Lições Aprendidas</w:t>
      </w:r>
    </w:p>
    <w:p>
      <w:pPr>
        <w:pStyle w:val="ListParagraph"/>
        <w:numPr>
          <w:ilvl w:val="0"/>
          <w:numId w:val="2"/>
        </w:numPr>
        <w:spacing w:after="80"/>
      </w:pPr>
      <w:r>
        <w:rPr>
          <w:sz w:val="22"/>
          <w:szCs w:val="22"/>
        </w:rPr>
        <w:t xml:space="preserve">[Reunião pós-incidente em prazo definido (ex: 5 dias úteis após fecho)]</w:t>
      </w:r>
    </w:p>
    <w:p>
      <w:pPr>
        <w:pStyle w:val="ListParagraph"/>
        <w:numPr>
          <w:ilvl w:val="0"/>
          <w:numId w:val="2"/>
        </w:numPr>
        <w:spacing w:after="80"/>
      </w:pPr>
      <w:r>
        <w:rPr>
          <w:sz w:val="22"/>
          <w:szCs w:val="22"/>
        </w:rPr>
        <w:t xml:space="preserve">[Documentar timeline, decisões tomadas, o que funcionou e o que falhou]</w:t>
      </w:r>
    </w:p>
    <w:p>
      <w:pPr>
        <w:pStyle w:val="ListParagraph"/>
        <w:numPr>
          <w:ilvl w:val="0"/>
          <w:numId w:val="2"/>
        </w:numPr>
        <w:spacing w:after="80"/>
      </w:pPr>
      <w:r>
        <w:rPr>
          <w:sz w:val="22"/>
          <w:szCs w:val="22"/>
        </w:rPr>
        <w:t xml:space="preserve">[Atualizar este playbook com base nas descobertas — nova versão]</w:t>
      </w:r>
    </w:p>
    <w:p>
      <w:pPr>
        <w:pStyle w:val="ListParagraph"/>
        <w:numPr>
          <w:ilvl w:val="0"/>
          <w:numId w:val="2"/>
        </w:numPr>
        <w:spacing w:after="80"/>
      </w:pPr>
      <w:r>
        <w:rPr>
          <w:sz w:val="22"/>
          <w:szCs w:val="22"/>
        </w:rPr>
        <w:t xml:space="preserve">[Atualizar IoCs e regras de deteção]</w:t>
      </w:r>
    </w:p>
    <w:p>
      <w:pPr>
        <w:pStyle w:val="ListParagraph"/>
        <w:numPr>
          <w:ilvl w:val="0"/>
          <w:numId w:val="2"/>
        </w:numPr>
        <w:spacing w:after="80"/>
      </w:pPr>
      <w:r>
        <w:rPr>
          <w:sz w:val="22"/>
          <w:szCs w:val="22"/>
        </w:rPr>
        <w:t xml:space="preserve">[Identificar necessidades de formação / investimento]</w:t>
      </w:r>
    </w:p>
    <w:p>
      <w:r>
        <w:br w:type="page"/>
      </w:r>
    </w:p>
    <w:p>
      <w:pPr>
        <w:pStyle w:val="Heading1"/>
        <w:pBdr>
          <w:bottom w:val="single" w:color="1F3864" w:sz="8" w:space="4"/>
        </w:pBdr>
        <w:spacing w:after="200" w:before="360"/>
      </w:pPr>
      <w:r>
        <w:rPr>
          <w:b/>
          <w:bCs/>
          <w:color w:val="1F3864"/>
          <w:sz w:val="32"/>
          <w:szCs w:val="32"/>
        </w:rPr>
        <w:t xml:space="preserve">7. Runbook técnico (operacional)</w:t>
      </w:r>
    </w:p>
    <w:p>
      <w:pPr>
        <w:spacing w:after="100"/>
      </w:pPr>
      <w:r>
        <w:rPr>
          <w:i/>
          <w:iCs/>
          <w:color w:val="595959"/>
          <w:sz w:val="20"/>
          <w:szCs w:val="20"/>
        </w:rPr>
        <w:t xml:space="preserve">O ‘como fazer’ concreto. Comandos, queries SIEM, screenshots de ferramentas. É a parte que distingue um playbook executável de um documento decorativo. NÃO PODE ficar genérico.</w:t>
      </w:r>
    </w:p>
    <w:p>
      <w:pPr>
        <w:pStyle w:val="Heading2"/>
        <w:spacing w:after="140" w:before="280"/>
      </w:pPr>
      <w:r>
        <w:rPr>
          <w:b/>
          <w:bCs/>
          <w:color w:val="1F3864"/>
          <w:sz w:val="26"/>
          <w:szCs w:val="26"/>
        </w:rPr>
        <w:t xml:space="preserve">7.1 Queries SIEM essenciais</w:t>
      </w:r>
    </w:p>
    <w:p>
      <w:pPr>
        <w:spacing w:after="100"/>
      </w:pPr>
      <w:r>
        <w:rPr>
          <w:i/>
          <w:iCs/>
          <w:color w:val="595959"/>
          <w:sz w:val="20"/>
          <w:szCs w:val="20"/>
        </w:rPr>
        <w:t xml:space="preserve">Pelo menos 3 queries que o analista pode copiar-colar.</w:t>
      </w:r>
    </w:p>
    <w:p>
      <w:pPr>
        <w:spacing w:after="120"/>
      </w:pPr>
      <w:r>
        <w:t xml:space="preserve">[Query 1 — Detectar tentativas relacionadas no SIEM da organização]</w:t>
      </w:r>
    </w:p>
    <w:p>
      <w:pPr>
        <w:spacing w:after="120"/>
      </w:pPr>
      <w:r>
        <w:rPr>
          <w:color w:val="595959"/>
        </w:rPr>
        <w:t xml:space="preserve">// Exemplo (adaptar à sintaxe da ferramenta SIEM real)</w:t>
      </w:r>
    </w:p>
    <w:p>
      <w:pPr>
        <w:shd w:fill="F2F2F2" w:val="clear"/>
        <w:spacing w:after="200"/>
      </w:pPr>
      <w:r>
        <w:rPr>
          <w:rFonts w:ascii="Consolas" w:cs="Consolas" w:eastAsia="Consolas" w:hAnsi="Consolas"/>
          <w:sz w:val="18"/>
          <w:szCs w:val="18"/>
        </w:rPr>
        <w:t xml:space="preserve">index=email source="o365" subject=*payment* OR subject=*invoice* | stats count by sender, recipient</w:t>
      </w:r>
    </w:p>
    <w:p>
      <w:pPr>
        <w:pStyle w:val="Heading2"/>
        <w:spacing w:after="140" w:before="280"/>
      </w:pPr>
      <w:r>
        <w:rPr>
          <w:b/>
          <w:bCs/>
          <w:color w:val="1F3864"/>
          <w:sz w:val="26"/>
          <w:szCs w:val="26"/>
        </w:rPr>
        <w:t xml:space="preserve">7.2 Comandos de contenção</w:t>
      </w:r>
    </w:p>
    <w:p>
      <w:pPr>
        <w:spacing w:after="100"/>
      </w:pPr>
      <w:r>
        <w:rPr>
          <w:i/>
          <w:iCs/>
          <w:color w:val="595959"/>
          <w:sz w:val="20"/>
          <w:szCs w:val="20"/>
        </w:rPr>
        <w:t xml:space="preserve">Comandos reais a executar. Identificar a ferramenta.</w:t>
      </w:r>
    </w:p>
    <w:p>
      <w:pPr>
        <w:spacing w:after="120"/>
      </w:pPr>
      <w:r>
        <w:t xml:space="preserve">[Comando 1 — Isolar endpoint via EDR (especificar ferramenta)]</w:t>
      </w:r>
    </w:p>
    <w:p>
      <w:pPr>
        <w:shd w:fill="F2F2F2" w:val="clear"/>
        <w:spacing w:after="200"/>
      </w:pPr>
      <w:r>
        <w:rPr>
          <w:rFonts w:ascii="Consolas" w:cs="Consolas" w:eastAsia="Consolas" w:hAnsi="Consolas"/>
          <w:sz w:val="18"/>
          <w:szCs w:val="18"/>
        </w:rPr>
        <w:t xml:space="preserve"># Exemplo CrowdStrike Falcon CLI
falcon-cli host-isolate --hostname=ENDPOINT01</w:t>
      </w:r>
    </w:p>
    <w:p>
      <w:pPr>
        <w:spacing w:after="120"/>
      </w:pPr>
      <w:r>
        <w:t xml:space="preserve">[Comando 2 — Suspender conta AD]</w:t>
      </w:r>
    </w:p>
    <w:p>
      <w:pPr>
        <w:shd w:fill="F2F2F2" w:val="clear"/>
        <w:spacing w:after="200"/>
      </w:pPr>
      <w:r>
        <w:rPr>
          <w:rFonts w:ascii="Consolas" w:cs="Consolas" w:eastAsia="Consolas" w:hAnsi="Consolas"/>
          <w:sz w:val="18"/>
          <w:szCs w:val="18"/>
        </w:rPr>
        <w:t xml:space="preserve">Disable-ADAccount -Identity "user.name"</w:t>
      </w:r>
    </w:p>
    <w:p>
      <w:pPr>
        <w:pStyle w:val="Heading2"/>
        <w:spacing w:after="140" w:before="280"/>
      </w:pPr>
      <w:r>
        <w:rPr>
          <w:b/>
          <w:bCs/>
          <w:color w:val="1F3864"/>
          <w:sz w:val="26"/>
          <w:szCs w:val="26"/>
        </w:rPr>
        <w:t xml:space="preserve">7.3 Ferramentas e acessos necessários</w:t>
      </w:r>
    </w:p>
    <w:p>
      <w:pPr>
        <w:pStyle w:val="ListParagraph"/>
        <w:numPr>
          <w:ilvl w:val="0"/>
          <w:numId w:val="2"/>
        </w:numPr>
        <w:spacing w:after="80"/>
      </w:pPr>
      <w:r>
        <w:rPr>
          <w:sz w:val="22"/>
          <w:szCs w:val="22"/>
        </w:rPr>
        <w:t xml:space="preserve">[SIEM — quem tem acesso? URL? credenciais via cofre?]</w:t>
      </w:r>
    </w:p>
    <w:p>
      <w:pPr>
        <w:pStyle w:val="ListParagraph"/>
        <w:numPr>
          <w:ilvl w:val="0"/>
          <w:numId w:val="2"/>
        </w:numPr>
        <w:spacing w:after="80"/>
      </w:pPr>
      <w:r>
        <w:rPr>
          <w:sz w:val="22"/>
          <w:szCs w:val="22"/>
        </w:rPr>
        <w:t xml:space="preserve">[EDR — qual produto, quem tem permissão de contenção]</w:t>
      </w:r>
    </w:p>
    <w:p>
      <w:pPr>
        <w:pStyle w:val="ListParagraph"/>
        <w:numPr>
          <w:ilvl w:val="0"/>
          <w:numId w:val="2"/>
        </w:numPr>
        <w:spacing w:after="80"/>
      </w:pPr>
      <w:r>
        <w:rPr>
          <w:sz w:val="22"/>
          <w:szCs w:val="22"/>
        </w:rPr>
        <w:t xml:space="preserve">[Sandbox para análise — Joe Sandbox / Any.run / VirusTotal Enterprise]</w:t>
      </w:r>
    </w:p>
    <w:p>
      <w:pPr>
        <w:pStyle w:val="ListParagraph"/>
        <w:numPr>
          <w:ilvl w:val="0"/>
          <w:numId w:val="2"/>
        </w:numPr>
        <w:spacing w:after="80"/>
      </w:pPr>
      <w:r>
        <w:rPr>
          <w:sz w:val="22"/>
          <w:szCs w:val="22"/>
        </w:rPr>
        <w:t xml:space="preserve">[TI Platform — MISP, OpenCTI, VirusTotal Intelligence]</w:t>
      </w:r>
    </w:p>
    <w:p>
      <w:pPr>
        <w:pStyle w:val="Heading1"/>
        <w:pBdr>
          <w:bottom w:val="single" w:color="1F3864" w:sz="8" w:space="4"/>
        </w:pBdr>
        <w:spacing w:after="200" w:before="360"/>
      </w:pPr>
      <w:r>
        <w:rPr>
          <w:b/>
          <w:bCs/>
          <w:color w:val="1F3864"/>
          <w:sz w:val="32"/>
          <w:szCs w:val="32"/>
        </w:rPr>
        <w:t xml:space="preserve">8. Matriz de comunicação e escalonamento</w:t>
      </w:r>
    </w:p>
    <w:p>
      <w:pPr>
        <w:spacing w:after="100"/>
      </w:pPr>
      <w:r>
        <w:rPr>
          <w:i/>
          <w:iCs/>
          <w:color w:val="595959"/>
          <w:sz w:val="20"/>
          <w:szCs w:val="20"/>
        </w:rPr>
        <w:t xml:space="preserve">Quem comunica o quê, a quem, em que momento, por que canal. Esta matriz é referenciada cruzadamente com a matriz geral do PRI.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Quando</w:t>
            </w:r>
          </w:p>
        </w:tc>
        <w:tc>
          <w:tcPr>
            <w:tcW w:type="dxa" w:w="187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O quê</w:t>
            </w:r>
          </w:p>
        </w:tc>
        <w:tc>
          <w:tcPr>
            <w:tcW w:type="dxa" w:w="187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A quem</w:t>
            </w:r>
          </w:p>
        </w:tc>
        <w:tc>
          <w:tcPr>
            <w:tcW w:type="dxa" w:w="187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Por quem</w:t>
            </w:r>
          </w:p>
        </w:tc>
        <w:tc>
          <w:tcPr>
            <w:tcW w:type="dxa" w:w="187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18"/>
                <w:szCs w:val="18"/>
              </w:rPr>
              <w:t xml:space="preserve">Canal</w:t>
            </w:r>
          </w:p>
        </w:tc>
      </w:tr>
      <w:tr>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Alerta confirmado (T+0)</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Notificação inicial</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IR Manager + CISO</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SOC L2</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Teams + ticket</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18"/>
                <w:szCs w:val="18"/>
              </w:rPr>
              <w:t xml:space="preserve">T+1h se sev. Alta</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18"/>
                <w:szCs w:val="18"/>
              </w:rPr>
              <w:t xml:space="preserve">Briefing executivo</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18"/>
                <w:szCs w:val="18"/>
              </w:rPr>
              <w:t xml:space="preserve">Direção SI</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18"/>
                <w:szCs w:val="18"/>
              </w:rPr>
              <w:t xml:space="preserve">CISO</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18"/>
                <w:szCs w:val="18"/>
              </w:rPr>
              <w:t xml:space="preserve">Chamada + email</w:t>
            </w:r>
          </w:p>
        </w:tc>
      </w:tr>
      <w:tr>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T+24h se notificável</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Notificação reguladora (RGPD Art.33, RJC)</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CNPD / CNCS</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Jurídico + CISO</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Portal oficial</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18"/>
                <w:szCs w:val="18"/>
              </w:rPr>
              <w:t xml:space="preserve">Quando resolvido</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18"/>
                <w:szCs w:val="18"/>
              </w:rPr>
              <w:t xml:space="preserve">Comunicação fecho</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18"/>
                <w:szCs w:val="18"/>
              </w:rPr>
              <w:t xml:space="preserve">Todos os envolvidos</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18"/>
                <w:szCs w:val="18"/>
              </w:rPr>
              <w:t xml:space="preserve">IR Manager</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color w:val="000000"/>
                <w:sz w:val="18"/>
                <w:szCs w:val="18"/>
              </w:rPr>
              <w:t xml:space="preserve">Email + relatório</w:t>
            </w:r>
          </w:p>
        </w:tc>
      </w:tr>
      <w:tr>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T+5 dias úteis</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Lições aprendidas</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CISO + envolvidos</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IR Manager</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18"/>
                <w:szCs w:val="18"/>
              </w:rPr>
              <w:t xml:space="preserve">Reunião + relatório</w:t>
            </w:r>
          </w:p>
        </w:tc>
      </w:tr>
    </w:tbl>
    <w:p>
      <w:pPr>
        <w:pStyle w:val="Heading1"/>
        <w:pBdr>
          <w:bottom w:val="single" w:color="1F3864" w:sz="8" w:space="4"/>
        </w:pBdr>
        <w:spacing w:after="200" w:before="360"/>
      </w:pPr>
      <w:r>
        <w:rPr>
          <w:b/>
          <w:bCs/>
          <w:color w:val="1F3864"/>
          <w:sz w:val="32"/>
          <w:szCs w:val="32"/>
        </w:rPr>
        <w:t xml:space="preserve">9. Critérios de ativação BCP / DRP</w:t>
      </w:r>
    </w:p>
    <w:p>
      <w:pPr>
        <w:spacing w:after="100"/>
      </w:pPr>
      <w:r>
        <w:rPr>
          <w:i/>
          <w:iCs/>
          <w:color w:val="595959"/>
          <w:sz w:val="20"/>
          <w:szCs w:val="20"/>
        </w:rPr>
        <w:t xml:space="preserve">Quando este incidente exige ativar planos de continuidade ou recuperação. Liga a outras secções do PRI.</w:t>
      </w:r>
    </w:p>
    <w:p>
      <w:pPr>
        <w:pStyle w:val="ListParagraph"/>
        <w:numPr>
          <w:ilvl w:val="0"/>
          <w:numId w:val="2"/>
        </w:numPr>
        <w:spacing w:after="80"/>
      </w:pPr>
      <w:r>
        <w:rPr>
          <w:sz w:val="22"/>
          <w:szCs w:val="22"/>
        </w:rPr>
        <w:t xml:space="preserve">[Critério BCP — ex: Indisponibilidade do serviço X superior a 4 horas]</w:t>
      </w:r>
    </w:p>
    <w:p>
      <w:pPr>
        <w:pStyle w:val="ListParagraph"/>
        <w:numPr>
          <w:ilvl w:val="0"/>
          <w:numId w:val="2"/>
        </w:numPr>
        <w:spacing w:after="80"/>
      </w:pPr>
      <w:r>
        <w:rPr>
          <w:sz w:val="22"/>
          <w:szCs w:val="22"/>
        </w:rPr>
        <w:t xml:space="preserve">[Critério DRP — ex: Cifragem de &gt;30% dos sistemas críticos OU comprometimento de backups primários]</w:t>
      </w:r>
    </w:p>
    <w:p>
      <w:pPr>
        <w:pStyle w:val="ListParagraph"/>
        <w:numPr>
          <w:ilvl w:val="0"/>
          <w:numId w:val="2"/>
        </w:numPr>
        <w:spacing w:after="80"/>
      </w:pPr>
      <w:r>
        <w:rPr>
          <w:sz w:val="22"/>
          <w:szCs w:val="22"/>
        </w:rPr>
        <w:t xml:space="preserve">[Critério escalada externa — ex: Ataque ativo a sistemas regulados pelo NIS2 com impacto público]</w:t>
      </w:r>
    </w:p>
    <w:p>
      <w:pPr>
        <w:spacing w:after="120"/>
      </w:pPr>
      <w:r>
        <w:t xml:space="preserve"/>
      </w:r>
    </w:p>
    <w:p>
      <w:r>
        <w:rPr>
          <w:b/>
          <w:bCs/>
        </w:rPr>
        <w:t xml:space="preserve">Quem decide ativar BCP/DRP?</w:t>
      </w:r>
    </w:p>
    <w:p>
      <w:pPr>
        <w:spacing w:after="120"/>
      </w:pPr>
      <w:r>
        <w:t xml:space="preserve">[Especificar papel — ex: CISO em coordenação com Direção, escalada para Administração]</w:t>
      </w:r>
    </w:p>
    <w:p>
      <w:pPr>
        <w:pStyle w:val="Heading1"/>
        <w:pBdr>
          <w:bottom w:val="single" w:color="1F3864" w:sz="8" w:space="4"/>
        </w:pBdr>
        <w:spacing w:after="200" w:before="360"/>
      </w:pPr>
      <w:r>
        <w:rPr>
          <w:b/>
          <w:bCs/>
          <w:color w:val="1F3864"/>
          <w:sz w:val="32"/>
          <w:szCs w:val="32"/>
        </w:rPr>
        <w:t xml:space="preserve">10. Critério de fecho do incidente</w:t>
      </w:r>
    </w:p>
    <w:p>
      <w:pPr>
        <w:spacing w:after="100"/>
      </w:pPr>
      <w:r>
        <w:rPr>
          <w:i/>
          <w:iCs/>
          <w:color w:val="595959"/>
          <w:sz w:val="20"/>
          <w:szCs w:val="20"/>
        </w:rPr>
        <w:t xml:space="preserve">Quando se considera o incidente resolvido. Sem critério claro, fica em aberto indefinidamente.</w:t>
      </w:r>
    </w:p>
    <w:p>
      <w:pPr>
        <w:pStyle w:val="ListParagraph"/>
        <w:numPr>
          <w:ilvl w:val="0"/>
          <w:numId w:val="2"/>
        </w:numPr>
        <w:spacing w:after="80"/>
      </w:pPr>
      <w:r>
        <w:rPr>
          <w:sz w:val="22"/>
          <w:szCs w:val="22"/>
        </w:rPr>
        <w:t xml:space="preserve">[Todas as ações da fase de Erradicação concluídas e verificadas]</w:t>
      </w:r>
    </w:p>
    <w:p>
      <w:pPr>
        <w:pStyle w:val="ListParagraph"/>
        <w:numPr>
          <w:ilvl w:val="0"/>
          <w:numId w:val="2"/>
        </w:numPr>
        <w:spacing w:after="80"/>
      </w:pPr>
      <w:r>
        <w:rPr>
          <w:sz w:val="22"/>
          <w:szCs w:val="22"/>
        </w:rPr>
        <w:t xml:space="preserve">[Sistemas afetados restaurados e monitorizados por X dias sem reincidência]</w:t>
      </w:r>
    </w:p>
    <w:p>
      <w:pPr>
        <w:pStyle w:val="ListParagraph"/>
        <w:numPr>
          <w:ilvl w:val="0"/>
          <w:numId w:val="2"/>
        </w:numPr>
        <w:spacing w:after="80"/>
      </w:pPr>
      <w:r>
        <w:rPr>
          <w:sz w:val="22"/>
          <w:szCs w:val="22"/>
        </w:rPr>
        <w:t xml:space="preserve">[Relatório de fecho aprovado pelo IR Manager]</w:t>
      </w:r>
    </w:p>
    <w:p>
      <w:pPr>
        <w:pStyle w:val="ListParagraph"/>
        <w:numPr>
          <w:ilvl w:val="0"/>
          <w:numId w:val="2"/>
        </w:numPr>
        <w:spacing w:after="80"/>
      </w:pPr>
      <w:r>
        <w:rPr>
          <w:sz w:val="22"/>
          <w:szCs w:val="22"/>
        </w:rPr>
        <w:t xml:space="preserve">[Lições aprendidas documentadas e plano de ação definido]</w:t>
      </w:r>
    </w:p>
    <w:p>
      <w:pPr>
        <w:pStyle w:val="ListParagraph"/>
        <w:numPr>
          <w:ilvl w:val="0"/>
          <w:numId w:val="2"/>
        </w:numPr>
        <w:spacing w:after="80"/>
      </w:pPr>
      <w:r>
        <w:rPr>
          <w:sz w:val="22"/>
          <w:szCs w:val="22"/>
        </w:rPr>
        <w:t xml:space="preserve">[Comunicação de fecho enviada a todos os envolvidos]</w:t>
      </w:r>
    </w:p>
    <w:p>
      <w:pPr>
        <w:pStyle w:val="Heading1"/>
        <w:pBdr>
          <w:bottom w:val="single" w:color="1F3864" w:sz="8" w:space="4"/>
        </w:pBdr>
        <w:spacing w:after="200" w:before="360"/>
      </w:pPr>
      <w:r>
        <w:rPr>
          <w:b/>
          <w:bCs/>
          <w:color w:val="1F3864"/>
          <w:sz w:val="32"/>
          <w:szCs w:val="32"/>
        </w:rPr>
        <w:t xml:space="preserve">11. Template de lições aprendidas</w:t>
      </w:r>
    </w:p>
    <w:p>
      <w:pPr>
        <w:spacing w:after="100"/>
      </w:pPr>
      <w:r>
        <w:rPr>
          <w:i/>
          <w:iCs/>
          <w:color w:val="595959"/>
          <w:sz w:val="20"/>
          <w:szCs w:val="20"/>
        </w:rPr>
        <w:t xml:space="preserve">Preencher após cada incidente real. Alimenta a melhoria contínua do playbook.</w:t>
      </w:r>
    </w:p>
    <w:p>
      <w:pPr>
        <w:pStyle w:val="Heading2"/>
        <w:spacing w:after="140" w:before="280"/>
      </w:pPr>
      <w:r>
        <w:rPr>
          <w:b/>
          <w:bCs/>
          <w:color w:val="1F3864"/>
          <w:sz w:val="26"/>
          <w:szCs w:val="26"/>
        </w:rPr>
        <w:t xml:space="preserve">11.1 Timeline do incidente</w:t>
      </w:r>
    </w:p>
    <w:p>
      <w:pPr>
        <w:pStyle w:val="ListParagraph"/>
        <w:numPr>
          <w:ilvl w:val="0"/>
          <w:numId w:val="2"/>
        </w:numPr>
        <w:spacing w:after="80"/>
      </w:pPr>
      <w:r>
        <w:rPr>
          <w:sz w:val="22"/>
          <w:szCs w:val="22"/>
        </w:rPr>
        <w:t xml:space="preserve">[T-X: Primeiro indício / IoC presente nos sistemas]</w:t>
      </w:r>
    </w:p>
    <w:p>
      <w:pPr>
        <w:pStyle w:val="ListParagraph"/>
        <w:numPr>
          <w:ilvl w:val="0"/>
          <w:numId w:val="2"/>
        </w:numPr>
        <w:spacing w:after="80"/>
      </w:pPr>
      <w:r>
        <w:rPr>
          <w:sz w:val="22"/>
          <w:szCs w:val="22"/>
        </w:rPr>
        <w:t xml:space="preserve">[T+0: Deteção / alerta inicial]</w:t>
      </w:r>
    </w:p>
    <w:p>
      <w:pPr>
        <w:pStyle w:val="ListParagraph"/>
        <w:numPr>
          <w:ilvl w:val="0"/>
          <w:numId w:val="2"/>
        </w:numPr>
        <w:spacing w:after="80"/>
      </w:pPr>
      <w:r>
        <w:rPr>
          <w:sz w:val="22"/>
          <w:szCs w:val="22"/>
        </w:rPr>
        <w:t xml:space="preserve">[T+...: Decisões e ações principais]</w:t>
      </w:r>
    </w:p>
    <w:p>
      <w:pPr>
        <w:pStyle w:val="ListParagraph"/>
        <w:numPr>
          <w:ilvl w:val="0"/>
          <w:numId w:val="2"/>
        </w:numPr>
        <w:spacing w:after="80"/>
      </w:pPr>
      <w:r>
        <w:rPr>
          <w:sz w:val="22"/>
          <w:szCs w:val="22"/>
        </w:rPr>
        <w:t xml:space="preserve">[T+N: Fecho]</w:t>
      </w:r>
    </w:p>
    <w:p>
      <w:pPr>
        <w:pStyle w:val="Heading2"/>
        <w:spacing w:after="140" w:before="280"/>
      </w:pPr>
      <w:r>
        <w:rPr>
          <w:b/>
          <w:bCs/>
          <w:color w:val="1F3864"/>
          <w:sz w:val="26"/>
          <w:szCs w:val="26"/>
        </w:rPr>
        <w:t xml:space="preserve">11.2 O que funcionou bem</w:t>
      </w:r>
    </w:p>
    <w:p>
      <w:pPr>
        <w:pStyle w:val="ListParagraph"/>
        <w:numPr>
          <w:ilvl w:val="0"/>
          <w:numId w:val="2"/>
        </w:numPr>
        <w:spacing w:after="80"/>
      </w:pPr>
      <w:r>
        <w:rPr>
          <w:sz w:val="22"/>
          <w:szCs w:val="22"/>
        </w:rPr>
        <w:t xml:space="preserve">[Identificar 3 pontos positivos concretos]</w:t>
      </w:r>
    </w:p>
    <w:p>
      <w:pPr>
        <w:pStyle w:val="Heading2"/>
        <w:spacing w:after="140" w:before="280"/>
      </w:pPr>
      <w:r>
        <w:rPr>
          <w:b/>
          <w:bCs/>
          <w:color w:val="1F3864"/>
          <w:sz w:val="26"/>
          <w:szCs w:val="26"/>
        </w:rPr>
        <w:t xml:space="preserve">11.3 O que falhou ou demorou demasiado</w:t>
      </w:r>
    </w:p>
    <w:p>
      <w:pPr>
        <w:pStyle w:val="ListParagraph"/>
        <w:numPr>
          <w:ilvl w:val="0"/>
          <w:numId w:val="2"/>
        </w:numPr>
        <w:spacing w:after="80"/>
      </w:pPr>
      <w:r>
        <w:rPr>
          <w:sz w:val="22"/>
          <w:szCs w:val="22"/>
        </w:rPr>
        <w:t xml:space="preserve">[Identificar 3 pontos a melhorar]</w:t>
      </w:r>
    </w:p>
    <w:p>
      <w:pPr>
        <w:pStyle w:val="Heading2"/>
        <w:spacing w:after="140" w:before="280"/>
      </w:pPr>
      <w:r>
        <w:rPr>
          <w:b/>
          <w:bCs/>
          <w:color w:val="1F3864"/>
          <w:sz w:val="26"/>
          <w:szCs w:val="26"/>
        </w:rPr>
        <w:t xml:space="preserve">11.4 Plano de 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72"/>
        <w:gridCol w:w="1404"/>
        <w:gridCol w:w="1404"/>
      </w:tblGrid>
      <w:tr>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Ação</w:t>
            </w:r>
          </w:p>
        </w:tc>
        <w:tc>
          <w:tcPr>
            <w:tcW w:type="dxa" w:w="187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Responsável</w:t>
            </w:r>
          </w:p>
        </w:tc>
        <w:tc>
          <w:tcPr>
            <w:tcW w:type="dxa" w:w="1404"/>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Prazo</w:t>
            </w:r>
          </w:p>
        </w:tc>
        <w:tc>
          <w:tcPr>
            <w:tcW w:type="dxa" w:w="1404"/>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Estado</w:t>
            </w:r>
          </w:p>
        </w:tc>
      </w:tr>
      <w:tr>
        <w:tc>
          <w:tcPr>
            <w:tcW w:type="dxa" w:w="468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[Ação concreta — não vago]</w:t>
            </w:r>
          </w:p>
        </w:tc>
        <w:tc>
          <w:tcPr>
            <w:tcW w:type="dxa" w:w="1872"/>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[Nome]</w:t>
            </w:r>
          </w:p>
        </w:tc>
        <w:tc>
          <w:tcPr>
            <w:tcW w:type="dxa" w:w="1404"/>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[DD/MM]</w:t>
            </w:r>
          </w:p>
        </w:tc>
        <w:tc>
          <w:tcPr>
            <w:tcW w:type="dxa" w:w="1404"/>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color w:val="000000"/>
                <w:sz w:val="20"/>
                <w:szCs w:val="20"/>
              </w:rPr>
              <w:t xml:space="preserve">[Aberto]</w:t>
            </w:r>
          </w:p>
        </w:tc>
      </w:tr>
    </w:tbl>
    <w:p>
      <w:pPr>
        <w:spacing w:after="120"/>
      </w:pPr>
      <w:r>
        <w:t xml:space="preserve"/>
      </w:r>
    </w:p>
    <w:p>
      <w:pPr>
        <w:pStyle w:val="Heading1"/>
        <w:pBdr>
          <w:bottom w:val="single" w:color="1F3864" w:sz="8" w:space="4"/>
        </w:pBdr>
        <w:spacing w:after="200" w:before="360"/>
      </w:pPr>
      <w:r>
        <w:rPr>
          <w:b/>
          <w:bCs/>
          <w:color w:val="1F3864"/>
          <w:sz w:val="32"/>
          <w:szCs w:val="32"/>
        </w:rPr>
        <w:t xml:space="preserve">Nota final — Manutenção do playbook</w:t>
      </w:r>
    </w:p>
    <w:p>
      <w:pPr>
        <w:spacing w:after="100"/>
      </w:pPr>
      <w:r>
        <w:rPr>
          <w:i/>
          <w:iCs/>
          <w:color w:val="595959"/>
          <w:sz w:val="20"/>
          <w:szCs w:val="20"/>
        </w:rPr>
        <w:t xml:space="preserve">Este playbook é um documento vivo. Atualizar sempre que:</w:t>
      </w:r>
    </w:p>
    <w:p>
      <w:pPr>
        <w:pStyle w:val="ListParagraph"/>
        <w:numPr>
          <w:ilvl w:val="0"/>
          <w:numId w:val="2"/>
        </w:numPr>
        <w:spacing w:after="80"/>
      </w:pPr>
      <w:r>
        <w:rPr>
          <w:sz w:val="22"/>
          <w:szCs w:val="22"/>
        </w:rPr>
        <w:t xml:space="preserve">Houver um incidente real deste tipo (incorporar lições aprendidas)</w:t>
      </w:r>
    </w:p>
    <w:p>
      <w:pPr>
        <w:pStyle w:val="ListParagraph"/>
        <w:numPr>
          <w:ilvl w:val="0"/>
          <w:numId w:val="2"/>
        </w:numPr>
        <w:spacing w:after="80"/>
      </w:pPr>
      <w:r>
        <w:rPr>
          <w:sz w:val="22"/>
          <w:szCs w:val="22"/>
        </w:rPr>
        <w:t xml:space="preserve">Houver mudança na infraestrutura ou ferramentas referenciadas</w:t>
      </w:r>
    </w:p>
    <w:p>
      <w:pPr>
        <w:pStyle w:val="ListParagraph"/>
        <w:numPr>
          <w:ilvl w:val="0"/>
          <w:numId w:val="2"/>
        </w:numPr>
        <w:spacing w:after="80"/>
      </w:pPr>
      <w:r>
        <w:rPr>
          <w:sz w:val="22"/>
          <w:szCs w:val="22"/>
        </w:rPr>
        <w:t xml:space="preserve">Houver mudança nos papéis ou contactos da equipa</w:t>
      </w:r>
    </w:p>
    <w:p>
      <w:pPr>
        <w:pStyle w:val="ListParagraph"/>
        <w:numPr>
          <w:ilvl w:val="0"/>
          <w:numId w:val="2"/>
        </w:numPr>
        <w:spacing w:after="80"/>
      </w:pPr>
      <w:r>
        <w:rPr>
          <w:sz w:val="22"/>
          <w:szCs w:val="22"/>
        </w:rPr>
        <w:t xml:space="preserve">Surgirem novas técnicas / TTPs relevantes documentadas pela CTI</w:t>
      </w:r>
    </w:p>
    <w:p>
      <w:pPr>
        <w:pStyle w:val="ListParagraph"/>
        <w:numPr>
          <w:ilvl w:val="0"/>
          <w:numId w:val="2"/>
        </w:numPr>
        <w:spacing w:after="80"/>
      </w:pPr>
      <w:r>
        <w:rPr>
          <w:sz w:val="22"/>
          <w:szCs w:val="22"/>
        </w:rPr>
        <w:t xml:space="preserve">Mínimo: revisão trimestral mesmo sem incidente</w:t>
      </w:r>
    </w:p>
    <w:p>
      <w:pPr>
        <w:spacing w:after="120"/>
      </w:pPr>
      <w:r>
        <w:t xml:space="preserve"/>
      </w:r>
    </w:p>
    <w:p>
      <w:pPr>
        <w:spacing w:before="400"/>
        <w:jc w:val="center"/>
      </w:pPr>
      <w:r>
        <w:rPr>
          <w:i/>
          <w:iCs/>
          <w:color w:val="595959"/>
          <w:sz w:val="20"/>
          <w:szCs w:val="20"/>
        </w:rPr>
        <w:t xml:space="preserve">— Fim do playbook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color w:val="595959"/>
        <w:sz w:val="18"/>
        <w:szCs w:val="18"/>
      </w:rPr>
      <w:t xml:space="preserve">TISI 2025/26 — Template de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de Playbook</dc:title>
  <dc:creator>TISI MCIF 2025/26</dc:creator>
  <cp:lastModifiedBy>Un-named</cp:lastModifiedBy>
  <cp:revision>1</cp:revision>
  <dcterms:created xsi:type="dcterms:W3CDTF">2026-05-22T11:32:24.589Z</dcterms:created>
  <dcterms:modified xsi:type="dcterms:W3CDTF">2026-05-22T11:32:24.589Z</dcterms:modified>
</cp:coreProperties>
</file>

<file path=docProps/custom.xml><?xml version="1.0" encoding="utf-8"?>
<Properties xmlns="http://schemas.openxmlformats.org/officeDocument/2006/custom-properties" xmlns:vt="http://schemas.openxmlformats.org/officeDocument/2006/docPropsVTypes"/>
</file>