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600"/>
        <w:jc w:val="center"/>
      </w:pPr>
      <w:r>
        <w:rPr>
          <w:i/>
          <w:iCs/>
          <w:color w:val="9ca3af"/>
          <w:sz w:val="22"/>
          <w:szCs w:val="22"/>
          <w:rFonts w:ascii="Calibri" w:cs="Calibri" w:eastAsia="Calibri" w:hAnsi="Calibri"/>
        </w:rPr>
        <w:t xml:space="preserve">[Nome da organização]</w:t>
      </w:r>
    </w:p>
    <w:p>
      <w:pPr>
        <w:spacing w:after="300"/>
        <w:jc w:val="center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Notificação inicial ao CNCS</w:t>
      </w:r>
    </w:p>
    <w:p>
      <w:pPr>
        <w:spacing w:after="1200"/>
        <w:jc w:val="center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Formulário de notificação — Art. 42.º n.º 1 do DL 125/2025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Versão: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1.0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Data: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18/03/2026</w:t>
      </w:r>
    </w:p>
    <w:p>
      <w:pPr>
        <w:spacing w:after="40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Classificação: </w:t>
      </w:r>
      <w:r>
        <w:rPr>
          <w:b/>
          <w:bCs/>
          <w:color w:val="dc2626"/>
          <w:sz w:val="22"/>
          <w:szCs w:val="22"/>
          <w:rFonts w:ascii="Calibri" w:cs="Calibri" w:eastAsia="Calibri" w:hAnsi="Calibri"/>
        </w:rPr>
        <w:t xml:space="preserve">Confidencial</w:t>
      </w:r>
    </w:p>
    <w:p>
      <w:pPr>
        <w:spacing w:after="200"/>
        <w:jc w:val="center"/>
      </w:pPr>
      <w:r>
        <w:rPr>
          <w:b/>
          <w:bCs/>
          <w:color w:val="dc2626"/>
          <w:sz w:val="36"/>
          <w:szCs w:val="36"/>
          <w:rFonts w:ascii="Calibri" w:cs="Calibri" w:eastAsia="Calibri" w:hAnsi="Calibri"/>
        </w:rPr>
        <w:t xml:space="preserve">URGENTE</w:t>
      </w:r>
    </w:p>
    <w:p>
      <w:r>
        <w:br w:type="page"/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Controlo de versões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Versão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Autor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Alterações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Aprovado por</w:t>
            </w:r>
          </w:p>
        </w:tc>
      </w:tr>
      <w:tr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1.0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[Autor]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Versão inicial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[Aprovador]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1. Identificação da notificação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Base legal: Art. 42.º n.º 1 do DL 125/2025 — pré-aviso obrigatório ao CNCS no prazo de 24 horas após tomar conhecimento de um incidente significativo.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Número de referência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[INC-AAAA-NNN]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da notificação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[DD/MM/AAAA HH:MM]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Tipo de notificação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Notificação inicial (Art. 42.º n.º 1)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Prazo legal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24 horas após tomar conhecimento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2. Identificação da entidade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Nome da entidade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 da organização]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NIF/NIPC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[Número]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Setor de atividade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[Setor]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Tipo de entidade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[Essencial/Importante]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Ponto de contacto (Art. 32.º)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[Nome]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Telefone de contacto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[+351 XXX XXX XXX]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Email de contacto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[email]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3. Descrição do incidente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de deteção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[DD/MM/AAAA HH:MM]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estimada de início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[DD/MM/AAAA HH:MM]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Tipo/categoria do incidente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[Malware/DDoS/Acesso não autorizado/Fuga de dados/Outro]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Descrição sumária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[Descrever brevemente o incidente, máximo 500 palavras]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4. Avaliação inicial do impacto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6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Sistemas afetados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[Identificar sistemas]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Serviços afetados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[Identificar serviços]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Estimativa de utilizadores afetados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[Número]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Área geográfica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[Local/Regional/Nacional]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Impacto transfronteiriço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[Sim/Não — se sim, indicar países]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Duração estimada do impacto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[Horas/dias]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Severidade estimada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[Baixa/Média/Alta/Crítica]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5. Medidas imediatas adotadas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[Descrever as medidas de contenção e resposta já implementadas]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6. Informação adicional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[Qualquer informação adicional relevante]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7. Declaração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Declaro que as informações acima são verdadeiras e completas, tanto quanto é do meu conhecimento no momento da notificação.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pct" w:w="70%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Preenchimento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Nome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Cargo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Assinatura</w:t>
            </w:r>
          </w:p>
        </w:tc>
        <w:tc>
          <w:tcPr>
            <w:vAlign w:val="center"/>
          </w:tcPr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</w:tbl>
    <w:p>
      <w:pPr>
        <w:spacing w:before="400"/>
      </w:pPr>
      <w:r>
        <w:rPr>
          <w:i/>
          <w:iCs/>
          <w:color w:val="9ca3af"/>
          <w:sz w:val="18"/>
          <w:szCs w:val="18"/>
          <w:rFonts w:ascii="Calibri" w:cs="Calibri" w:eastAsia="Calibri" w:hAnsi="Calibri"/>
        </w:rPr>
        <w:t xml:space="preserve">Esta notificação deve ser submetida ao CNCS em cert@cert.pt dentro de 24 horas após tomar conhecimento do incidente significativo.</w:t>
      </w:r>
    </w:p>
    <w:p>
      <w:pPr>
        <w:pStyle w:val="Heading1"/>
      </w:pPr>
      <w:r>
        <w:rPr>
          <w:b/>
          <w:color w:val="1E3A8A"/>
          <w:sz w:val="28"/>
        </w:rPr>
        <w:t>8. Aprovação do documento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Data e assinatura</w:t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Elaborado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[DPO/CISO]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Revisto por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Aprovado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Conselho de Administração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Comunicado a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Todos os colaboradores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</w:tbl>
    <w:p>
      <w:r>
        <w:rPr>
          <w:i/>
          <w:color w:val="374151"/>
          <w:sz w:val="20"/>
        </w:rPr>
        <w:t>Este documento é controlado pelo sistema de gestão documental da organização. Alterações requerem aprovação formal conforme tabela acima. A próxima revisão deve ocorrer até 17/04/2027.</w:t>
      </w:r>
    </w:p>
    <w:p>
      <w:pPr>
        <w:pStyle w:val="Heading1"/>
      </w:pPr>
      <w:r>
        <w:rPr>
          <w:b/>
          <w:color w:val="1E3A8A"/>
          <w:sz w:val="28"/>
        </w:rPr>
        <w:t>9. Glossário</w:t>
      </w:r>
    </w:p>
    <w:p>
      <w:r>
        <w:rPr>
          <w:color w:val="374151"/>
          <w:sz w:val="22"/>
        </w:rPr>
        <w:t>Para facilitar a leitura, apresentam-se os termos técnicos e legais usados ao longo deste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NIS2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Diretiva (UE) 2022/2555 relativa a medidas destinadas a garantir um elevado nível comum de cibersegurança em toda a União (substitui a NIS de 2016)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 125/2025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Decreto-Lei n.º 125/2025, de 6 de agosto, que transpõe para Portugal a Diretiva NIS2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CNCS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Centro Nacional de Cibersegurança, autoridade competente NIS2 em Portugal (Art. 32.º DL 125/2025)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CERT.PT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Equipa de resposta a incidentes de segurança informática nacional integrada no CNCS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Essencial (Art. 10.º DL 125/2025) — entidade sujeita a maiores obrigações e supervisão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OI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Importante (Art. 11.º DL 125/2025) — regime proporcional com supervisão ex-post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SGSI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Sistema de Gestão de Segurança da Informação (ISO/IEC 27001)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CSIRT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Computer Security Incident Response Team — equipa de resposta a incidentes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SOC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Operations Centre — centro de operações de segurança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SIEM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Information and Event Management — correlação e análise de logs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EDR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Endpoint Detection and Response — deteção e resposta em endpoints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XDR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Extended Detection and Response — deteção estendida (endpoints + rede + cloud)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IAM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Identity and Access Management — gestão de identidades e acessos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PAM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Privileged Access Management — gestão de acessos privilegiados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MFA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Multi-Factor Authentication — autenticação multifator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SSO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Single Sign-On — autenticação única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DLP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Loss Prevention — prevenção de fuga de dados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DPIA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Protection Impact Assessment (RGPD Art. 35.º) — avaliação de impacto sobre proteção de dados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AIPD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Avaliação de Impacto sobre a Proteção de Dados (equivalente PT-PT do DPIA)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RTO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Time Objective — tempo máximo de recuperação aceitável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RPO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Point Objective — perda máxima de dados aceitável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MTTD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Detect — tempo médio de deteção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Respond/Recover — tempo médio de resposta ou recuperação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IoC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Indicator of Compromise — indicador de compromisso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TLPT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Threat-Led Penetration Testing — teste de penetração baseado em ameaças (DORA Art. 26.º)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TTP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Tactics, Techniques and Procedures — táticas, técnicas e procedimentos (MITRE ATT&amp;CK)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Vulnerabilities and Exposures — base de dados pública de vulnerabilidades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CVSS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Vulnerability Scoring System — sistema de pontuação de vulnerabilidades (0-10)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RGPD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Regulamento Geral sobre a Proteção de Dados (UE 2016/679)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DORA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Digital Operational Resilience Act — Regulamento (UE) 2022/2554 para o setor financeiro</w:t>
            </w:r>
          </w:p>
        </w:tc>
      </w:tr>
    </w:tbl>
    <w:p>
      <w:pPr>
        <w:pStyle w:val="Heading1"/>
      </w:pPr>
      <w:r>
        <w:rPr>
          <w:b/>
          <w:color w:val="1E3A8A"/>
          <w:sz w:val="28"/>
        </w:rPr>
        <w:t>10. Referências a outros templates NIS2</w:t>
      </w:r>
    </w:p>
    <w:p>
      <w:r>
        <w:rPr>
          <w:color w:val="374151"/>
          <w:sz w:val="22"/>
        </w:rPr>
        <w:t>Este template integra-se com o seguinte conjunto de políticas e procedimentos NIS2 disponibilizados em nis2-portugal.com/pages/templates.html: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segurança da informação — documento de cúpula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resposta a incidentes — procedimento operacional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Matriz de riscos NIS2 — avaliação de riscos Art. 21.º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continuidade de negócio — BIA + DRP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controlo de acessos — gestão IAM/PAM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Checklist de conformidade Art. 21.º — autoavaliação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Questionário de due diligence de fornecedores — cadeia de abastecimento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Programa de formação e sensibilização — Art. 20.º DL 125/2025</w:t>
      </w:r>
    </w:p>
    <w:p>
      <w:r>
        <w:rPr>
          <w:i/>
          <w:color w:val="374151"/>
          <w:sz w:val="20"/>
        </w:rPr>
        <w:t>Todos os templates referidos estão disponíveis para download gratuito em https://nis2-portugal.com/pages/templates.html. A utilização conjunta garante cobertura completa dos requisitos do Art. 21.º do DL 125/2025.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center"/>
    </w:pPr>
    <w:r>
      <w:rPr>
        <w:color w:val="9ca3af"/>
        <w:sz w:val="18"/>
        <w:szCs w:val="18"/>
        <w:rFonts w:ascii="Calibri" w:cs="Calibri" w:eastAsia="Calibri" w:hAnsi="Calibri"/>
      </w:rPr>
      <w:t xml:space="preserve">Confidencial  |  Página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  <w:rFonts w:ascii="Calibri" w:cs="Calibri" w:eastAsia="Calibri" w:hAnsi="Calibri"/>
      </w:rPr>
      <w:t xml:space="preserve"> de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  <w:jc w:val="right"/>
    </w:pPr>
    <w:r>
      <w:rPr>
        <w:color w:val="9ca3af"/>
        <w:sz w:val="18"/>
        <w:szCs w:val="18"/>
        <w:rFonts w:ascii="Calibri" w:cs="Calibri" w:eastAsia="Calibri" w:hAnsi="Calibri"/>
      </w:rPr>
      <w:t xml:space="preserve">Notificação inicial ao CNCS — Art. 42.º n.º 1 — DL 125/2025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 Portugal — nis2-portugal.com</dc:creator>
  <cp:lastModifiedBy>NIS2 Portugal</cp:lastModifiedBy>
  <cp:revision>1</cp:revision>
  <dcterms:created xsi:type="dcterms:W3CDTF">2026-03-18T13:34:02.229Z</dcterms:created>
  <dcterms:modified xsi:type="dcterms:W3CDTF">2026-03-18T13:34:02.229Z</dcterms:modified>
  <dc:title>Notificacao 24h</dc:title>
  <dc:subject>Template NIS2 — conformidade DL 125/2025</dc:subject>
  <cp:keywords>NIS2, DL 125/2025, cibersegurança, conformidade, Portugal</cp:keywords>
  <cp:category>Template NIS2</cp:category>
  <dc:description>Template profissional gratuito disponibilizado em nis2-portugal.com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