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600"/>
        <w:jc w:val="center"/>
      </w:pPr>
      <w:r>
        <w:rPr>
          <w:i/>
          <w:iCs/>
          <w:color w:val="9ca3af"/>
          <w:sz w:val="22"/>
          <w:szCs w:val="22"/>
          <w:rFonts w:ascii="Calibri" w:cs="Calibri" w:eastAsia="Calibri" w:hAnsi="Calibri"/>
        </w:rPr>
        <w:t xml:space="preserve">[Nome da organização]</w:t>
      </w:r>
    </w:p>
    <w:p>
      <w:pPr>
        <w:spacing w:after="300"/>
        <w:jc w:val="center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Notificação de Incidente a Destinatários de Serviços</w:t>
      </w:r>
    </w:p>
    <w:p>
      <w:pPr>
        <w:spacing w:after="1200"/>
        <w:jc w:val="center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Template de comunicação — Art. 23(1) NIS2 | Art. 33.º DL 125/2025 | RGPD</w:t>
      </w:r>
    </w:p>
    <w:p>
      <w:pPr>
        <w:spacing w:after="160"/>
        <w:jc w:val="center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Versão: </w:t>
      </w:r>
      <w:r>
        <w:rPr>
          <w:color w:val="374151"/>
          <w:sz w:val="22"/>
          <w:szCs w:val="22"/>
          <w:rFonts w:ascii="Calibri" w:cs="Calibri" w:eastAsia="Calibri" w:hAnsi="Calibri"/>
        </w:rPr>
        <w:t xml:space="preserve">1.0</w:t>
      </w:r>
    </w:p>
    <w:p>
      <w:pPr>
        <w:spacing w:after="160"/>
        <w:jc w:val="center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Data: </w:t>
      </w:r>
      <w:r>
        <w:rPr>
          <w:color w:val="374151"/>
          <w:sz w:val="22"/>
          <w:szCs w:val="22"/>
          <w:rFonts w:ascii="Calibri" w:cs="Calibri" w:eastAsia="Calibri" w:hAnsi="Calibri"/>
        </w:rPr>
        <w:t xml:space="preserve">18/03/2026</w:t>
      </w:r>
    </w:p>
    <w:p>
      <w:pPr>
        <w:spacing w:after="400"/>
        <w:jc w:val="center"/>
      </w:pPr>
      <w:r>
        <w:rPr>
          <w:b/>
          <w:bCs/>
          <w:color w:val="374151"/>
          <w:sz w:val="22"/>
          <w:szCs w:val="22"/>
          <w:rFonts w:ascii="Calibri" w:cs="Calibri" w:eastAsia="Calibri" w:hAnsi="Calibri"/>
        </w:rPr>
        <w:t xml:space="preserve">Classificação: </w:t>
      </w:r>
      <w:r>
        <w:rPr>
          <w:b/>
          <w:bCs/>
          <w:color w:val="dc2626"/>
          <w:sz w:val="22"/>
          <w:szCs w:val="22"/>
          <w:rFonts w:ascii="Calibri" w:cs="Calibri" w:eastAsia="Calibri" w:hAnsi="Calibri"/>
        </w:rPr>
        <w:t xml:space="preserve">Confidencial</w:t>
      </w:r>
    </w:p>
    <w:p>
      <w:pPr>
        <w:spacing w:after="120"/>
        <w:jc w:val="center"/>
      </w:pPr>
      <w:r>
        <w:rPr>
          <w:b/>
          <w:bCs/>
          <w:color w:val="dc2626"/>
          <w:sz w:val="22"/>
          <w:szCs w:val="22"/>
          <w:rFonts w:ascii="Calibri" w:cs="Calibri" w:eastAsia="Calibri" w:hAnsi="Calibri"/>
        </w:rPr>
        <w:t xml:space="preserve">TEMPLATE OPERACIONAL — PREENCHER DURANTE RESPOSTA A INCIDENTE</w:t>
      </w:r>
    </w:p>
    <w:p>
      <w:pPr>
        <w:spacing w:after="200"/>
        <w:jc w:val="center"/>
      </w:pPr>
      <w:r>
        <w:rPr>
          <w:i/>
          <w:iCs/>
          <w:color w:val="374151"/>
          <w:sz w:val="22"/>
          <w:szCs w:val="22"/>
          <w:rFonts w:ascii="Calibri" w:cs="Calibri" w:eastAsia="Calibri" w:hAnsi="Calibri"/>
        </w:rPr>
        <w:t xml:space="preserve">Este documento deve ser preenchido pela equipa de resposta a incidentes e aprovado pelo CISO e/ou DPO antes de ser enviado aos destinatários afetados.</w:t>
      </w:r>
    </w:p>
    <w:p>
      <w:r>
        <w:br w:type="page"/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Controlo de versões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Versão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Data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Autor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Alterações</w:t>
            </w:r>
          </w:p>
        </w:tc>
        <w:tc>
          <w:tcPr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Aprovado por</w:t>
            </w:r>
          </w:p>
        </w:tc>
      </w:tr>
      <w:tr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1.0</w:t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[Autor]</w:t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Versão inicial</w:t>
            </w:r>
          </w:p>
        </w:tc>
        <w:tc>
          <w:p>
            <w:r>
              <w:rPr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[Aprovador]</w:t>
            </w:r>
          </w:p>
        </w:tc>
      </w:tr>
    </w:tbl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Nota: Manter registo de todas as versões desta notificação enviadas aos destinatários. Cada atualização deve ser numerada e datada.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Instruções de utilização deste template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O Art. 23(1) da Diretiva NIS2 e o Art. 33.º do DL 125/2025 obrigam as entidades essenciais e importantes a informar, sem demora injustificada, os destinatários dos seus serviços sobre incidentes significativos que possam afetar a prestação desses serviços. Esta obrigação é complementar à notificação às autoridades competentes (CNCS).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Preencher todos os campos assinalados com [ ] substituindo o texto em itálico pelo conteúdo real.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Os campos marcados como OBRIGATÓRIO devem ser preenchidos antes do envio — não enviar a notificação sem estes campos completos.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Obter aprovação do CISO e do DPO antes do envio externo.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Guardar cópia de todas as versões enviadas no dossier do incidente.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Em caso de incidente com impacto em dados pessoais, coordenar com o DPO para garantir conformidade com o RGPD (Art. 34.º do RGPD).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Enviar em linguagem clara e acessível, evitando jargão técnico excessivo.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1. Cabeçalho da notificação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Esta secção identifica a notificação e deve ser preenchida pelo gestor de incidentes. A referência do incidente deve corresponder à referência usada na notificação ao CNCS.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color="1e3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  <w:rFonts w:ascii="Calibri" w:cs="Calibri" w:eastAsia="Calibri" w:hAnsi="Calibri"/>
              </w:rPr>
              <w:t xml:space="preserve">NOTIFICAÇÃO DE INCIDENTE DE CIBERSEGURANÇA</w:t>
            </w:r>
          </w:p>
          <w:p>
            <w:pPr>
              <w:jc w:val="center"/>
            </w:pPr>
            <w:r>
              <w:rPr>
                <w:i/>
                <w:iCs/>
                <w:color w:val="dbeafe"/>
                <w:sz w:val="18"/>
                <w:szCs w:val="18"/>
                <w:rFonts w:ascii="Calibri" w:cs="Calibri" w:eastAsia="Calibri" w:hAnsi="Calibri"/>
              </w:rPr>
              <w:t xml:space="preserve">Comunicação aos destinatários de serviços — Art. 23(1) NIS2 | Art. 33.º DL 125/2025</w:t>
            </w:r>
          </w:p>
        </w:tc>
      </w:tr>
      <w:tr>
        <w:tc>
          <w:tcPr>
            <w:tcW w:type="pct" w:w="2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Referência do incidente</w:t>
            </w:r>
          </w:p>
        </w:tc>
        <w:tc>
          <w:tcPr>
            <w:tcW w:type="pct" w:w="2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[INC-AAAA-NNN]</w:t>
            </w:r>
          </w:p>
        </w:tc>
        <w:tc>
          <w:tcPr>
            <w:tcW w:type="pct" w:w="2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 desta notificação</w:t>
            </w:r>
          </w:p>
        </w:tc>
        <w:tc>
          <w:tcPr>
            <w:tcW w:type="pct" w:w="2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[DD/MM/AAAA]</w:t>
            </w:r>
          </w:p>
        </w:tc>
      </w:tr>
      <w:tr>
        <w:tc>
          <w:tcPr>
            <w:tcW w:type="pct" w:w="2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Classificação do incidente</w:t>
            </w:r>
          </w:p>
        </w:tc>
        <w:tc>
          <w:tcPr>
            <w:tcW w:type="pct" w:w="2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[Alta / Média / Baixa]</w:t>
            </w:r>
          </w:p>
        </w:tc>
        <w:tc>
          <w:tcPr>
            <w:tcW w:type="pct" w:w="2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Versão desta notificação</w:t>
            </w:r>
          </w:p>
        </w:tc>
        <w:tc>
          <w:tcPr>
            <w:tcW w:type="pct" w:w="2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[1.ª notificação / Atualização n.º X]</w:t>
            </w:r>
          </w:p>
        </w:tc>
      </w:tr>
      <w:tr>
        <w:tc>
          <w:tcPr>
            <w:tcW w:type="pct" w:w="2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Entidade notificadora</w:t>
            </w:r>
          </w:p>
        </w:tc>
        <w:tc>
          <w:tcPr>
            <w:tcW w:type="pct" w:w="2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[Nome da organização]</w:t>
            </w:r>
          </w:p>
        </w:tc>
        <w:tc>
          <w:tcPr>
            <w:tcW w:type="pct" w:w="2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Ponto de contacto</w:t>
            </w:r>
          </w:p>
        </w:tc>
        <w:tc>
          <w:tcPr>
            <w:tcW w:type="pct" w:w="2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[Nome e cargo do responsável]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2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Informação complementar do cabeçalho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Canal de envio previsto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[Email / Portal de clientes / Carta registada / SMS / Combinação]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Universo de destinatários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[Todos os clientes / Clientes do serviço X / Utilizadores afetados]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Número estimado de destinatários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[Número]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Data/hora prevista de envio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[DD/MM/AAAA às HH:MM]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Aprovado por (CISO)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[Nome — aguarda aprovação / aprovado em DD/MM/AAAA]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Aprovado por (DPO)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[Nome — aguarda aprovação / aprovado em DD/MM/AAAA]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2. Enquadramento legal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Referências legais: Art. 23(1) Diretiva NIS2 (2022/2555) — Art. 33.º DL 125/2025 — Art. 34.º RGPD (se dados pessoais afetados) — Art. 77.º Lei n.º 58/2019 (RGPD Portugal)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Esta notificação é emitida no cumprimento das seguintes obrigações legais: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Obrigação NIS2</w:t>
            </w:r>
          </w:p>
        </w:tc>
        <w:tc>
          <w:tcPr>
            <w:tcW w:type="pct" w:w="65%"/>
            <w:vAlign w:val="center"/>
          </w:tcPr>
          <w:p>
            <w:r>
              <w:rPr>
                <w:i w:val="false"/>
                <w:i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Art. 23(1) da Diretiva (UE) 2022/2555 — informar destinatários de serviços sobre incidentes significativos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Transposição nacional</w:t>
            </w:r>
          </w:p>
        </w:tc>
        <w:tc>
          <w:tcPr>
            <w:tcW w:type="pct" w:w="65%"/>
            <w:vAlign w:val="center"/>
          </w:tcPr>
          <w:p>
            <w:r>
              <w:rPr>
                <w:i w:val="false"/>
                <w:i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Art. 33.º do Decreto-Lei n.º 125/2025 — comunicação obrigatória aos utilizadores e clientes afetados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Proteção de dados (se aplicável)</w:t>
            </w:r>
          </w:p>
        </w:tc>
        <w:tc>
          <w:tcPr>
            <w:tcW w:type="pct" w:w="65%"/>
            <w:vAlign w:val="center"/>
          </w:tcPr>
          <w:p>
            <w:r>
              <w:rPr>
                <w:i w:val="false"/>
                <w:i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Art. 34.º do RGPD — comunicação aos titulares em caso de violação de dados pessoais com elevado risco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Autoridade competente já notificada?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[Sim — notificação ao CNCS em DD/MM/AAAA, ref. XXX / Não — a notificação está em preparação]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CNPD já notificada (se dados pessoais)?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[Sim — notificação à CNPD em DD/MM/AAAA / Não aplicável / Em avaliação]</w:t>
            </w:r>
          </w:p>
        </w:tc>
      </w:tr>
    </w:tbl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[Nome da organização] está empenhada em cumprir todas as suas obrigações legais e em manter os seus clientes e utilizadores informados sobre os incidentes que possam afetar os seus serviços ou dados.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3. Descrição do incidente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Esta secção descreve o que aconteceu, quando aconteceu e que sistemas ou serviços foram afetados. A linguagem deve ser clara e acessível ao público-alvo da notificação.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2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Dados do incidente — OBRIGATÓRIO preencher antes do envio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 e hora de deteção do incidente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[DD/MM/AAAA às HH:MM — ex: 15/03/2025 às 14:32]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Data e hora de início estimada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[DD/MM/AAAA às HH:MM — se conhecida; caso contrário: "em apuramento"]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Natureza/tipo do incidente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[Ex: acesso não autorizado a sistemas internos / ataque de ransomware / interrupção de serviço / fuga de dados]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Descrição em linguagem acessível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[Descrever o incidente em 2-5 frases, sem jargão técnico, focando no impacto para o utilizador]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Sistemas/serviços afetados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[Ex: portal de cliente, aplicação móvel, serviço de pagamentos, base de dados de utilizadores]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Duração estimada do impacto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[Ex: "entre as 14:32 e as 18:45 de DD/MM/AAAA" / "o serviço foi restabelecido em DD/MM/AAAA às HH:MM"]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O incidente está resolvido?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[Sim — resolvido em DD/MM/AAAA às HH:MM / Não — estimativa de resolução: DD/MM/AAAA]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Texto sugerido para a descrição em linguagem acessível (adaptar conforme o caso):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"Em [data], detetámos [tipo de incidente] que afetou [serviços afetados]. Este incidente ocorreu entre [hora início] e [hora fim]. Tomámos medidas imediatas para [medidas gerais] e o serviço foi [estado atual]."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4. Impacto nos destinatários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Esta secção é particularmente importante quando há dados pessoais afetados, devendo ser coordenada com o DPO. Em caso de violação de dados pessoais com elevado risco para os titulares, a comunicação individual é obrigatória nos termos do Art. 34.º do RGPD.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2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Avaliação do impacto — OBRIGATÓRIO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Dados/serviços afetados dos destinatários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[Ex: dados de conta, histórico de transações, dados de acesso, dados de contacto, conteúdos pessoais]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Categorias de dados pessoais afetados (se aplicável)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[Ex: nome, email, NIF, IBAN, dados de saúde, dados de localização — ou "Não aplicável"]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Número estimado de utilizadores afetados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[Número aproximado ou intervalo — ex: "aproximadamente 1.500 clientes"]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Área geográfica dos afetados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[Ex: clientes em Portugal / clientes em Portugal e Espanha]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O acesso não autorizado aos dados foi confirmado?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[Sim / Não — não foi confirmado acesso não autorizado / Em apuramento]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Risco para os titulares (se dados pessoais)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[Baixo / Médio / Elevado — justificar: ex: "elevado, pois inclui dados financeiros e de acesso"]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Consequências potenciais para os utilizadores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[Ex: possível utilização indevida de credenciais, tentativas de phishing, acesso não autorizado a contas]</w:t>
            </w:r>
          </w:p>
        </w:tc>
      </w:tr>
    </w:tbl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Nota para o redator: Ser específico sobre o que foi ou pode ter sido afetado é fundamental para que os destinatários possam tomar as medidas de proteção adequadas. Evitar generalizações tranquilizadoras que possam ser enganosas.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5. Medidas já tomadas pela organização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Informar os destinatários sobre as ações concretas tomadas pela organização demonstra responsabilidade e contribui para a manutenção da confiança.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2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Medidas de contenção e remediação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Isolamento/contenção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[Ex: os sistemas afetados foram isolados da rede; o acesso externo foi temporariamente suspenso]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Eliminação da ameaça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[Ex: o malware foi removido e os sistemas foram reconstruídos a partir de backups verificados]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Restauro de serviços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[Ex: os serviços foram restaurados a partir de backups de DD/MM/AAAA, sem perda de dados]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Reforço de segurança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[Ex: foram implementadas medidas adicionais de autenticação; as credenciais de serviço foram renovadas]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Investigação forense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[Em curso / Concluída — entidade responsável: [nome]]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Notificação ao CNCS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[Realizada em DD/MM/AAAA / Em preparação]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Notificação à CNPD (se aplicável)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[Realizada em DD/MM/AAAA / Em preparação / Não aplicável]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Texto sugerido para descrever as medidas (adaptar):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"Assim que o incidente foi detetado, a nossa equipa de segurança atuou de imediato para [medida 1], [medida 2] e [medida 3]. Reforçámos as medidas de segurança para prevenir a recorrência deste tipo de incidente e notificámos as autoridades competentes conforme exigido por lei."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6. Recomendações aos destinatários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As recomendações devem ser práticas, específicas e adequadas ao risco real identificado. Evitar recomendações genéricas que não ajudem os utilizadores a protegerem-se efetivamente.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Solicitamos que tome as seguintes ações para proteger a sua conta e dados: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6.1 Ações imediatas recomendadas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2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Recomendações — selecionar as aplicáveis e adaptar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Alterar password de acesso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[RECOMENDADO / OBRIGATÓRIO — aceder a [URL] para alterar a sua password de imediato]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Ativar autenticação de dois fatores (2FA)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[Recomendamos vivamente a ativação de 2FA em [URL de configuração]]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Verificar movimentos/transações recentes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[Verificar se existem transações ou acessos não reconhecidos nos últimos [X] dias]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Estar alerta para tentativas de phishing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[Pode receber emails fraudulentos a tentar tirar partido desta situação — não clique em links suspeitos]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Verificar outras contas com a mesma password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[Se utilizou a mesma password noutros serviços, altere-a também nesses serviços]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Verificar dados de conta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[Aceder ao seu perfil e verificar se os seus dados pessoais estão corretos e não foram alterados]</w:t>
            </w:r>
          </w:p>
        </w:tc>
      </w:tr>
    </w:tbl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6.2 Sinais de alerta a monitorizar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Tentativas de acesso à sua conta que não foram iniciadas por si — verifique o histórico de acessos.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Emails ou chamadas solicitando as suas credenciais ou dados pessoais — a [Nome da organização] nunca solicitará a sua password por email ou telefone.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Transações ou alterações na sua conta que não reconheça — reporte imediatamente.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Emails suspeitos aparentemente enviados pela [Nome da organização] com links ou anexos — verifique sempre o endereço de email do remetente.</w:t>
      </w:r>
    </w:p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7. Informação adicional e canais de apoio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A [Nome da organização] disponibiliza os seguintes recursos para apoiar os destinatários afetados: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2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Recursos de apoio disponíveis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Página de informação sobre o incidente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[URL — ex: www.organizacao.pt/incidente-2025]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Linha de apoio dedicada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[Número de telefone — disponível [horário] — ex: +351 213 XXX XXX, dias úteis 9h-18h]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Email de contacto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[email — ex: seguranca@organizacao.pt]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FAQ publicado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[Sim — disponível em [URL] / Em preparação — disponível brevemente]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Atualizações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[Serão publicadas na página [URL] e comunicadas por [canal] à medida que houver desenvolvimentos]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Próxima atualização prevista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[DD/MM/AAAA ou "quando existirem novos desenvolvimentos relevantes"]</w:t>
            </w:r>
          </w:p>
        </w:tc>
      </w:tr>
    </w:tbl>
    <w:p>
      <w:pPr>
        <w:spacing w:after="160"/>
      </w:pP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7.1 Perguntas frequentes (FAQ)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Os meus dados foram roubados?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[Indicar se foi confirmado acesso não autorizado a dados e qual o âmbito, ou informar que a investigação está em curso]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As minhas credenciais foram comprometidas?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[Indicar se as passwords estão em risco e se deve alterar a sua imediatamente]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O que está a [organização] a fazer?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[Remeter para a secção 5 desta notificação ou resumir as principais medidas]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 minha conta está segura agora?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[Informar sobre o estado atual dos sistemas e as medidas de proteção reforçadas]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Sou responsável por algum custo?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[Indicar claramente se existem custos para o utilizador — normalmente a resposta é "Não"]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O que acontece se não alterar a minha password?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[Explicar o risco e a urgência, sem criar pânico desnecessário]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8. Compromisso da organização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[Nome da organização] lamenta profundamente este incidente e o impacto que possa ter causado aos seus clientes e utilizadores. Assumimos a plena responsabilidade pela proteção dos vossos dados e serviços e comprometemo-nos 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Concluir a investigação forense e partilhar os resultados relevantes dentro de [prazo — ex: 30 dias].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Implementar melhorias adicionais de segurança para prevenir a recorrência de incidentes semelhantes.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Manter comunicação proativa e transparente sobre o estado da situação e dos desenvolvimentos.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Cooperar plenamente com as autoridades competentes (CNCS, CNPD) no âmbito das suas investigações.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Rever os nossos processos e controlos de segurança para identificar e corrigir as causas raiz do incidente.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2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Ações futuras comprometidas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Revisão e reforço dos sistemas de autenticação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[Prazo: DD/MM/AAAA — Responsável: [cargo]]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Auditoria de segurança independente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[Prazo: DD/MM/AAAA — Entidade: [nome da empresa de auditoria]]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Formação adicional das equipas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[Prazo: DD/MM/AAAA]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Relatório final do incidente disponível para consulta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[Prazo: DD/MM/AAAA — Local: [URL ou "mediante pedido"]]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Mecanismo de reclamação/pedido de indemnização (se aplicável)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[URL ou processo — ou "Não aplicável"]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9. Dados de contacto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Para questões relacionadas com a proteção de dados pessoais, o titular tem o direito de contactar diretamente o Encarregado de Proteção de Dados (DPO) nos termos do Art. 38.º do RGPD.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2"/>
            <w:shd w:color="1e3a8a" w:val="solid"/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Contactos oficiais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Encarregado de Proteção de Dados (DPO)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[Nome do DPO]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Email do DPO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[dpo@organizacao.pt]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Equipa de Resposta a Incidentes (CSIRT)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[csirt@organizacao.pt]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Linha de apoio dedicada ao incidente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[+351 213 XXX XXX — horário: dias úteis 9h-20h]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Email de apoio dedicado ao incidente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[incidente2025@organizacao.pt]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Página web com informação atualizada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[https://www.organizacao.pt/incidente-2025]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Portal do cliente (para verificar/alterar dados)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[https://portal.organizacao.pt]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Endereço postal</w:t>
            </w:r>
          </w:p>
        </w:tc>
        <w:tc>
          <w:tcPr>
            <w:tcW w:type="pct" w:w="65%"/>
            <w:vAlign w:val="center"/>
          </w:tcPr>
          <w:p>
            <w:r>
              <w:rPr>
                <w:i/>
                <w:iCs/>
                <w:color w:val="9ca3af"/>
                <w:sz w:val="22"/>
                <w:szCs w:val="22"/>
                <w:rFonts w:ascii="Calibri" w:cs="Calibri" w:eastAsia="Calibri" w:hAnsi="Calibri"/>
              </w:rPr>
              <w:t xml:space="preserve">[Nome da organização, Rua X, n.º Y, XXXX-XXX Cidade, Portugal]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3a8a"/>
          <w:sz w:val="32"/>
          <w:szCs w:val="32"/>
          <w:rFonts w:ascii="Calibri" w:cs="Calibri" w:eastAsia="Calibri" w:hAnsi="Calibri"/>
        </w:rPr>
        <w:t xml:space="preserve">10. Nota legal e direitos dos titulares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Os titulares de dados pessoais dispõem dos direitos previstos nos Arts. 15.º a 22.º do RGPD, exercíveis junto do responsável pelo tratamento ou do respetivo DPO. A autoridade de supervisão competente em Portugal para matérias de proteção de dados é a CNPD.</w:t>
      </w:r>
    </w:p>
    <w:p>
      <w:pPr>
        <w:spacing w:after="16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Esta comunicação é emitida no cumprimento do Art. 23(1) da Diretiva (UE) 2022/2555 (NIS2), do Art. 33.º do Decreto-Lei n.º 125/2025 e, quando aplicável, do Art. 34.º do Regulamento (UE) 2016/679 (RGPD).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10.1 Direitos dos titulares de dados (RGPD)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Direito de acesso (Art. 15.º RGPD) — Pode solicitar uma cópia dos seus dados pessoais tratados pela [Nome da organização].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Direito de retificação (Art. 16.º RGPD) — Pode solicitar a correção de dados pessoais inexatos ou incompletos.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Direito ao apagamento (Art. 17.º RGPD) — Em determinadas circunstâncias, pode solicitar a eliminação dos seus dados.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Direito à limitação do tratamento (Art. 18.º RGPD) — Pode solicitar a limitação do tratamento dos seus dados em certas condições.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Direito de oposição (Art. 21.º RGPD) — Pode opor-se ao tratamento dos seus dados em determinadas circunstâncias.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Direito à portabilidade (Art. 20.º RGPD) — Pode solicitar os seus dados num formato estruturado e legível por máquina.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2"/>
          <w:szCs w:val="22"/>
          <w:rFonts w:ascii="Calibri" w:cs="Calibri" w:eastAsia="Calibri" w:hAnsi="Calibri"/>
        </w:rPr>
        <w:t xml:space="preserve">Direito de apresentar reclamação (Art. 77.º RGPD) — Pode apresentar reclamação à CNPD se considerar que os seus direitos foram violados.</w:t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10.2 Autoridades competentes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CNCS — Centro Nacional de Cibersegurança</w:t>
            </w:r>
          </w:p>
        </w:tc>
        <w:tc>
          <w:tcPr>
            <w:tcW w:type="pct" w:w="65%"/>
            <w:vAlign w:val="center"/>
          </w:tcPr>
          <w:p>
            <w:r>
              <w:rPr>
                <w:i w:val="false"/>
                <w:i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cert@cert.pt | https://www.cncs.gov.pt | 213 303 070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CNPD — Comissão Nacional de Proteção de Dados</w:t>
            </w:r>
          </w:p>
        </w:tc>
        <w:tc>
          <w:tcPr>
            <w:tcW w:type="pct" w:w="65%"/>
            <w:vAlign w:val="center"/>
          </w:tcPr>
          <w:p>
            <w:r>
              <w:rPr>
                <w:i w:val="false"/>
                <w:i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geral@cnpd.pt | https://www.cnpd.pt | 213 928 400</w:t>
            </w:r>
          </w:p>
        </w:tc>
      </w:tr>
      <w:tr>
        <w:tc>
          <w:tcPr>
            <w:tcW w:type="pct" w:w="3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Direção-Geral do Consumidor (queixas de consumidores)</w:t>
            </w:r>
          </w:p>
        </w:tc>
        <w:tc>
          <w:tcPr>
            <w:tcW w:type="pct" w:w="65%"/>
            <w:vAlign w:val="center"/>
          </w:tcPr>
          <w:p>
            <w:r>
              <w:rPr>
                <w:i w:val="false"/>
                <w:i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http://www.consumidor.gov.pt | 217 810 600</w:t>
            </w:r>
          </w:p>
        </w:tc>
      </w:tr>
    </w:tbl>
    <w:p>
      <w:pPr>
        <w:spacing w:after="160"/>
      </w:pPr>
    </w:p>
    <w:p>
      <w:pPr>
        <w:shd w:color="f3f4f6" w:val="solid"/>
        <w:spacing w:before="160" w:after="200"/>
        <w:ind w:left="360" w:right="360"/>
      </w:pPr>
      <w:r>
        <w:rPr>
          <w:i/>
          <w:iCs/>
          <w:color w:val="374151"/>
          <w:sz w:val="22"/>
          <w:szCs w:val="22"/>
          <w:rFonts w:ascii="Calibri" w:cs="Calibri" w:eastAsia="Calibri" w:hAnsi="Calibri"/>
        </w:rPr>
        <w:t xml:space="preserve">A [Nome da organização] trata os seus dados pessoais nos termos da sua Política de Privacidade, disponível em [URL]. Para exercer qualquer dos seus direitos, contacte o nosso DPO em [email do DPO] ou por carta para o endereço postal acima indicado.</w:t>
      </w:r>
    </w:p>
    <w:p>
      <w:r>
        <w:br w:type="page"/>
      </w: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Checklist de aprovação antes do envio</w:t>
      </w:r>
    </w:p>
    <w:p>
      <w:pPr>
        <w:shd w:color="dbeafe" w:val="solid"/>
        <w:spacing w:before="160" w:after="160"/>
        <w:ind w:left="360" w:right="360"/>
      </w:pPr>
      <w:r>
        <w:rPr>
          <w:i/>
          <w:iCs/>
          <w:color w:val="1e3a8a"/>
          <w:sz w:val="22"/>
          <w:szCs w:val="22"/>
          <w:rFonts w:ascii="Calibri" w:cs="Calibri" w:eastAsia="Calibri" w:hAnsi="Calibri"/>
        </w:rPr>
        <w:t xml:space="preserve">Este documento não deve ser enviado sem que todos os campos da checklist abaixo estejam marcados como "Verificado". A responsabilidade de aprovação é do CISO e, quando há dados pessoais afetados, também do DPO.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5%"/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Item de verificação</w:t>
            </w:r>
          </w:p>
        </w:tc>
        <w:tc>
          <w:tcPr>
            <w:tcW w:type="pct" w:w="20%"/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Estado</w:t>
            </w:r>
          </w:p>
        </w:tc>
        <w:tc>
          <w:tcPr>
            <w:tcW w:type="pct" w:w="15%"/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Responsável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Todos os campos obrigatórios preenchidos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 ] Verificado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Gestor de incidente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Linguagem acessível e sem jargão excessivo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 ] Verificado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Gestor de comunicação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Factos verificados e confirmados pela equipa técnica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 ] Verificado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CISO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Informação jurídica validada pela assessoria legal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 ] Verificado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Jurista / DPO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Aprovação do CISO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 ] Aprovado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CISO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Aprovação do DPO (se dados pessoais afetados)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 ] Aprovado / N.A.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DPO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Lista de destinatários confirmada e segmentada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 ] Verificado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Marketing / CRM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Canal de envio configurado e testado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 ] Verificado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TI</w:t>
            </w:r>
          </w:p>
        </w:tc>
      </w:tr>
      <w:tr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Linha de apoio e caixas de email operacionais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 ] Verificado</w:t>
            </w:r>
          </w:p>
        </w:tc>
        <w:tc>
          <w:tcPr>
            <w:shd w:color="f3f4f6" w:val="solid"/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TI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Cópia arquivada no dossier do incidente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[ ] Arquivado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Gestor de incidente</w:t>
            </w:r>
          </w:p>
        </w:tc>
      </w:tr>
    </w:tbl>
    <w:p>
      <w:pPr>
        <w:spacing w:after="240"/>
      </w:pPr>
    </w:p>
    <w:p>
      <w:pPr>
        <w:pStyle w:val="Heading2"/>
        <w:spacing w:before="320" w:after="160"/>
      </w:pPr>
      <w:r>
        <w:rPr>
          <w:b/>
          <w:bCs/>
          <w:color w:val="1e3a8a"/>
          <w:sz w:val="28"/>
          <w:szCs w:val="28"/>
          <w:rFonts w:ascii="Calibri" w:cs="Calibri" w:eastAsia="Calibri" w:hAnsi="Calibri"/>
        </w:rPr>
        <w:t xml:space="preserve">Aprovação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Papel</w:t>
            </w:r>
          </w:p>
        </w:tc>
        <w:tc>
          <w:tcPr>
            <w:tcW w:type="pct" w:w="30%"/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Nome</w:t>
            </w:r>
          </w:p>
        </w:tc>
        <w:tc>
          <w:tcPr>
            <w:tcW w:type="pct" w:w="20%"/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Data</w:t>
            </w:r>
          </w:p>
        </w:tc>
        <w:tc>
          <w:tcPr>
            <w:tcW w:type="pct" w:w="25%"/>
            <w:shd w:color="1e3a8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Fonts w:ascii="Calibri" w:cs="Calibri" w:eastAsia="Calibri" w:hAnsi="Calibri"/>
              </w:rPr>
              <w:t xml:space="preserve">Assinatura</w:t>
            </w:r>
          </w:p>
        </w:tc>
      </w:tr>
      <w:tr>
        <w:tc>
          <w:tcPr>
            <w:tcW w:type="pct" w:w="2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CISO</w:t>
            </w:r>
          </w:p>
        </w:tc>
        <w:tc>
          <w:tcPr>
            <w:tcW w:type="pct" w:w="30%"/>
            <w:vAlign w:val="center"/>
          </w:tcPr>
          <w:p>
            <w:r>
              <w:rPr>
                <w:i w:val="false"/>
                <w:iCs w:val="false"/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tcW w:type="pct" w:w="20%"/>
            <w:vAlign w:val="center"/>
          </w:tcPr>
          <w:p>
            <w:r>
              <w:rPr>
                <w:i w:val="false"/>
                <w:iCs w:val="false"/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tcW w:type="pct" w:w="25%"/>
            <w:vAlign w:val="center"/>
          </w:tcPr>
          <w:p>
            <w:r>
              <w:rPr>
                <w:i w:val="false"/>
                <w:iCs w:val="false"/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tcW w:type="pct" w:w="2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DPO</w:t>
            </w:r>
          </w:p>
        </w:tc>
        <w:tc>
          <w:tcPr>
            <w:tcW w:type="pct" w:w="30%"/>
            <w:vAlign w:val="center"/>
          </w:tcPr>
          <w:p>
            <w:r>
              <w:rPr>
                <w:i w:val="false"/>
                <w:iCs w:val="false"/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tcW w:type="pct" w:w="20%"/>
            <w:vAlign w:val="center"/>
          </w:tcPr>
          <w:p>
            <w:r>
              <w:rPr>
                <w:i w:val="false"/>
                <w:iCs w:val="false"/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tcW w:type="pct" w:w="25%"/>
            <w:vAlign w:val="center"/>
          </w:tcPr>
          <w:p>
            <w:r>
              <w:rPr>
                <w:i w:val="false"/>
                <w:iCs w:val="false"/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  <w:tr>
        <w:tc>
          <w:tcPr>
            <w:tcW w:type="pct" w:w="25%"/>
            <w:shd w:color="f3f4f6" w:val="solid"/>
            <w:vAlign w:val="center"/>
          </w:tcPr>
          <w:p>
            <w:r>
              <w:rPr>
                <w:b/>
                <w:bCs/>
                <w:color w:val="374151"/>
                <w:sz w:val="22"/>
                <w:szCs w:val="22"/>
                <w:rFonts w:ascii="Calibri" w:cs="Calibri" w:eastAsia="Calibri" w:hAnsi="Calibri"/>
              </w:rPr>
              <w:t xml:space="preserve">Responsável de Comunicação</w:t>
            </w:r>
          </w:p>
        </w:tc>
        <w:tc>
          <w:tcPr>
            <w:tcW w:type="pct" w:w="30%"/>
            <w:vAlign w:val="center"/>
          </w:tcPr>
          <w:p>
            <w:r>
              <w:rPr>
                <w:i w:val="false"/>
                <w:iCs w:val="false"/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tcW w:type="pct" w:w="20%"/>
            <w:vAlign w:val="center"/>
          </w:tcPr>
          <w:p>
            <w:r>
              <w:rPr>
                <w:i w:val="false"/>
                <w:iCs w:val="false"/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  <w:tc>
          <w:tcPr>
            <w:tcW w:type="pct" w:w="25%"/>
            <w:vAlign w:val="center"/>
          </w:tcPr>
          <w:p>
            <w:r>
              <w:rPr>
                <w:i w:val="false"/>
                <w:iCs w:val="false"/>
                <w:color w:val="374151"/>
                <w:sz w:val="22"/>
                <w:szCs w:val="22"/>
                <w:rFonts w:ascii="Calibri" w:cs="Calibri" w:eastAsia="Calibri" w:hAnsi="Calibri"/>
              </w:rPr>
            </w:r>
          </w:p>
        </w:tc>
      </w:tr>
    </w:tbl>
    <w:p>
      <w:pPr>
        <w:spacing w:after="160"/>
      </w:pPr>
    </w:p>
    <w:p>
      <w:pPr>
        <w:spacing w:before="240"/>
      </w:pPr>
      <w:r>
        <w:rPr>
          <w:i/>
          <w:iCs/>
          <w:color w:val="9ca3af"/>
          <w:sz w:val="18"/>
          <w:szCs w:val="18"/>
          <w:rFonts w:ascii="Calibri" w:cs="Calibri" w:eastAsia="Calibri" w:hAnsi="Calibri"/>
        </w:rPr>
        <w:t xml:space="preserve">Este documento é de uso interno. Não distribuir para fora da organização sem aprovação do CISO e do DPO. Após envio aos destinatários, arquivar no sistema de gestão de incidentes com a referência [INC-AAAA-NNN].</w:t>
      </w:r>
    </w:p>
    <w:p>
      <w:pPr>
        <w:pStyle w:val="Heading1"/>
      </w:pPr>
      <w:r>
        <w:rPr>
          <w:b/>
          <w:color w:val="1E3A8A"/>
          <w:sz w:val="28"/>
        </w:rPr>
        <w:t>11. Aprovação do documento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Cargo</w:t>
            </w:r>
          </w:p>
        </w:tc>
        <w:tc>
          <w:tcPr>
            <w:tcW w:type="dxa" w:w="2256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Data e assinatura</w:t>
            </w:r>
          </w:p>
        </w:tc>
      </w:tr>
      <w:tr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Elaborado por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[DPO/CISO]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Revisto por</w:t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  <w:tr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Aprovado por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Conselho de Administração</w:t>
            </w:r>
          </w:p>
        </w:tc>
        <w:tc>
          <w:tcPr>
            <w:tcW w:type="dxa" w:w="2256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Comunicado a</w:t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Todos os colaboradores</w:t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  <w:tc>
          <w:tcPr>
            <w:tcW w:type="dxa" w:w="2256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</w:r>
          </w:p>
        </w:tc>
      </w:tr>
    </w:tbl>
    <w:p>
      <w:r>
        <w:rPr>
          <w:i/>
          <w:color w:val="374151"/>
          <w:sz w:val="20"/>
        </w:rPr>
        <w:t>Este documento é controlado pelo sistema de gestão documental da organização. Alterações requerem aprovação formal conforme tabela acima. A próxima revisão deve ocorrer até 17/04/2027.</w:t>
      </w:r>
    </w:p>
    <w:p>
      <w:pPr>
        <w:pStyle w:val="Heading1"/>
      </w:pPr>
      <w:r>
        <w:rPr>
          <w:b/>
          <w:color w:val="1E3A8A"/>
          <w:sz w:val="28"/>
        </w:rPr>
        <w:t>12. Glossário</w:t>
      </w:r>
    </w:p>
    <w:p>
      <w:r>
        <w:rPr>
          <w:color w:val="374151"/>
          <w:sz w:val="22"/>
        </w:rPr>
        <w:t>Para facilitar a leitura, apresentam-se os termos técnicos e legais usados ao longo deste documento.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4513"/>
            <w:shd w:val="clear" w:color="auto" w:fill="1E3A8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NIS2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Diretiva (UE) 2022/2555 relativa a medidas destinadas a garantir um elevado nível comum de cibersegurança em toda a União (substitui a NIS de 2016)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DL 125/2025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Decreto-Lei n.º 125/2025, de 6 de agosto, que transpõe para Portugal a Diretiva NIS2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CNCS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Centro Nacional de Cibersegurança, autoridade competente NIS2 em Portugal (Art. 32.º DL 125/2025)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CERT.PT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Equipa de resposta a incidentes de segurança informática nacional integrada no CNCS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OE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Entidade Essencial (Art. 10.º DL 125/2025) — entidade sujeita a maiores obrigações e supervisão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OI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Entidade Importante (Art. 11.º DL 125/2025) — regime proporcional com supervisão ex-post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SGSI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Sistema de Gestão de Segurança da Informação (ISO/IEC 27001)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CSIRT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Computer Security Incident Response Team — equipa de resposta a incidentes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SOC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Security Operations Centre — centro de operações de segurança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SIEM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Security Information and Event Management — correlação e análise de logs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EDR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Endpoint Detection and Response — deteção e resposta em endpoints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XDR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Extended Detection and Response — deteção estendida (endpoints + rede + cloud)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IAM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Identity and Access Management — gestão de identidades e acessos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PAM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Privileged Access Management — gestão de acessos privilegiados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MFA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Multi-Factor Authentication — autenticação multifator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SSO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Single Sign-On — autenticação única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DLP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Data Loss Prevention — prevenção de fuga de dados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DPIA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Data Protection Impact Assessment (RGPD Art. 35.º) — avaliação de impacto sobre proteção de dados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AIPD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Avaliação de Impacto sobre a Proteção de Dados (equivalente PT-PT do DPIA)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RTO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Recovery Time Objective — tempo máximo de recuperação aceitável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RPO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Recovery Point Objective — perda máxima de dados aceitável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MTTD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Mean Time To Detect — tempo médio de deteção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MTTR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Mean Time To Respond/Recover — tempo médio de resposta ou recuperação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IoC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Indicator of Compromise — indicador de compromisso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TLPT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Threat-Led Penetration Testing — teste de penetração baseado em ameaças (DORA Art. 26.º)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TTP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Tactics, Techniques and Procedures — táticas, técnicas e procedimentos (MITRE ATT&amp;CK)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CVE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Common Vulnerabilities and Exposures — base de dados pública de vulnerabilidades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CVSS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Common Vulnerability Scoring System — sistema de pontuação de vulnerabilidades (0-10)</w:t>
            </w:r>
          </w:p>
        </w:tc>
      </w:tr>
      <w:tr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RGPD</w:t>
            </w:r>
          </w:p>
        </w:tc>
        <w:tc>
          <w:tcPr>
            <w:tcW w:type="dxa" w:w="4513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Regulamento Geral sobre a Proteção de Dados (UE 2016/679)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374151"/>
                <w:sz w:val="20"/>
              </w:rPr>
              <w:t>DORA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 w:val="0"/>
                <w:color w:val="374151"/>
                <w:sz w:val="20"/>
              </w:rPr>
              <w:t>Digital Operational Resilience Act — Regulamento (UE) 2022/2554 para o setor financeiro</w:t>
            </w:r>
          </w:p>
        </w:tc>
      </w:tr>
    </w:tbl>
    <w:p>
      <w:pPr>
        <w:pStyle w:val="Heading1"/>
      </w:pPr>
      <w:r>
        <w:rPr>
          <w:b/>
          <w:color w:val="1E3A8A"/>
          <w:sz w:val="28"/>
        </w:rPr>
        <w:t>13. Referências a outros templates NIS2</w:t>
      </w:r>
    </w:p>
    <w:p>
      <w:r>
        <w:rPr>
          <w:color w:val="374151"/>
          <w:sz w:val="22"/>
        </w:rPr>
        <w:t>Este template integra-se com o seguinte conjunto de políticas e procedimentos NIS2 disponibilizados em nis2-portugal.com/pages/templates.html: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Política de segurança da informação — documento de cúpula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Plano de resposta a incidentes — procedimento operacional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Matriz de riscos NIS2 — avaliação de riscos Art. 21.º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Plano de continuidade de negócio — BIA + DRP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Política de controlo de acessos — gestão IAM/PAM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Checklist de conformidade Art. 21.º — autoavaliação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Questionário de due diligence de fornecedores — cadeia de abastecimento</w:t>
      </w:r>
    </w:p>
    <w:p>
      <w:r>
        <w:rPr>
          <w:color w:val="374151"/>
          <w:sz w:val="22"/>
        </w:rPr>
        <w:t xml:space="preserve">• </w:t>
      </w:r>
      <w:r>
        <w:rPr>
          <w:color w:val="374151"/>
          <w:sz w:val="22"/>
        </w:rPr>
        <w:t>Programa de formação e sensibilização — Art. 20.º DL 125/2025</w:t>
      </w:r>
    </w:p>
    <w:p>
      <w:r>
        <w:rPr>
          <w:i/>
          <w:color w:val="374151"/>
          <w:sz w:val="20"/>
        </w:rPr>
        <w:t>Todos os templates referidos estão disponíveis para download gratuito em https://nis2-portugal.com/pages/templates.html. A utilização conjunta garante cobertura completa dos requisitos do Art. 21.º do DL 125/2025.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6" w:space="1"/>
      </w:pBdr>
      <w:jc w:val="center"/>
    </w:pPr>
    <w:r>
      <w:rPr>
        <w:color w:val="9ca3af"/>
        <w:sz w:val="18"/>
        <w:szCs w:val="18"/>
        <w:rFonts w:ascii="Calibri" w:cs="Calibri" w:eastAsia="Calibri" w:hAnsi="Calibri"/>
      </w:rPr>
      <w:t xml:space="preserve">Confidencial  |  Página </w:t>
    </w:r>
    <w:r>
      <w:rPr>
        <w:color w:val="9ca3af"/>
        <w:sz w:val="18"/>
        <w:szCs w:val="18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  <w:rFonts w:ascii="Calibri" w:cs="Calibri" w:eastAsia="Calibri" w:hAnsi="Calibri"/>
      </w:rPr>
      <w:t xml:space="preserve"> de </w:t>
    </w:r>
    <w:r>
      <w:rPr>
        <w:color w:val="9ca3af"/>
        <w:sz w:val="18"/>
        <w:szCs w:val="18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1"/>
      </w:pBdr>
      <w:jc w:val="right"/>
    </w:pPr>
    <w:r>
      <w:rPr>
        <w:color w:val="9ca3af"/>
        <w:sz w:val="18"/>
        <w:szCs w:val="18"/>
        <w:rFonts w:ascii="Calibri" w:cs="Calibri" w:eastAsia="Calibri" w:hAnsi="Calibri"/>
      </w:rPr>
      <w:t xml:space="preserve">Notificação de Incidente a Destinatários — Art. 23(1) NIS2 | Art. 33.º DL 125/2025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NIS2 Portugal — nis2-portugal.com</dc:creator>
  <cp:lastModifiedBy>NIS2 Portugal</cp:lastModifiedBy>
  <cp:revision>1</cp:revision>
  <dcterms:created xsi:type="dcterms:W3CDTF">2026-03-18T13:34:03.963Z</dcterms:created>
  <dcterms:modified xsi:type="dcterms:W3CDTF">2026-03-18T13:34:03.963Z</dcterms:modified>
  <dc:title>Notificacao incidente destinatarios</dc:title>
  <dc:subject>Template NIS2 — conformidade DL 125/2025</dc:subject>
  <cp:keywords>NIS2, DL 125/2025, cibersegurança, conformidade, Portugal</cp:keywords>
  <cp:category>Template NIS2</cp:category>
  <dc:description>Template profissional gratuito disponibilizado em nis2-portugal.com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