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600"/>
        <w:jc w:val="center"/>
      </w:pPr>
      <w:r>
        <w:rPr>
          <w:i/>
          <w:iCs/>
          <w:color w:val="9ca3af"/>
          <w:sz w:val="22"/>
          <w:szCs w:val="22"/>
          <w:rFonts w:ascii="Calibri" w:cs="Calibri" w:eastAsia="Calibri" w:hAnsi="Calibri"/>
        </w:rPr>
        <w:t xml:space="preserve">[Nome da organização]</w:t>
      </w:r>
    </w:p>
    <w:p>
      <w:pPr>
        <w:spacing w:after="300"/>
        <w:jc w:val="center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Plano de resposta a incidentes de cibersegurança</w:t>
      </w:r>
    </w:p>
    <w:p>
      <w:pPr>
        <w:spacing w:after="1200"/>
        <w:jc w:val="center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Conformidade com o Decreto-Lei n.º 125/2025 (NIS2)</w:t>
      </w:r>
    </w:p>
    <w:p>
      <w:pPr>
        <w:spacing w:after="160"/>
        <w:jc w:val="center"/>
      </w:pPr>
      <w:r>
        <w:rPr>
          <w:b/>
          <w:bCs/>
          <w:color w:val="374151"/>
          <w:sz w:val="22"/>
          <w:szCs w:val="22"/>
          <w:rFonts w:ascii="Calibri" w:cs="Calibri" w:eastAsia="Calibri" w:hAnsi="Calibri"/>
        </w:rPr>
        <w:t xml:space="preserve">Versão: </w:t>
      </w:r>
      <w:r>
        <w:rPr>
          <w:color w:val="374151"/>
          <w:sz w:val="22"/>
          <w:szCs w:val="22"/>
          <w:rFonts w:ascii="Calibri" w:cs="Calibri" w:eastAsia="Calibri" w:hAnsi="Calibri"/>
        </w:rPr>
        <w:t xml:space="preserve">1.0</w:t>
      </w:r>
    </w:p>
    <w:p>
      <w:pPr>
        <w:spacing w:after="160"/>
        <w:jc w:val="center"/>
      </w:pPr>
      <w:r>
        <w:rPr>
          <w:b/>
          <w:bCs/>
          <w:color w:val="374151"/>
          <w:sz w:val="22"/>
          <w:szCs w:val="22"/>
          <w:rFonts w:ascii="Calibri" w:cs="Calibri" w:eastAsia="Calibri" w:hAnsi="Calibri"/>
        </w:rPr>
        <w:t xml:space="preserve">Data: </w:t>
      </w:r>
      <w:r>
        <w:rPr>
          <w:color w:val="374151"/>
          <w:sz w:val="22"/>
          <w:szCs w:val="22"/>
          <w:rFonts w:ascii="Calibri" w:cs="Calibri" w:eastAsia="Calibri" w:hAnsi="Calibri"/>
        </w:rPr>
        <w:t xml:space="preserve">18/03/2026</w:t>
      </w:r>
    </w:p>
    <w:p>
      <w:pPr>
        <w:spacing w:after="400"/>
        <w:jc w:val="center"/>
      </w:pPr>
      <w:r>
        <w:rPr>
          <w:b/>
          <w:bCs/>
          <w:color w:val="374151"/>
          <w:sz w:val="22"/>
          <w:szCs w:val="22"/>
          <w:rFonts w:ascii="Calibri" w:cs="Calibri" w:eastAsia="Calibri" w:hAnsi="Calibri"/>
        </w:rPr>
        <w:t xml:space="preserve">Classificação: </w:t>
      </w:r>
      <w:r>
        <w:rPr>
          <w:b/>
          <w:bCs/>
          <w:color w:val="dc2626"/>
          <w:sz w:val="22"/>
          <w:szCs w:val="22"/>
          <w:rFonts w:ascii="Calibri" w:cs="Calibri" w:eastAsia="Calibri" w:hAnsi="Calibri"/>
        </w:rPr>
        <w:t xml:space="preserve">Confidencial</w:t>
      </w:r>
    </w:p>
    <w:p>
      <w:r>
        <w:br w:type="page"/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Controlo de versões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Versão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Data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Autor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Alterações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Aprovado por</w:t>
            </w:r>
          </w:p>
        </w:tc>
      </w:tr>
      <w:tr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1.0</w:t>
            </w:r>
          </w:p>
        </w:tc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[Autor]</w:t>
            </w:r>
          </w:p>
        </w:tc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Versão inicial</w:t>
            </w:r>
          </w:p>
        </w:tc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[Aprovador]</w:t>
            </w:r>
          </w:p>
        </w:tc>
      </w:tr>
    </w:tbl>
    <w:p>
      <w:r>
        <w:br w:type="page"/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1. Objetivo e âmbito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O presente plano de resposta a incidentes de cibersegurança estabelece os procedimentos, responsabilidades e prazos para a deteção, resposta, contenção e recuperação face a incidentes de cibersegurança que afetem os sistemas de informação, redes e serviços de [Nome da organização].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O objetivo primordial é minimizar o impacto dos incidentes nos serviços prestados, nos dados tratados e na reputação da organização, garantindo ao mesmo tempo o cumprimento das obrigações legais de notificação estabelecidas no Decreto-Lei n.º 125/2025.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O âmbito deste plano abrange todos os sistemas de informação, redes e serviços da organização, independentemente da sua localização física ou lógica, incluindo ambientes de nuvem, sistemas locais e ambientes híbridos. Aplica-se a todos os colaboradores, prestadores de serviços e terceiros com acesso aos sistemas da organização.</w:t>
      </w:r>
    </w:p>
    <w:p>
      <w:pPr>
        <w:shd w:color="dbeafe" w:val="solid"/>
        <w:spacing w:before="160" w:after="160"/>
        <w:ind w:left="360" w:right="360"/>
      </w:pPr>
      <w:r>
        <w:rPr>
          <w:i/>
          <w:iCs/>
          <w:color w:val="1e3a8a"/>
          <w:sz w:val="22"/>
          <w:szCs w:val="22"/>
          <w:rFonts w:ascii="Calibri" w:cs="Calibri" w:eastAsia="Calibri" w:hAnsi="Calibri"/>
        </w:rPr>
        <w:t xml:space="preserve">Referência legal: Art. 27.º alínea a) do DL 125/2025 — obrigação de implementar medidas de tratamento de incidentes como parte das medidas mínimas de gestão dos riscos de cibersegurança. A norma ISO/IEC 27035 constitui referência técnica complementar para a implementação deste plano.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2. Enquadramento legal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Este plano enquadra-se nas seguintes disposições do Decreto-Lei n.º 125/2025, que transpõe a Diretiva (UE) 2022/2555 (NIS2) para o ordenamento jurídico português: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Art. 40.º a 44.º do DL 125/2025 — obrigações de notificação de incidentes significativos ao Centro Nacional de Cibersegurança (CNCS).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Art. 40.º n.º 1 — definição de incidente significativo: incidente com impacto considerável na prestação dos serviços, designadamente quando causa perturbação operacional grave, prejuízos financeiros significativos, afeta outras entidades ou causa danos materiais ou morais consideráveis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Art. 42.º — notificação inicial ao CNCS no prazo de 24 horas após o conhecimento do incidente significativo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Art. 42.º n.º 3 — atualização da notificação no prazo de 72 horas após o conhecimento do incidente, com avaliação preliminar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Art. 43.º — notificação de fim de impacto no prazo de 24 horas após a resolução do incidente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Art. 44.º — relatório final no prazo de 30 dias úteis após a notificação de fim de impacto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Art. 47.º — possibilidade de notificações voluntárias ao CNCS para incidentes não significativos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Art. 48.º — obrigações de divulgação pública quando necessário para prevenir ou responder a um incidente em curso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Art. 23.º — dever de cooperação com as autoridades judiciais (Polícia Judiciária e Ministério Público) em caso de incidentes com natureza criminal</w:t>
      </w:r>
    </w:p>
    <w:p>
      <w:pPr>
        <w:shd w:color="dbeafe" w:val="solid"/>
        <w:spacing w:before="160" w:after="160"/>
        <w:ind w:left="360" w:right="360"/>
      </w:pPr>
      <w:r>
        <w:rPr>
          <w:i/>
          <w:iCs/>
          <w:color w:val="1e3a8a"/>
          <w:sz w:val="22"/>
          <w:szCs w:val="22"/>
          <w:rFonts w:ascii="Calibri" w:cs="Calibri" w:eastAsia="Calibri" w:hAnsi="Calibri"/>
        </w:rPr>
        <w:t xml:space="preserve">O DL 125/2025 entrou em vigor em abril de 2026. As coimas previstas nos Art. 52.º a 55.º aplicam-se após abril de 2027 (período de dispensa de um ano). A não notificação de incidentes significativos constitui infração punível.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3. Classificação de incidentes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classificação dos incidentes de cibersegurança segue uma escala de quatro níveis de severidade, alinhada com a taxonomia do Centro Nacional de Cibersegurança (CNCS) e com os critérios de incidente significativo definidos no Art. 40.º do DL 125/2025. A classificação determina os procedimentos de resposta aplicáveis, os recursos a mobilizar e as obrigações de notificação.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Nível</w:t>
            </w:r>
          </w:p>
        </w:tc>
        <w:tc>
          <w:tcPr>
            <w:shd w:color="1e3a8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Designação</w:t>
            </w:r>
          </w:p>
        </w:tc>
        <w:tc>
          <w:tcPr>
            <w:shd w:color="1e3a8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Descrição</w:t>
            </w:r>
          </w:p>
        </w:tc>
        <w:tc>
          <w:tcPr>
            <w:shd w:color="1e3a8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Exemplos</w:t>
            </w:r>
          </w:p>
        </w:tc>
        <w:tc>
          <w:tcPr>
            <w:shd w:color="1e3a8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Tempo de resposta</w:t>
            </w:r>
          </w:p>
        </w:tc>
      </w:tr>
      <w:tr>
        <w:tc>
          <w:tcPr>
            <w:shd w:color="16a34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color="16a34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Baixa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Impacto mínimo, sem interrupção de serviço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Tentativa de phishing isolada, malware detetado e contido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48 horas</w:t>
            </w:r>
          </w:p>
        </w:tc>
      </w:tr>
      <w:tr>
        <w:tc>
          <w:tcPr>
            <w:shd w:color="eab308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color="eab308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Média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Degradação de serviço, impacto limitado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Infeção por malware contida, acesso não autorizado sem exfiltração de dados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24 horas</w:t>
            </w:r>
          </w:p>
        </w:tc>
      </w:tr>
      <w:tr>
        <w:tc>
          <w:tcPr>
            <w:shd w:color="f97316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3</w:t>
            </w:r>
          </w:p>
        </w:tc>
        <w:tc>
          <w:tcPr>
            <w:shd w:color="f97316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Alta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Interrupção parcial, impacto significativo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Ransomware parcial, fuga de dados limitada, ataque DDoS prolongado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4 horas</w:t>
            </w:r>
          </w:p>
        </w:tc>
      </w:tr>
      <w:tr>
        <w:tc>
          <w:tcPr>
            <w:shd w:color="dc2626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color="dc2626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Crítica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Interrupção total do serviço essencial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Ransomware generalizado, fuga de dados massiva, comprometimento total de infraestrutura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Imediato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Os incidentes de níveis 3 (Alta) e 4 (Crítica) devem ser avaliados para determinar se configuram um incidente significativo nos termos do Art. 40.º do DL 125/2025, desencadeando as obrigações de notificação ao CNCS.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3.1. Taxonomia de tipos de incidente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Os incidentes são igualmente classificados por tipo, de acordo com a taxonomia alinhada com o CNCS e com as orientações da ENISA: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Malware / Ransomware — software malicioso que compromete ou cifra dados e sistemas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Negação de serviço (DDoS) — ataques que visam tornar serviços indisponíveis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Acesso não autorizado — intrusão em sistemas sem autorização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Fuga / exposição de dados — exfiltração ou exposição não autorizada de informação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Phishing / engenharia social — manipulação de utilizadores para obtenção de credenciais ou dados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Ameaça interna — incidente originado por colaborador ou prestador de serviços com acesso legítimo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Exploração de vulnerabilidade — utilização de falhas de segurança em sistemas ou aplicações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Comprometimento da cadeia de abastecimento — ataque através de fornecedores ou componentes de terceiros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Falha de sistema / infraestrutura — indisponibilidade de sistemas críticos com causa técnica não maliciosa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4. Estrutura de resposta a incidentes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resposta a incidentes de cibersegurança é coordenada por uma equipa multidisciplinar, com papéis e responsabilidades claramente definidos. A composição efetiva da equipa é ativada em função da severidade e do tipo de incidente.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4.1. Composição da equipa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Coordenador de incidentes — CISO ou substituto designado; responsável pela coordenação global da resposta e pela comunicação com a gestão de topo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Equipa técnica de resposta — profissionais de TI e cibersegurança responsáveis pela análise técnica, contenção, erradicação e recuperação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Ponto de contacto CNCS (Art. 32.º) — responsável pela comunicação formal com o Centro Nacional de Cibersegurança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Encarregado de proteção de dados (DPO) — envolvido quando o incidente envolve dados pessoais; coordena notificações ao abrigo do RGPD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Jurídico — suporte em matéria de obrigações legais, preservação de evidências e eventuais participações criminais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Comunicação / Relações públicas — gestão da comunicação externa e interna, incluindo divulgação pública nos termos do Art. 48.º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Gestão de topo — destinatário de escaladas; aprova decisões de impacto estratégico ou financeiro relevante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4.2. Contactos da equipa de resposta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tabela seguinte deve ser preenchida com os contactos atualizados dos elementos da equipa de resposta a incidentes. Esta informação deve ser mantida atualizada e acessível fora dos sistemas afetados (cópia impressa em local seguro).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Função</w:t>
            </w:r>
          </w:p>
        </w:tc>
        <w:tc>
          <w:tcPr>
            <w:shd w:color="1e3a8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Nome</w:t>
            </w:r>
          </w:p>
        </w:tc>
        <w:tc>
          <w:tcPr>
            <w:shd w:color="1e3a8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Contacto</w:t>
            </w:r>
          </w:p>
        </w:tc>
        <w:tc>
          <w:tcPr>
            <w:shd w:color="1e3a8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Disponibilidade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Coordenador de incidentes (CISO)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[Nome]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[Telefone / e-mail]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24/7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Equipa técnica de resposta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[Nome]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[Telefone / e-mail]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Horário laboral + escalada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Ponto de contacto CNCS (Art. 32.º)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[Nome]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[Telefone / e-mail]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24/7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Encarregado de proteção de dados (DPO)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[Nome]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[Telefone / e-mail]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Horário laboral + escalada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Jurídico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[Nome / Gabinete]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[Telefone / e-mail]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Escalada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Comunicação / Relações públicas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[Nome]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[Telefone / e-mail]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Escalada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Gestão de topo (escalada)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[Nome]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[Telefone / e-mail]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24/7</w:t>
            </w:r>
          </w:p>
        </w:tc>
      </w:tr>
    </w:tbl>
    <w:p>
      <w:pPr>
        <w:spacing w:after="160"/>
      </w:pPr>
    </w:p>
    <w:p>
      <w:pPr>
        <w:shd w:color="dbeafe" w:val="solid"/>
        <w:spacing w:before="160" w:after="160"/>
        <w:ind w:left="360" w:right="360"/>
      </w:pPr>
      <w:r>
        <w:rPr>
          <w:i/>
          <w:iCs/>
          <w:color w:val="1e3a8a"/>
          <w:sz w:val="22"/>
          <w:szCs w:val="22"/>
          <w:rFonts w:ascii="Calibri" w:cs="Calibri" w:eastAsia="Calibri" w:hAnsi="Calibri"/>
        </w:rPr>
        <w:t xml:space="preserve">Art. 32.º do DL 125/2025 — obrigação de designar um ponto de contacto único junto do CNCS para efeitos de notificação de incidentes e receção de alertas e orientações de cibersegurança.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5. Fases de resposta a incidentes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O processo de resposta a incidentes segue um ciclo de vida estruturado em seis fases, baseado no modelo da ISO/IEC 27035 e adaptado às exigências do DL 125/2025. Cada fase tem objetivos, atividades e responsáveis claramente definidos.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5.1. Preparação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fase de preparação é contínua e precede qualquer incidente. O seu objetivo é garantir que a organização dispõe dos recursos, competências e procedimentos necessários para responder eficazmente a incidentes.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Manutenção da equipa de resposta a incidentes com competências atualizadas, incluindo formação regular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Disponibilização das ferramentas e recursos necessários: sistemas SIEM, EDR, ferramentas forenses, comunicações seguras de contingência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Procedimentos de resposta documentados, testados e atualizados, incluindo os presentes playbooks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Relações estabelecidas com o CNCS / CERT.PT, incluindo registo do ponto de contacto (Art. 32.º)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Listas de contactos de emergência atualizadas e acessíveis offline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Acordos com fornecedores de serviços de resposta a incidentes externos, se aplicável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5.2. Deteção e análise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fase de deteção e análise visa identificar e caracterizar o incidente de forma a permitir uma resposta adequada.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Fontes de deteção: sistema SIEM, solução EDR / XDR, alertas de fornecedores, reportes de utilizadores, notificações de terceiros (CNCS, CERT.PT, fornecedores)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Triagem e classificação inicial do incidente segundo a escala de severidade definida na Secção 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Determinação preliminar se o incidente configura um incidente significativo nos termos do Art. 40.º do DL 125/2025, desencadeando o prazo de 24 horas para notificação inicial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Registo imediato no sistema de gestão de incidentes, com data e hora exatas de deteção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Identificação dos sistemas, dados e serviços potencialmente afetados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Preservação de evidências digitais desde o início (logs, capturas de tráfego, imagens de sistemas)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5.3. Contenção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contenção visa limitar o impacto do incidente e impedir a sua propagação, equilibrando a necessidade de resposta imediata com a preservação de evidências.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Contenção imediata: isolamento de sistemas afetados, bloqueio de contas comprometidas, corte de acessos suspeitos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Contenção de curto prazo: medidas temporárias para manter os serviços críticos em funcionamento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Contenção de longo prazo: implementação de medidas mais robustas que permitam operar em segurança durante a erradicação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Preservação de evidências durante a contenção: recolha e armazenamento seguro de logs, imagens forenses e outros artefactos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Documentação detalhada de todas as ações tomadas, com data e hora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5.4. Erradicação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fase de erradicação visa eliminar a causa raiz do incidente e remover quaisquer vestígios da ameaça dos sistemas afetados.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Identificação e documentação da causa raiz do incidente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Remoção de malware, acessos não autorizados e artefactos maliciosos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Aplicação de correções às vulnerabilidades exploradas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Reforço das configurações de segurança nos sistemas afetados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Verificação da limpeza completa antes de proceder à recuperação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Atualização de credenciais comprometidas ou potencialmente comprometidas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5.5. Recuperação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fase de recuperação visa restaurar os sistemas e serviços afetados ao estado operacional normal de forma segura e controlada.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Restauro de sistemas a partir de cópias de segurança validadas e íntegras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Testes de funcionalidade antes de reintroduzir sistemas em produção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Monitorização intensiva pós-recuperação para detetar qualquer sinal de persistência da ameaça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Restauro gradual de serviços, por ordem de criticidade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Validação com as partes interessadas antes da declaração de recuperação total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Emissão da notificação de fim de impacto ao CNCS (Art. 43.º) no prazo de 24 horas após a resolução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5.6. Lições aprendidas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fase de lições aprendidas visa extrair conhecimento do incidente para melhorar as capacidades de resposta e prevenção futuras.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Reunião pós-incidente a realizar no prazo máximo de duas semanas após a resolução, com todos os intervenientes relevantes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Elaboração do relatório de lições aprendidas, identificando o que correu bem, o que falhou e o que deve ser melhorado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Atualização dos procedimentos, playbooks e listas de contactos com base nas conclusões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Melhoria dos controlos preventivos para reduzir a probabilidade de recorrência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Elaboração do relatório final para o CNCS (Art. 44.º) no prazo de 30 dias úteis após a notificação de fim de impacto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Comunicação interna das lições aprendidas relevantes a toda a organização</w:t>
      </w:r>
    </w:p>
    <w:p>
      <w:pPr>
        <w:shd w:color="dbeafe" w:val="solid"/>
        <w:spacing w:before="160" w:after="160"/>
        <w:ind w:left="360" w:right="360"/>
      </w:pPr>
      <w:r>
        <w:rPr>
          <w:i/>
          <w:iCs/>
          <w:color w:val="1e3a8a"/>
          <w:sz w:val="22"/>
          <w:szCs w:val="22"/>
          <w:rFonts w:ascii="Calibri" w:cs="Calibri" w:eastAsia="Calibri" w:hAnsi="Calibri"/>
        </w:rPr>
        <w:t xml:space="preserve">Art. 27.º alínea a) do DL 125/2025 — as medidas de tratamento de incidentes devem incluir procedimentos para a deteção, análise, contenção e resposta a incidentes, bem como para a recuperação pós-incidente.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6. Prazos de notificação ao CNCS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O DL 125/2025 estabelece um regime escalonado de notificação de incidentes significativos ao Centro Nacional de Cibersegurança (CNCS). O cumprimento destes prazos é obrigatório e a sua inobservância constitui infração punível nos termos do Art. 52.º e seguintes.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Fase</w:t>
            </w:r>
          </w:p>
        </w:tc>
        <w:tc>
          <w:tcPr>
            <w:shd w:color="1e3a8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Prazo</w:t>
            </w:r>
          </w:p>
        </w:tc>
        <w:tc>
          <w:tcPr>
            <w:shd w:color="1e3a8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Artigo</w:t>
            </w:r>
          </w:p>
        </w:tc>
        <w:tc>
          <w:tcPr>
            <w:shd w:color="1e3a8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Conteúdo obrigatório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Notificação inicial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24 horas após deteção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Art. 42.º n.º 1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Natureza do incidente, avaliação inicial da gravidade e impacto, contacto do ponto de contacto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Atualização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72 horas após deteção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Art. 42.º n.º 3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Avaliação da gravidade e impacto, indicadores de exposição a riscos, medidas de atenuação adotadas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Notificação de fim de impacto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24 horas após fim do impacto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Art. 43.º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Confirmação do fim do impacto do incidente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Relatório final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30 dias úteis após notif. de fim de impacto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Art. 44.º n.º 1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Descrição detalhada do incidente, tipo de ameaça e causa raiz, medidas adotadas, impacto transfronteiriço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Relatório de progresso (se em curso)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Mensal até resolução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Art. 44.º n.º 2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Relatório de progresso enquanto o incidente não estiver resolvido; seguido de relatório final em 30 dias úteis</w:t>
            </w:r>
          </w:p>
        </w:tc>
      </w:tr>
    </w:tbl>
    <w:p>
      <w:pPr>
        <w:spacing w:after="160"/>
      </w:pPr>
    </w:p>
    <w:p>
      <w:pPr>
        <w:shd w:color="dbeafe" w:val="solid"/>
        <w:spacing w:before="160" w:after="160"/>
        <w:ind w:left="360" w:right="360"/>
      </w:pPr>
      <w:r>
        <w:rPr>
          <w:i/>
          <w:iCs/>
          <w:color w:val="1e3a8a"/>
          <w:sz w:val="22"/>
          <w:szCs w:val="22"/>
          <w:rFonts w:ascii="Calibri" w:cs="Calibri" w:eastAsia="Calibri" w:hAnsi="Calibri"/>
        </w:rPr>
        <w:t xml:space="preserve">Critérios de incidente significativo (Art. 40.º do DL 125/2025): considera-se significativo o incidente que cause perturbação operacional grave dos serviços ou perdas financeiras significativas para a entidade; que afete outras pessoas singulares ou coletivas, causando prejuízos materiais ou morais consideráveis; ou que, pela sua natureza ou extensão, possa ter impacto transfronteiriço. A avaliação deve ser feita no prazo mais breve possível após a deteção.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Para incidentes com potencial impacto em dados pessoais, devem igualmente ser observados os prazos de notificação à Comissão Nacional de Proteção de Dados (CNPD) previstos no RGPD: 72 horas após o conhecimento para notificação à autoridade de controlo (Art. 33.º do RGPD) e, quando aplicável, comunicação sem demora injustificada aos titulares afetados (Art. 34.º do RGPD).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7. Playbooks por tipo de incidente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Os seguintes playbooks fornecem orientações específicas para os tipos de incidente mais frequentes ou de maior impacto. Devem ser utilizados em complemento do processo geral de resposta descrito na Secção 5.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7.1. Ransomware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O ransomware constitui uma das ameaças mais graves para as organizações, podendo causar interrupção prolongada dos serviços e perda irreversível de dados. A resposta deve ser imediata e coordenada.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Isolar imediatamente os sistemas afetados da rede, impedindo a propagação lateral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Não pagar o resgate exigido — o pagamento não garante a recuperação dos dados e financia atividades criminosas (recomendação do CNCS e das forças de segurança)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Verificar a existência e integridade de cópias de segurança antes de qualquer decisão sobre recuperação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Notificar o CNCS no prazo de 24 horas após a deteção (Art. 42.º n.º 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Notificar a Polícia Judiciária, dada a natureza criminal do ataque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Preservar todas as evidências forenses: sistemas cifrados, notas de resgate, logs de rede e de sistemas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Identificar o vetor de entrada e aplicar correções antes de restaurar os sistemas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7.2. Negação de serviço (DDoS)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Os ataques de negação de serviço visam tornar os serviços indisponíveis, podendo afetar a prestação de serviços essenciais e a reputação da organização.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Ativar mecanismos de mitigação disponíveis: CDN com proteção DDoS, filtragem pelo ISP, serviços anti-DDoS contratados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Identificar os vetores e padrões do ataque (volumétrico, protocolar, aplicacional)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Implementar regras de rate limiting e filtragem de tráfego malicioso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Contactar o ISP para mitigação upstream quando o volume ultrapassar as capacidades locais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Monitorizar a normalização do tráfego e a recuperação dos serviços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Avaliar se o ataque DDoS é uma distração para outro vetor de ataque simultâneo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7.3. Fuga de dados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fuga ou exposição não autorizada de dados pode ter consequências graves para os titulares dos dados, para a reputação da organização e implicar obrigações de notificação ao abrigo do RGPD e do DL 125/2025.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Identificar os dados afetados, a extensão da fuga e os sistemas de onde ocorreu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Conter a fuga: revogar acessos, fechar canais de exfiltração, corrigir vulnerabilidades exploradas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Notificar o CNCS nos termos do Art. 42.º, caso configure incidente significativo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Notificar a CNPD no prazo de 72 horas se os dados exfiltrados incluírem dados pessoais (Art. 33.º do RGPD)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Avaliar a necessidade de notificar os titulares dos dados afetados nos termos do Art. 34.º do RGPD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Documentar exaustivamente os dados afetados, o período de exposição e as medidas de remediação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7.4. Ameaça interna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Os incidentes originados por colaboradores ou prestadores de serviços com acesso legítimo requerem procedimentos específicos que equilibram a resposta técnica com as considerações legais e de recursos humanos.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Preservar todas as evidências antes de confrontar o suspeito ou tomar medidas que possam alertar o mesmo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Envolver imediatamente a equipa jurídica e de recursos humanos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Rever os logs de acesso e as atividades do utilizador suspeito no período relevante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Revogar os acessos do suspeito de forma controlada e documentada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Avaliar a necessidade de participação criminal junto da Polícia Judiciária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Conduzir uma revisão alargada dos acessos e das atividades de outros utilizadores com perfil semelhante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7.5. Comprometimento da cadeia de abastecimento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O comprometimento de um fornecedor ou componente de software de terceiros pode ter impacto direto nos sistemas da organização, mesmo sem um ataque direto.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Notificar o fornecedor afetado e colaborar na avaliação do impacto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Isolar ou suspender os acessos do fornecedor comprometido aos sistemas da organização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Avaliar o impacto nos sistemas próprios: que dados e sistemas estiveram expostos?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Monitorizar indicadores de comprometimento (IoC) nos sistemas internos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Rever e reforçar os controlos de acesso de todos os fornecedores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Avaliar a necessidade de notificação ao CNCS se configurar incidente significativo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8. Comunicação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gestão da comunicação durante e após um incidente é crítica para minimizar o impacto reputacional, cumprir as obrigações legais e preservar a confiança das partes interessadas.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8.1. Comunicação interna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comunicação interna durante um incidente segue uma matriz de escalada clara, garantindo que a informação certa chega às pessoas certas no momento certo.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comunicação entre os membros da equipa de resposta deve utilizar canais seguros, preferencialmente fora dos sistemas potencialmente comprometidos (e-mail alternativo, telefone, comunicações cifradas)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gestão de topo é notificada imediatamente para incidentes de severidade Alta ou Crítica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As atualizações de situação são enviadas à gestão de topo com a periodicidade adequada à severidade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comunicação com os utilizadores afetados deve ser clara, factual e evitar especulações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8.2. Comunicação com autoridades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CNCS — notificações obrigatórias nos prazos definidos no Art. 42.º a 44.º do DL 125/2025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CNPD — notificação em 72 horas quando o incidente envolva dados pessoais (Art. 33.º do RGPD)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Polícia Judiciária — participação em caso de incidentes com natureza criminal (ransomware, intrusão, fraude)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Ministério Público — nos casos previstos no Art. 23.º do DL 125/2025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8.3. Comunicação pública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comunicação pública sobre incidentes deve ser cuidadosamente gerida, equilibrando a transparência com a segurança operacional.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Nos termos do Art. 48.º do DL 125/2025, o CNCS pode exigir a divulgação pública de um incidente quando tal seja necessário para prevenir o incidente ou reagir a um incidente em curso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As declarações públicas devem ser aprovadas pelo jurídico e pela gestão de topo antes de serem emitidas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organização pode ser proativa na comunicação pública quando tal sirva os interesses dos destinatários dos serviços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Todas as declarações públicas são coordenadas com a equipa de comunicação designada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8.4. Comunicação com destinatários dos serviços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Quando um incidente afeta a disponibilidade ou a integridade dos serviços prestados, os destinatários dos serviços devem ser notificados de forma clara e atempada, incluindo a natureza do incidente, o impacto esperado, as medidas em curso e as ações recomendadas aos destinatários.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9. Preservação de evidências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preservação adequada de evidências é essencial tanto para a investigação do incidente como para eventuais processos judiciais ou regulatórios. A recolha e custódia de evidências deve seguir princípios forenses reconhecidos desde o início da resposta ao incidente.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Cadeia de custódia: todas as evidências recolhidas devem ser documentadas com data, hora, responsável pela recolha e método utilizado; a cadeia de custódia deve ser mantida ao longo de todo o processo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Princípios de forense digital: recolher a informação mais volátil primeiro (memória RAM, conexões ativas, processos); nunca realizar análise forense nos sistemas originais sem cópia prévia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Tipos de evidências a preservar: logs de sistemas e aplicações, imagens forenses de discos, capturas de tráfego de rede, artefactos de malware, registos de autenticação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Cooperação com a Polícia Judiciária nos termos do Art. 23.º do DL 125/2025, disponibilizando as evidências solicitadas pelas autoridades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Retenção de logs: os registos relevantes para o incidente devem ser preservados pelo período mínimo de cinco anos ou o prazo superior exigido pelas autoridades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Integridade das evidências: utilização de hashes criptográficos para verificar a integridade das evidências recolhidas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10. Testes e exercícios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eficácia do plano de resposta a incidentes deve ser verificada regularmente através de testes e exercícios, garantindo que a equipa está preparada para responder eficazmente quando necessário.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10.1. Tipos de exercícios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Exercícios de mesa (tabletop): discussão estruturada de cenários de incidente, sem ativação de sistemas — adequados para testar procedimentos, papéis e comunicação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Exercícios de simulação: ativação parcial dos procedimentos de resposta com cenários controlados — adequados para testar a coordenação e os tempos de resposta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Testes de escala completa: simulação realista de um incidente grave, com ativação completa da equipa e dos procedimentos — adequados para identificar lacunas críticas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Exercícios de recuperação: teste dos procedimentos de restauro a partir de cópias de segurança e de recuperação de sistemas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10.2. Frequência e documentação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Frequência mínima: um exercício por ano, combinando pelo menos um exercício de mesa com um exercício de simulação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Os exercícios devem ser planeados com antecedência e os objetivos claramente definidos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Os resultados de cada exercício são documentados, incluindo as lacunas identificadas e as ações de melhoria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As ações de melhoria são integradas no plano e nos procedimentos com prazos de implementação definidos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O relatório de cada exercício é apresentado ao órgão de gestão</w:t>
      </w:r>
    </w:p>
    <w:p>
      <w:pPr>
        <w:shd w:color="dbeafe" w:val="solid"/>
        <w:spacing w:before="160" w:after="160"/>
        <w:ind w:left="360" w:right="360"/>
      </w:pPr>
      <w:r>
        <w:rPr>
          <w:i/>
          <w:iCs/>
          <w:color w:val="1e3a8a"/>
          <w:sz w:val="22"/>
          <w:szCs w:val="22"/>
          <w:rFonts w:ascii="Calibri" w:cs="Calibri" w:eastAsia="Calibri" w:hAnsi="Calibri"/>
        </w:rPr>
        <w:t xml:space="preserve">Art. 27.º alínea a) e Art. 25.º do DL 125/2025 — a realização de exercícios periódicos de resposta a incidentes é uma boa prática essencial para a manutenção da capacidade de resposta e para o cumprimento das obrigações de gestão de riscos.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11. Anexos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Anexo A: Contactos CNCS / CERT.PT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Os contactos oficiais do Centro Nacional de Cibersegurança (CNCS) e do CERT.PT para efeitos de notificação de incidentes são os seguintes (a confirmar e atualizar regularmente no sítio web oficial do CNCS em www.cncs.gov.pt):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CNCS — Centro Nacional de Cibersegurança: www.cncs.gov.pt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Notificação de incidentes: [Consultar o portal do CNCS para o formulário e contactos atuais]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CERT.PT: cert.pt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Linha de apoio: [Consultar www.cncs.gov.pt para contacto atualizado]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Anexo B: Referência ao template de notificação ao CNCS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O template oficial de notificação de incidentes ao CNCS está disponível no portal do Centro Nacional de Cibersegurança em www.cncs.gov.pt. O ponto de contacto designado (Art. 32.º do DL 125/2025) é responsável por garantir que o template é utilizado de forma correta e que as notificações são enviadas dentro dos prazos estabelecidos no Art. 42.º a 44.º do DL 125/2025.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notificação deve incluir, no mínimo: identificação da entidade e do ponto de contacto, data e hora de deteção, descrição inicial do incidente, avaliação preliminar de gravidade e impacto, e medidas de contenção em curso.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Anexo C: Checklist de resposta a incidentes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seguinte checklist deve ser utilizada em todos os incidentes de severidade Alta ou Crítica, assinalando cada item à medida que é concluído: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 ] Incidente detetado e registado no sistema de gestão de incidentes, com data e hora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 ] Incidente classificado segundo a escala de severidade (Secção 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 ] Coordenador de incidentes notificado e a gerir a resposta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 ] Equipa de resposta ativada em função da severidade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 ] Avaliação inicial: o incidente é significativo nos termos do Art. 40.º do DL 125/2025?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 ] Se significativo: notificação inicial ao CNCS enviada dentro das 24 horas (Art. 42.º n.º 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 ] Medidas de contenção imediata implementadas e documentadas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 ] Evidências preservadas segundo os princípios de forense digital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 ] Atualização da notificação ao CNCS enviada dentro das 72 horas (Art. 42.º n.º 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 ] Erradicação da causa raiz concluída e verificada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 ] Recuperação dos sistemas realizada a partir de cópias de segurança validadas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 ] Monitorização intensiva pós-recuperação iniciada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 ] Notificação de fim de impacto enviada ao CNCS dentro de 24 horas após a resolução (Art. 43.º)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 ] Reunião de lições aprendidas realizada dentro de duas semanas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 ] Relatório final enviado ao CNCS dentro de 30 dias úteis após a notificação de fim de impacto (Art. 44.º)</w:t>
      </w:r>
    </w:p>
    <w:p>
      <w:pPr>
        <w:pStyle w:val="Heading1"/>
      </w:pPr>
      <w:r>
        <w:rPr>
          <w:b/>
          <w:color w:val="1E3A8A"/>
          <w:sz w:val="32"/>
        </w:rPr>
        <w:t>Contexto de ameaças e regulação — atualização 2025-2026</w:t>
      </w:r>
    </w:p>
    <w:p>
      <w:r>
        <w:rPr>
          <w:color w:val="374151"/>
          <w:sz w:val="22"/>
        </w:rPr>
        <w:t>Os factos apresentados nesta secção baseiam-se em publicações oficiais ENISA (European Union Agency for Cybersecurity), CNCS (Centro Nacional de Cibersegurança), Diário da República e relatórios de threat intelligence do período 2024-2026, disponíveis à data de publicação deste documento. A informação deve ser atualizada periodicamente conforme novas orientações sejam publicadas.</w:t>
      </w:r>
    </w:p>
    <w:p/>
    <w:p>
      <w:r>
        <w:rPr>
          <w:color w:val="374151"/>
          <w:sz w:val="22"/>
        </w:rPr>
        <w:t>Tabela 1 — Orientações regulatórias e técnicas 2024-2026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color="1e3a8a" w:fill="1e3a8a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Publicação</w:t>
            </w:r>
          </w:p>
        </w:tc>
        <w:tc>
          <w:tcPr>
            <w:tcW w:type="dxa" w:w="1805"/>
            <w:shd w:color="1e3a8a" w:fill="1e3a8a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Data</w:t>
            </w:r>
          </w:p>
        </w:tc>
        <w:tc>
          <w:tcPr>
            <w:tcW w:type="dxa" w:w="1805"/>
            <w:shd w:color="1e3a8a" w:fill="1e3a8a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Emissor</w:t>
            </w:r>
          </w:p>
        </w:tc>
        <w:tc>
          <w:tcPr>
            <w:tcW w:type="dxa" w:w="1805"/>
            <w:shd w:color="1e3a8a" w:fill="1e3a8a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Aplicabilidade</w:t>
            </w:r>
          </w:p>
        </w:tc>
        <w:tc>
          <w:tcPr>
            <w:tcW w:type="dxa" w:w="1805"/>
            <w:shd w:color="1e3a8a" w:fill="1e3a8a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Referência URL</w:t>
            </w:r>
          </w:p>
        </w:tc>
      </w:tr>
      <w:tr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ENISA Technical Implementation Guidance v1.0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26 Jun 2025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ENISA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Infraestrutura digital, gestão serviços TIC, fornecedores digitais NIS2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enisa.europa.eu/publications/nis2-technical-implementation-guidance</w:t>
            </w:r>
          </w:p>
        </w:tc>
      </w:tr>
      <w:tr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Commission Implementing Regulation (EU) 2024/2690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17 Out 2024 (em vigor 7 Nov 2024)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Comissão Europeia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Regras aplicação NIS2 para serviços digitais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eur-lex.europa.eu/eli/reg_impl/2024/2690</w:t>
            </w:r>
          </w:p>
        </w:tc>
      </w:tr>
      <w:tr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Decreto-Lei n.º 125/2025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4 Dez 2025 (entra vigor Abril 2026, 120 dias)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Assembleia da República / Governo PT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Transposição NIS2 para Portugal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diariodarepublica.pt/dr/detalhe/decreto-lei/125-2025</w:t>
            </w:r>
          </w:p>
        </w:tc>
      </w:tr>
      <w:tr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QNRCS (Quadro Nacional Referência Cibersegurança)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Atualização prevista 2026 (Art. 14.º DL 125/2025)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CNCS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Modelo estruturado PT para conformidade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cncs.gov.pt/pt/quadro-nacional</w:t>
            </w:r>
          </w:p>
        </w:tc>
      </w:tr>
      <w:tr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Projeto Regulamento Cibersegurança CNCS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Consulta pública Mar 2026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CNCS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Termos práticos aplicação DL 125/2025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consultar CNCS</w:t>
            </w:r>
          </w:p>
        </w:tc>
      </w:tr>
      <w:tr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ENISA Threat Landscape 2025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Out 2025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ENISA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4.875 incidentes analisados jul 2024 - jun 2025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enisa.europa.eu/publications/enisa-threat-landscape-2025</w:t>
            </w:r>
          </w:p>
        </w:tc>
      </w:tr>
      <w:tr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BSI TR-03183-2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Ago 2025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BSI Alemanha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Requisitos SBOM (SPDX + CycloneDX)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bsi.bund.de</w:t>
            </w:r>
          </w:p>
        </w:tc>
      </w:tr>
      <w:tr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Directiva NIS2 (UE) 2022/2555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14 Dez 2022 (transposição obrigatória 17 Out 2024)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Parlamento Europeu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Base legal UE</w:t>
            </w:r>
          </w:p>
        </w:tc>
        <w:tc>
          <w:tcPr>
            <w:tcW w:type="dxa" w:w="1805"/>
          </w:tcPr>
          <w:p>
            <w:r/>
            <w:r>
              <w:rPr>
                <w:color w:val="374151"/>
                <w:sz w:val="22"/>
              </w:rPr>
              <w:t>eur-lex.europa.eu/eli/dir/2022/2555</w:t>
            </w:r>
          </w:p>
        </w:tc>
      </w:tr>
    </w:tbl>
    <w:p/>
    <w:p>
      <w:r>
        <w:rPr>
          <w:color w:val="374151"/>
          <w:sz w:val="22"/>
        </w:rPr>
        <w:t>Tabela 2 — Cenário de ameaças ENISA Threat Landscape 2025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color="1e3a8a" w:fill="1e3a8a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Métrica</w:t>
            </w:r>
          </w:p>
        </w:tc>
        <w:tc>
          <w:tcPr>
            <w:tcW w:type="dxa" w:w="3009"/>
            <w:shd w:color="1e3a8a" w:fill="1e3a8a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Valor</w:t>
            </w:r>
          </w:p>
        </w:tc>
        <w:tc>
          <w:tcPr>
            <w:tcW w:type="dxa" w:w="3009"/>
            <w:shd w:color="1e3a8a" w:fill="1e3a8a" w:val="clear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Observação</w:t>
            </w:r>
          </w:p>
        </w:tc>
      </w:tr>
      <w:tr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Total incidentes analisados (jul 2024 - jun 2025)</w:t>
            </w:r>
          </w:p>
        </w:tc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4.875</w:t>
            </w:r>
          </w:p>
        </w:tc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Dados compilados pelo CSIRT Network</w:t>
            </w:r>
          </w:p>
        </w:tc>
      </w:tr>
      <w:tr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% cybercrime: ransomware</w:t>
            </w:r>
          </w:p>
        </w:tc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81,1%</w:t>
            </w:r>
          </w:p>
        </w:tc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Dominante entre vetores criminosos UE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% cybercrime: data breaches</w:t>
            </w:r>
          </w:p>
        </w:tc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15,2%</w:t>
            </w:r>
          </w:p>
        </w:tc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Segundo maior vetor</w:t>
            </w:r>
          </w:p>
        </w:tc>
      </w:tr>
      <w:tr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Top ransomware strain #1</w:t>
            </w:r>
          </w:p>
        </w:tc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Akira — 48,7%</w:t>
            </w:r>
          </w:p>
        </w:tc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Mais prevalente entre estirpes ativas EU</w:t>
            </w:r>
          </w:p>
        </w:tc>
      </w:tr>
      <w:tr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Top ransomware strain #2</w:t>
            </w:r>
          </w:p>
        </w:tc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Qilin — 20,5%</w:t>
            </w:r>
          </w:p>
        </w:tc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Posição #1 em Fev-Mar 2026 com 680 vítimas/mês tracked</w:t>
            </w:r>
          </w:p>
        </w:tc>
      </w:tr>
      <w:tr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Top ransomware strain #3</w:t>
            </w:r>
          </w:p>
        </w:tc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FOG — 10,3%</w:t>
            </w:r>
          </w:p>
        </w:tc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Maior crescimento orgânico 2025</w:t>
            </w:r>
          </w:p>
        </w:tc>
      </w:tr>
      <w:tr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Cartel ransomware emergente</w:t>
            </w:r>
          </w:p>
        </w:tc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LockBit 5.0 + Qilin + DragonForce (Nov 2025)</w:t>
            </w:r>
          </w:p>
        </w:tc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Partilha de ferramentas e infraestrutura</w:t>
            </w:r>
          </w:p>
        </w:tc>
      </w:tr>
      <w:tr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Setor público EU: grupos dominantes</w:t>
            </w:r>
          </w:p>
        </w:tc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NightSpire (41,7%), SafePay (33,3%), Stormous (25%)</w:t>
            </w:r>
          </w:p>
        </w:tc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Targeting específico administração pública</w:t>
            </w:r>
          </w:p>
        </w:tc>
      </w:tr>
      <w:tr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DDoS</w:t>
            </w:r>
          </w:p>
        </w:tc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Dominante por volume</w:t>
            </w:r>
          </w:p>
        </w:tc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Menor impacto por incidente mas maior frequência</w:t>
            </w:r>
          </w:p>
        </w:tc>
      </w:tr>
      <w:tr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Exposição OT/ICS</w:t>
            </w:r>
          </w:p>
        </w:tc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Crescente</w:t>
            </w:r>
          </w:p>
        </w:tc>
        <w:tc>
          <w:tcPr>
            <w:tcW w:type="dxa" w:w="3009"/>
          </w:tcPr>
          <w:p>
            <w:r/>
            <w:r>
              <w:rPr>
                <w:color w:val="374151"/>
                <w:sz w:val="22"/>
              </w:rPr>
              <w:t>Convergência IT/OT historicamente isolada</w:t>
            </w:r>
          </w:p>
        </w:tc>
      </w:tr>
    </w:tbl>
    <w:p/>
    <w:p>
      <w:r>
        <w:rPr>
          <w:color w:val="374151"/>
          <w:sz w:val="22"/>
        </w:rPr>
        <w:t>Recomendações atualizadas 2026</w:t>
      </w:r>
    </w:p>
    <w:p>
      <w:r>
        <w:rPr>
          <w:color w:val="374151"/>
          <w:sz w:val="22"/>
        </w:rPr>
        <w:t>Com base nas publicações acima, recomendam-se as seguintes medidas prioritárias em 2026:</w:t>
      </w:r>
    </w:p>
    <w:p>
      <w:pPr>
        <w:pStyle w:val="ListParagraph"/>
      </w:pPr>
      <w:r>
        <w:rPr>
          <w:color w:val="374151"/>
          <w:sz w:val="22"/>
        </w:rPr>
        <w:t>• MFA obrigatória e resistente a phishing em todos os acessos remotos e administrativos — o Commission Implementing Regulation (EU) 2024/2690 torna-a requisito vinculativo, não apenas boa prática</w:t>
      </w:r>
    </w:p>
    <w:p>
      <w:pPr>
        <w:pStyle w:val="ListParagraph"/>
      </w:pPr>
      <w:r>
        <w:rPr>
          <w:color w:val="374151"/>
          <w:sz w:val="22"/>
        </w:rPr>
        <w:t>• SBOM (Software Bill of Materials) para todo o software crítico, nos formatos SPDX e CycloneDX (conforme BSI TR-03183-2), com atualização a cada nova versão</w:t>
      </w:r>
    </w:p>
    <w:p>
      <w:pPr>
        <w:pStyle w:val="ListParagraph"/>
      </w:pPr>
      <w:r>
        <w:rPr>
          <w:color w:val="374151"/>
          <w:sz w:val="22"/>
        </w:rPr>
        <w:t>• Segmentação de backups offline e imutáveis (3-2-1-1-0), testados mensalmente — as estirpes Akira e FOG visam especificamente backups online</w:t>
      </w:r>
    </w:p>
    <w:p>
      <w:pPr>
        <w:pStyle w:val="ListParagraph"/>
      </w:pPr>
      <w:r>
        <w:rPr>
          <w:color w:val="374151"/>
          <w:sz w:val="22"/>
        </w:rPr>
        <w:t>• Monitorização contínua de ASNs e indicadores de cartéis ransomware — consulta diária a feeds NVD, CISA KEV catalog, MISP</w:t>
      </w:r>
    </w:p>
    <w:p>
      <w:pPr>
        <w:pStyle w:val="ListParagraph"/>
      </w:pPr>
      <w:r>
        <w:rPr>
          <w:color w:val="374151"/>
          <w:sz w:val="22"/>
        </w:rPr>
        <w:t>• Tabletop exercises trimestrais com cenários derivados do ENISA Threat Landscape 2025</w:t>
      </w:r>
    </w:p>
    <w:p>
      <w:pPr>
        <w:pStyle w:val="ListParagraph"/>
      </w:pPr>
      <w:r>
        <w:rPr>
          <w:color w:val="374151"/>
          <w:sz w:val="22"/>
        </w:rPr>
        <w:t>• Programa de TLPT (Threat-Led Penetration Testing) conforme DORA Art. 26.º (entidades financeiras) e recomendado em OE NIS2 de alta criticidade</w:t>
      </w:r>
    </w:p>
    <w:p>
      <w:pPr>
        <w:pStyle w:val="ListParagraph"/>
      </w:pPr>
      <w:r>
        <w:rPr>
          <w:color w:val="374151"/>
          <w:sz w:val="22"/>
        </w:rPr>
        <w:t>• Registo imediato no portal CNCS (disponibilizado pelo Decreto-Lei 125/2025) — deadline efetivo entre Abr-Jul 2026 consoante classificação</w:t>
      </w:r>
    </w:p>
    <w:p>
      <w:pPr>
        <w:pStyle w:val="ListParagraph"/>
      </w:pPr>
      <w:r>
        <w:rPr>
          <w:color w:val="374151"/>
          <w:sz w:val="22"/>
        </w:rPr>
        <w:t>• Formação de órgãos de gestão obrigatória (Art. 20.º DL 125/2025) — administradores respondem pessoalmente por falhas de supervisão</w:t>
      </w:r>
    </w:p>
    <w:p>
      <w:pPr>
        <w:pStyle w:val="ListParagraph"/>
      </w:pPr>
      <w:r>
        <w:rPr>
          <w:color w:val="374151"/>
          <w:sz w:val="22"/>
        </w:rPr>
        <w:t>• Gestão de vulnerabilidades com patch em &lt;72h para críticas listadas em CISA KEV ou com CVSS ≥9.0</w:t>
      </w:r>
    </w:p>
    <w:p/>
    <w:p>
      <w:r>
        <w:rPr>
          <w:color w:val="374151"/>
          <w:sz w:val="22"/>
        </w:rPr>
        <w:t>Fontes consultadas</w:t>
      </w:r>
    </w:p>
    <w:p>
      <w:r>
        <w:rPr>
          <w:color w:val="374151"/>
          <w:sz w:val="22"/>
        </w:rPr>
        <w:t>Esta secção sintetiza informação pública de: ENISA (enisa.europa.eu), CNCS Portugal (cncs.gov.pt), Comissão Europeia (eur-lex.europa.eu), Diário da República (diariodarepublica.pt), BSI (bsi.bund.de), GuidePoint GRIT, Breachsense, Check Point Research, SOCRadar, Antiy Labs, Mandiant/Google Cloud, ExtraHop, Picus Security. A lista detalhada de URLs é mantida no anexo Referências do site https://nis2-portugal.com/pages/novidades.html.</w:t>
      </w:r>
    </w:p>
    <w:p/>
    <w:p>
      <w:pPr>
        <w:pStyle w:val="Heading1"/>
      </w:pPr>
      <w:r>
        <w:rPr>
          <w:b/>
          <w:color w:val="1E3A8A"/>
          <w:sz w:val="28"/>
        </w:rPr>
        <w:t>12. Aprovação do documento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Papel</w:t>
            </w:r>
          </w:p>
        </w:tc>
        <w:tc>
          <w:tcPr>
            <w:tcW w:type="dxa" w:w="2256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type="dxa" w:w="2256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Cargo</w:t>
            </w:r>
          </w:p>
        </w:tc>
        <w:tc>
          <w:tcPr>
            <w:tcW w:type="dxa" w:w="2256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Data e assinatura</w:t>
            </w:r>
          </w:p>
        </w:tc>
      </w:tr>
      <w:tr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Elaborado por</w:t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[DPO/CISO]</w:t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Revisto por</w:t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</w:tr>
      <w:tr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Aprovado por</w:t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Conselho de Administração</w:t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Comunicado a</w:t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Todos os colaboradores</w:t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</w:tr>
    </w:tbl>
    <w:p>
      <w:r>
        <w:rPr>
          <w:i/>
          <w:color w:val="374151"/>
          <w:sz w:val="20"/>
        </w:rPr>
        <w:t>Este documento é controlado pelo sistema de gestão documental da organização. Alterações requerem aprovação formal conforme tabela acima. A próxima revisão deve ocorrer até 17/04/2027.</w:t>
      </w:r>
    </w:p>
    <w:p>
      <w:pPr>
        <w:pStyle w:val="Heading1"/>
      </w:pPr>
      <w:r>
        <w:rPr>
          <w:b/>
          <w:color w:val="1E3A8A"/>
          <w:sz w:val="28"/>
        </w:rPr>
        <w:t>13. Glossário</w:t>
      </w:r>
    </w:p>
    <w:p>
      <w:r>
        <w:rPr>
          <w:color w:val="374151"/>
          <w:sz w:val="22"/>
        </w:rPr>
        <w:t>Para facilitar a leitura, apresentam-se os termos técnicos e legais usados ao longo deste documento.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4513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NIS2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Diretiva (UE) 2022/2555 relativa a medidas destinadas a garantir um elevado nível comum de cibersegurança em toda a União (substitui a NIS de 2016)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DL 125/2025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Decreto-Lei n.º 125/2025, de 6 de agosto, que transpõe para Portugal a Diretiva NIS2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CNCS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Centro Nacional de Cibersegurança, autoridade competente NIS2 em Portugal (Art. 32.º DL 125/2025)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CERT.PT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Equipa de resposta a incidentes de segurança informática nacional integrada no CNCS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OE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Entidade Essencial (Art. 10.º DL 125/2025) — entidade sujeita a maiores obrigações e supervisão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OI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Entidade Importante (Art. 11.º DL 125/2025) — regime proporcional com supervisão ex-post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SGSI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Sistema de Gestão de Segurança da Informação (ISO/IEC 27001)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CSIRT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Computer Security Incident Response Team — equipa de resposta a incidentes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SOC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Security Operations Centre — centro de operações de segurança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SIEM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Security Information and Event Management — correlação e análise de logs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EDR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Endpoint Detection and Response — deteção e resposta em endpoints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XDR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Extended Detection and Response — deteção estendida (endpoints + rede + cloud)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IAM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Identity and Access Management — gestão de identidades e acessos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PAM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Privileged Access Management — gestão de acessos privilegiados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MFA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Multi-Factor Authentication — autenticação multifator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SSO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Single Sign-On — autenticação única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DLP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Data Loss Prevention — prevenção de fuga de dados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DPIA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Data Protection Impact Assessment (RGPD Art. 35.º) — avaliação de impacto sobre proteção de dados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AIPD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Avaliação de Impacto sobre a Proteção de Dados (equivalente PT-PT do DPIA)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RTO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Recovery Time Objective — tempo máximo de recuperação aceitável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RPO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Recovery Point Objective — perda máxima de dados aceitável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MTTD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Mean Time To Detect — tempo médio de deteção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MTTR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Mean Time To Respond/Recover — tempo médio de resposta ou recuperação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IoC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Indicator of Compromise — indicador de compromisso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TLPT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Threat-Led Penetration Testing — teste de penetração baseado em ameaças (DORA Art. 26.º)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TTP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Tactics, Techniques and Procedures — táticas, técnicas e procedimentos (MITRE ATT&amp;CK)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CVE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Common Vulnerabilities and Exposures — base de dados pública de vulnerabilidades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CVSS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Common Vulnerability Scoring System — sistema de pontuação de vulnerabilidades (0-10)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RGPD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Regulamento Geral sobre a Proteção de Dados (UE 2016/679)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DORA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Digital Operational Resilience Act — Regulamento (UE) 2022/2554 para o setor financeiro</w:t>
            </w:r>
          </w:p>
        </w:tc>
      </w:tr>
    </w:tbl>
    <w:p>
      <w:pPr>
        <w:pStyle w:val="Heading1"/>
      </w:pPr>
      <w:r>
        <w:rPr>
          <w:b/>
          <w:color w:val="1E3A8A"/>
          <w:sz w:val="28"/>
        </w:rPr>
        <w:t>14. Referências a outros templates NIS2</w:t>
      </w:r>
    </w:p>
    <w:p>
      <w:r>
        <w:rPr>
          <w:color w:val="374151"/>
          <w:sz w:val="22"/>
        </w:rPr>
        <w:t>Este template integra-se com o seguinte conjunto de políticas e procedimentos NIS2 disponibilizados em nis2-portugal.com/pages/templates.html: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Política de segurança da informação — documento de cúpula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Plano de resposta a incidentes — procedimento operacional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Matriz de riscos NIS2 — avaliação de riscos Art. 21.º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Plano de continuidade de negócio — BIA + DRP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Política de controlo de acessos — gestão IAM/PAM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Checklist de conformidade Art. 21.º — autoavaliação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Questionário de due diligence de fornecedores — cadeia de abastecimento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Programa de formação e sensibilização — Art. 20.º DL 125/2025</w:t>
      </w:r>
    </w:p>
    <w:p>
      <w:r>
        <w:rPr>
          <w:i/>
          <w:color w:val="374151"/>
          <w:sz w:val="20"/>
        </w:rPr>
        <w:t>Todos os templates referidos estão disponíveis para download gratuito em https://nis2-portugal.com/pages/templates.html. A utilização conjunta garante cobertura completa dos requisitos do Art. 21.º do DL 125/2025.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8a" w:sz="6" w:space="1"/>
      </w:pBdr>
      <w:jc w:val="center"/>
    </w:pPr>
    <w:r>
      <w:rPr>
        <w:color w:val="9ca3af"/>
        <w:sz w:val="18"/>
        <w:szCs w:val="18"/>
        <w:rFonts w:ascii="Calibri" w:cs="Calibri" w:eastAsia="Calibri" w:hAnsi="Calibri"/>
      </w:rPr>
      <w:t xml:space="preserve">Confidencial  |  Página </w:t>
    </w:r>
    <w:r>
      <w:rPr>
        <w:color w:val="9ca3af"/>
        <w:sz w:val="18"/>
        <w:szCs w:val="18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  <w:rFonts w:ascii="Calibri" w:cs="Calibri" w:eastAsia="Calibri" w:hAnsi="Calibri"/>
      </w:rPr>
      <w:t xml:space="preserve"> de </w:t>
    </w:r>
    <w:r>
      <w:rPr>
        <w:color w:val="9ca3af"/>
        <w:sz w:val="18"/>
        <w:szCs w:val="18"/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6" w:space="1"/>
      </w:pBdr>
      <w:jc w:val="right"/>
    </w:pPr>
    <w:r>
      <w:rPr>
        <w:color w:val="9ca3af"/>
        <w:sz w:val="18"/>
        <w:szCs w:val="18"/>
        <w:rFonts w:ascii="Calibri" w:cs="Calibri" w:eastAsia="Calibri" w:hAnsi="Calibri"/>
      </w:rPr>
      <w:t xml:space="preserve">Plano de resposta a incidentes de cibersegurança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NIS2 Portugal — nis2-portugal.com</dc:creator>
  <cp:lastModifiedBy>NIS2 Portugal</cp:lastModifiedBy>
  <cp:revision>1</cp:revision>
  <dcterms:created xsi:type="dcterms:W3CDTF">2026-03-18T13:34:02.186Z</dcterms:created>
  <dcterms:modified xsi:type="dcterms:W3CDTF">2026-03-18T13:34:02.186Z</dcterms:modified>
  <dc:title>Plano resposta incidentes</dc:title>
  <dc:subject>Template NIS2 — conformidade DL 125/2025</dc:subject>
  <cp:keywords>NIS2, DL 125/2025, cibersegurança, conformidade, Portugal</cp:keywords>
  <cp:category>Template NIS2</cp:category>
  <dc:description>Template profissional gratuito disponibilizado em nis2-portugal.com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