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[Nome da organização]</w:t>
      </w:r>
    </w:p>
    <w:p>
      <w:pPr>
        <w:spacing w:after="400"/>
        <w:jc w:val="center"/>
      </w:pPr>
      <w:r>
        <w:rPr>
          <w:b/>
          <w:bCs/>
          <w:color w:val="2E75B6"/>
          <w:sz w:val="44"/>
          <w:szCs w:val="44"/>
        </w:rPr>
        <w:t xml:space="preserve">Playbook — Violação de Dados Pessoais (RGPD)</w:t>
      </w:r>
    </w:p>
    <w:p>
      <w:pPr>
        <w:spacing w:after="800"/>
        <w:jc w:val="center"/>
      </w:pPr>
      <w:r>
        <w:rPr>
          <w:i/>
          <w:iCs/>
          <w:color w:val="333333"/>
          <w:sz w:val="24"/>
          <w:szCs w:val="24"/>
        </w:rPr>
        <w:t xml:space="preserve">Artigos 33.º e 34.º do Regulamento (UE) 2016/679</w:t>
      </w:r>
    </w:p>
    <w:p>
      <w:pPr>
        <w:spacing w:after="100"/>
        <w:jc w:val="center"/>
      </w:pPr>
      <w:r>
        <w:rPr>
          <w:sz w:val="22"/>
          <w:szCs w:val="22"/>
        </w:rPr>
        <w:t xml:space="preserve">Versão: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abril de 2026</w:t>
      </w:r>
    </w:p>
    <w:p>
      <w:pPr>
        <w:spacing w:after="600"/>
        <w:jc w:val="center"/>
      </w:pPr>
      <w:r>
        <w:rPr>
          <w:sz w:val="22"/>
          <w:szCs w:val="22"/>
        </w:rPr>
        <w:t xml:space="preserve">Classificação: Confidencial</w:t>
      </w:r>
    </w:p>
    <w:p>
      <w:r>
        <w:br w:type="page"/>
      </w:r>
    </w:p>
    <w:p>
      <w:pPr>
        <w:pStyle w:val="Heading2"/>
      </w:pPr>
      <w:r>
        <w:t xml:space="preserve">Controlo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30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Alterações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Aprovado por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abril de 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[Autor]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 inicial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[Aprovador]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1. Ativação</w:t>
      </w:r>
    </w:p>
    <w:p>
      <w:pPr>
        <w:spacing w:after="120"/>
      </w:pPr>
      <w:r>
        <w:t xml:space="preserve">Este playbook é ativado em complemento a outros playbooks (ransomware, phishing, intrusão, insider) sempre que se verifiquem indícios de acesso, divulgação, alteração, perda ou destruição não autorizada de dados pessoais sob a responsabilidade de [Nome da organização].</w:t>
      </w:r>
    </w:p>
    <w:p>
      <w:pPr>
        <w:spacing w:after="120"/>
      </w:pPr>
      <w:r>
        <w:rPr>
          <w:b/>
          <w:bCs/>
        </w:rPr>
        <w:t xml:space="preserve">Responsável primário: </w:t>
      </w:r>
      <w:r>
        <w:t xml:space="preserve">DPO / Encarregado da Proteção de Dados, em articulação com CISO e Jurídico.</w:t>
      </w:r>
    </w:p>
    <w:p>
      <w:pPr>
        <w:pStyle w:val="Heading1"/>
      </w:pPr>
      <w:r>
        <w:t xml:space="preserve">2. Fase 1 — Qualificação da violação</w:t>
      </w:r>
    </w:p>
    <w:p>
      <w:pPr>
        <w:spacing w:after="120"/>
      </w:pPr>
      <w:r>
        <w:t xml:space="preserve">Nem todo o incidente de segurança é violação de dados pessoais. Avaliar: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Dimensão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Critério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Confidencialidade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Acesso ou divulgação não autorizada a dados pessoais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Integridade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Alteração não autorizada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Disponibilidade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Perda, destruição ou inacessibilidade permanente</w:t>
            </w:r>
          </w:p>
        </w:tc>
      </w:tr>
    </w:tbl>
    <w:p>
      <w:pPr>
        <w:spacing w:after="120"/>
      </w:pPr>
      <w:r>
        <w:t xml:space="preserve">Se nenhum destes critérios se verifica em relação a dados pessoais → não é violação de dados pessoais, apenas incidente de segurança.</w:t>
      </w:r>
    </w:p>
    <w:p>
      <w:pPr>
        <w:pStyle w:val="Heading1"/>
      </w:pPr>
      <w:r>
        <w:t xml:space="preserve">3. Fase 2 — Avaliação do risco (obrigatória)</w:t>
      </w:r>
    </w:p>
    <w:p>
      <w:pPr>
        <w:spacing w:after="120"/>
      </w:pPr>
      <w:r>
        <w:t xml:space="preserve">A obrigação de notificar depende do risco para os direitos e liberdades dos titulares, conforme a Orientação WP250 do EDPB. Fatores a considerar:</w:t>
      </w:r>
    </w:p>
    <w:p>
      <w:pPr>
        <w:pStyle w:val="ListParagraph"/>
        <w:numPr>
          <w:ilvl w:val="0"/>
          <w:numId w:val="2"/>
        </w:numPr>
      </w:pPr>
      <w:r>
        <w:t xml:space="preserve">Tipo de violação (perda, acesso, divulgação, alteração, destruição);</w:t>
      </w:r>
    </w:p>
    <w:p>
      <w:pPr>
        <w:pStyle w:val="ListParagraph"/>
        <w:numPr>
          <w:ilvl w:val="0"/>
          <w:numId w:val="2"/>
        </w:numPr>
      </w:pPr>
      <w:r>
        <w:t xml:space="preserve">Natureza, sensibilidade e volume dos dados (dados de saúde, financeiros, judiciais, biométricos, crianças → sensibilidade elevada);</w:t>
      </w:r>
    </w:p>
    <w:p>
      <w:pPr>
        <w:pStyle w:val="ListParagraph"/>
        <w:numPr>
          <w:ilvl w:val="0"/>
          <w:numId w:val="2"/>
        </w:numPr>
      </w:pPr>
      <w:r>
        <w:t xml:space="preserve">Facilidade de identificação dos titulares (pseudonimização, cifra);</w:t>
      </w:r>
    </w:p>
    <w:p>
      <w:pPr>
        <w:pStyle w:val="ListParagraph"/>
        <w:numPr>
          <w:ilvl w:val="0"/>
          <w:numId w:val="2"/>
        </w:numPr>
      </w:pPr>
      <w:r>
        <w:t xml:space="preserve">Gravidade das consequências (fraude, discriminação, dano reputacional, perda financeira, dano físico);</w:t>
      </w:r>
    </w:p>
    <w:p>
      <w:pPr>
        <w:pStyle w:val="ListParagraph"/>
        <w:numPr>
          <w:ilvl w:val="0"/>
          <w:numId w:val="2"/>
        </w:numPr>
      </w:pPr>
      <w:r>
        <w:t xml:space="preserve">Caraterísticas especiais dos titulares (crianças, pessoas vulneráveis);</w:t>
      </w:r>
    </w:p>
    <w:p>
      <w:pPr>
        <w:pStyle w:val="ListParagraph"/>
        <w:numPr>
          <w:ilvl w:val="0"/>
          <w:numId w:val="2"/>
        </w:numPr>
      </w:pPr>
      <w:r>
        <w:t xml:space="preserve">Caraterísticas do responsável (setor, dimensão);</w:t>
      </w:r>
    </w:p>
    <w:p>
      <w:pPr>
        <w:pStyle w:val="ListParagraph"/>
        <w:numPr>
          <w:ilvl w:val="0"/>
          <w:numId w:val="2"/>
        </w:numPr>
      </w:pPr>
      <w:r>
        <w:t xml:space="preserve">Número de titulares afetados;</w:t>
      </w:r>
    </w:p>
    <w:p>
      <w:pPr>
        <w:pStyle w:val="ListParagraph"/>
        <w:numPr>
          <w:ilvl w:val="0"/>
          <w:numId w:val="2"/>
        </w:numPr>
      </w:pPr>
      <w:r>
        <w:t xml:space="preserve">Duração do comprometimento (horas, dias, meses).</w:t>
      </w:r>
    </w:p>
    <w:p>
      <w:pPr>
        <w:pStyle w:val="Heading1"/>
      </w:pPr>
      <w:r>
        <w:t xml:space="preserve">4. Fase 3 — Decisão sobre notificação</w:t>
      </w:r>
    </w:p>
    <w:p>
      <w:pPr>
        <w:pStyle w:val="Heading2"/>
      </w:pPr>
      <w:r>
        <w:t xml:space="preserve">4.1 Notificação à CNPD (art. 33.º)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Cenário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Notificar CNPD?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Sem risco para os titulares (ex.: dados cifrados sem fuga de chave; perda pontual sem sensibilidade)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Não. Registar internamente (art. 33.º n.º 5).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Risco para os titulares (qualquer nível superior a mínimo)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Sim, em 72h após conhecimento.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Dúvida razoável sobre existência de risco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Notificar preventivamente.</w:t>
            </w:r>
          </w:p>
        </w:tc>
      </w:tr>
    </w:tbl>
    <w:p>
      <w:pPr>
        <w:pStyle w:val="Heading2"/>
      </w:pPr>
      <w:r>
        <w:t xml:space="preserve">4.2 Comunicação aos titulares (art. 34.º)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Cenário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Comunicar aos titulares?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Elevado risco para direitos e liberdades (ex.: dados sensíveis expostos publicamente, fraude iminente)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Sim, sem demora injustificada.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Risco mitigado por medidas prévias (dados cifrados com chave intacta; apagamento imediato dos canais de publicação)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Não é exigido, mas registar justificação.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Comunicação individual exigiria esforço desproporcionado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Pode ser substituída por comunicação pública (site, comunicado, rede social).</w:t>
            </w:r>
          </w:p>
        </w:tc>
      </w:tr>
    </w:tbl>
    <w:p>
      <w:pPr>
        <w:pStyle w:val="Heading1"/>
      </w:pPr>
      <w:r>
        <w:t xml:space="preserve">5. Conteúdo obrigatório da notificação à CNPD</w:t>
      </w:r>
    </w:p>
    <w:p>
      <w:pPr>
        <w:spacing w:after="120"/>
      </w:pPr>
      <w:r>
        <w:t xml:space="preserve">Conforme art. 33.º n.º 3 do RGPD, a notificação deve conter pelo menos:</w:t>
      </w:r>
    </w:p>
    <w:p>
      <w:pPr>
        <w:pStyle w:val="ListParagraph"/>
        <w:numPr>
          <w:ilvl w:val="0"/>
          <w:numId w:val="3"/>
        </w:numPr>
      </w:pPr>
      <w:r>
        <w:t xml:space="preserve">Natureza da violação, categorias e número aproximado de titulares e de registos afetados.</w:t>
      </w:r>
    </w:p>
    <w:p>
      <w:pPr>
        <w:pStyle w:val="ListParagraph"/>
        <w:numPr>
          <w:ilvl w:val="0"/>
          <w:numId w:val="3"/>
        </w:numPr>
      </w:pPr>
      <w:r>
        <w:t xml:space="preserve">Nome e contactos do DPO ou ponto de contacto.</w:t>
      </w:r>
    </w:p>
    <w:p>
      <w:pPr>
        <w:pStyle w:val="ListParagraph"/>
        <w:numPr>
          <w:ilvl w:val="0"/>
          <w:numId w:val="3"/>
        </w:numPr>
      </w:pPr>
      <w:r>
        <w:t xml:space="preserve">Consequências prováveis da violação.</w:t>
      </w:r>
    </w:p>
    <w:p>
      <w:pPr>
        <w:pStyle w:val="ListParagraph"/>
        <w:numPr>
          <w:ilvl w:val="0"/>
          <w:numId w:val="3"/>
        </w:numPr>
      </w:pPr>
      <w:r>
        <w:t xml:space="preserve">Medidas tomadas ou propostas para corrigir e mitigar os efeitos.</w:t>
      </w:r>
    </w:p>
    <w:p>
      <w:pPr>
        <w:spacing w:after="120"/>
      </w:pPr>
      <w:r>
        <w:t xml:space="preserve">Se a informação não estiver toda disponível em 72h, pode ser comunicada por fases, identificando claramente o que é estimativa preliminar.</w:t>
      </w:r>
    </w:p>
    <w:p>
      <w:pPr>
        <w:pStyle w:val="Heading1"/>
      </w:pPr>
      <w:r>
        <w:t xml:space="preserve">6. Conteúdo obrigatório da comunicação aos titulares</w:t>
      </w:r>
    </w:p>
    <w:p>
      <w:pPr>
        <w:spacing w:after="120"/>
      </w:pPr>
      <w:r>
        <w:t xml:space="preserve">Conforme art. 34.º n.º 2 do RGPD:</w:t>
      </w:r>
    </w:p>
    <w:p>
      <w:pPr>
        <w:pStyle w:val="ListParagraph"/>
        <w:numPr>
          <w:ilvl w:val="0"/>
          <w:numId w:val="3"/>
        </w:numPr>
      </w:pPr>
      <w:r>
        <w:t xml:space="preserve">Descrição em linguagem clara e simples da natureza da violação.</w:t>
      </w:r>
    </w:p>
    <w:p>
      <w:pPr>
        <w:pStyle w:val="ListParagraph"/>
        <w:numPr>
          <w:ilvl w:val="0"/>
          <w:numId w:val="3"/>
        </w:numPr>
      </w:pPr>
      <w:r>
        <w:t xml:space="preserve">Contactos do DPO.</w:t>
      </w:r>
    </w:p>
    <w:p>
      <w:pPr>
        <w:pStyle w:val="ListParagraph"/>
        <w:numPr>
          <w:ilvl w:val="0"/>
          <w:numId w:val="3"/>
        </w:numPr>
      </w:pPr>
      <w:r>
        <w:t xml:space="preserve">Consequências prováveis.</w:t>
      </w:r>
    </w:p>
    <w:p>
      <w:pPr>
        <w:pStyle w:val="ListParagraph"/>
        <w:numPr>
          <w:ilvl w:val="0"/>
          <w:numId w:val="3"/>
        </w:numPr>
      </w:pPr>
      <w:r>
        <w:t xml:space="preserve">Medidas tomadas ou propostas para mitigar os efeitos.</w:t>
      </w:r>
    </w:p>
    <w:p>
      <w:pPr>
        <w:pStyle w:val="ListParagraph"/>
        <w:numPr>
          <w:ilvl w:val="0"/>
          <w:numId w:val="3"/>
        </w:numPr>
      </w:pPr>
      <w:r>
        <w:t xml:space="preserve">Recomendações aos titulares (alterar passwords, vigiar extratos, não clicar em links suspeitos).</w:t>
      </w:r>
    </w:p>
    <w:p>
      <w:pPr>
        <w:pStyle w:val="Heading1"/>
      </w:pPr>
      <w:r>
        <w:t xml:space="preserve">7. Registo interno</w:t>
      </w:r>
    </w:p>
    <w:p>
      <w:pPr>
        <w:spacing w:after="120"/>
      </w:pPr>
      <w:r>
        <w:t xml:space="preserve">Independentemente de existir ou não obrigação de notificação, é obrigatório manter registo interno documentando (art. 33.º n.º 5 RGPD):</w:t>
      </w:r>
    </w:p>
    <w:p>
      <w:pPr>
        <w:pStyle w:val="ListParagraph"/>
        <w:numPr>
          <w:ilvl w:val="0"/>
          <w:numId w:val="2"/>
        </w:numPr>
      </w:pPr>
      <w:r>
        <w:t xml:space="preserve">Factos relativos à violação;</w:t>
      </w:r>
    </w:p>
    <w:p>
      <w:pPr>
        <w:pStyle w:val="ListParagraph"/>
        <w:numPr>
          <w:ilvl w:val="0"/>
          <w:numId w:val="2"/>
        </w:numPr>
      </w:pPr>
      <w:r>
        <w:t xml:space="preserve">Efeitos;</w:t>
      </w:r>
    </w:p>
    <w:p>
      <w:pPr>
        <w:pStyle w:val="ListParagraph"/>
        <w:numPr>
          <w:ilvl w:val="0"/>
          <w:numId w:val="2"/>
        </w:numPr>
      </w:pPr>
      <w:r>
        <w:t xml:space="preserve">Medidas corretivas adotadas;</w:t>
      </w:r>
    </w:p>
    <w:p>
      <w:pPr>
        <w:pStyle w:val="ListParagraph"/>
        <w:numPr>
          <w:ilvl w:val="0"/>
          <w:numId w:val="2"/>
        </w:numPr>
      </w:pPr>
      <w:r>
        <w:t xml:space="preserve">Justificação de decisão de não notificar, quando aplicável.</w:t>
      </w:r>
    </w:p>
    <w:p>
      <w:pPr>
        <w:pStyle w:val="Heading1"/>
      </w:pPr>
      <w:r>
        <w:t xml:space="preserve">8. Articulação com outras obrigações</w:t>
      </w:r>
    </w:p>
    <w:p>
      <w:pPr>
        <w:pStyle w:val="ListParagraph"/>
        <w:numPr>
          <w:ilvl w:val="0"/>
          <w:numId w:val="2"/>
        </w:numPr>
      </w:pPr>
      <w:r>
        <w:t xml:space="preserve">Se a violação decorre de incidente NIS2 → notificação paralela ao CNCS (prazos próprios);</w:t>
      </w:r>
    </w:p>
    <w:p>
      <w:pPr>
        <w:pStyle w:val="ListParagraph"/>
        <w:numPr>
          <w:ilvl w:val="0"/>
          <w:numId w:val="2"/>
        </w:numPr>
      </w:pPr>
      <w:r>
        <w:t xml:space="preserve">Se envolve dados bancários → comunicação ao Banco de Portugal (entidades supervisionadas);</w:t>
      </w:r>
    </w:p>
    <w:p>
      <w:pPr>
        <w:pStyle w:val="ListParagraph"/>
        <w:numPr>
          <w:ilvl w:val="0"/>
          <w:numId w:val="2"/>
        </w:numPr>
      </w:pPr>
      <w:r>
        <w:t xml:space="preserve">Se envolve saúde → articulação com ACSS/SPMS conforme aplicável;</w:t>
      </w:r>
    </w:p>
    <w:p>
      <w:pPr>
        <w:pStyle w:val="ListParagraph"/>
        <w:numPr>
          <w:ilvl w:val="0"/>
          <w:numId w:val="2"/>
        </w:numPr>
      </w:pPr>
      <w:r>
        <w:t xml:space="preserve">Se há suspeita de crime → denúncia à Polícia Judiciária / Ministério Público.</w:t>
      </w:r>
    </w:p>
    <w:p>
      <w:pPr>
        <w:pStyle w:val="Heading1"/>
      </w:pPr>
      <w:r>
        <w:t xml:space="preserve">9. Cooperação com CNPD</w:t>
      </w:r>
    </w:p>
    <w:p>
      <w:pPr>
        <w:spacing w:after="120"/>
      </w:pPr>
      <w:r>
        <w:t xml:space="preserve">Uma vez notificada a violação, [Nome da organização] deve:</w:t>
      </w:r>
    </w:p>
    <w:p>
      <w:pPr>
        <w:pStyle w:val="ListParagraph"/>
        <w:numPr>
          <w:ilvl w:val="0"/>
          <w:numId w:val="2"/>
        </w:numPr>
      </w:pPr>
      <w:r>
        <w:t xml:space="preserve">Responder prontamente a pedidos de esclarecimento (prazo fixado pela CNPD);</w:t>
      </w:r>
    </w:p>
    <w:p>
      <w:pPr>
        <w:pStyle w:val="ListParagraph"/>
        <w:numPr>
          <w:ilvl w:val="0"/>
          <w:numId w:val="2"/>
        </w:numPr>
      </w:pPr>
      <w:r>
        <w:t xml:space="preserve">Fornecer relatório técnico detalhado e cronologia documentada;</w:t>
      </w:r>
    </w:p>
    <w:p>
      <w:pPr>
        <w:pStyle w:val="ListParagraph"/>
        <w:numPr>
          <w:ilvl w:val="0"/>
          <w:numId w:val="2"/>
        </w:numPr>
      </w:pPr>
      <w:r>
        <w:t xml:space="preserve">Comunicar eventuais atualizações materiais à situação;</w:t>
      </w:r>
    </w:p>
    <w:p>
      <w:pPr>
        <w:pStyle w:val="ListParagraph"/>
        <w:numPr>
          <w:ilvl w:val="0"/>
          <w:numId w:val="2"/>
        </w:numPr>
      </w:pPr>
      <w:r>
        <w:t xml:space="preserve">Cumprir determinações impostas pela CNPD (medidas corretivas adicionais).</w:t>
      </w:r>
    </w:p>
    <w:p>
      <w:pPr>
        <w:pStyle w:val="Heading1"/>
      </w:pPr>
      <w:r>
        <w:t xml:space="preserve">10. Checklist rápida</w:t>
      </w:r>
    </w:p>
    <w:p>
      <w:pPr>
        <w:pStyle w:val="ListParagraph"/>
        <w:numPr>
          <w:ilvl w:val="0"/>
          <w:numId w:val="3"/>
        </w:numPr>
      </w:pPr>
      <w:r>
        <w:t xml:space="preserve">[ ] Violação qualificada (CIA + dados pessoais confirmados).</w:t>
      </w:r>
    </w:p>
    <w:p>
      <w:pPr>
        <w:pStyle w:val="ListParagraph"/>
        <w:numPr>
          <w:ilvl w:val="0"/>
          <w:numId w:val="3"/>
        </w:numPr>
      </w:pPr>
      <w:r>
        <w:t xml:space="preserve">[ ] Avaliação do risco documentada (fatores WP250).</w:t>
      </w:r>
    </w:p>
    <w:p>
      <w:pPr>
        <w:pStyle w:val="ListParagraph"/>
        <w:numPr>
          <w:ilvl w:val="0"/>
          <w:numId w:val="3"/>
        </w:numPr>
      </w:pPr>
      <w:r>
        <w:t xml:space="preserve">[ ] Decisão sobre art. 33.º tomada em ≤ 48h.</w:t>
      </w:r>
    </w:p>
    <w:p>
      <w:pPr>
        <w:pStyle w:val="ListParagraph"/>
        <w:numPr>
          <w:ilvl w:val="0"/>
          <w:numId w:val="3"/>
        </w:numPr>
      </w:pPr>
      <w:r>
        <w:t xml:space="preserve">[ ] Decisão sobre art. 34.º tomada com Jurídico.</w:t>
      </w:r>
    </w:p>
    <w:p>
      <w:pPr>
        <w:pStyle w:val="ListParagraph"/>
        <w:numPr>
          <w:ilvl w:val="0"/>
          <w:numId w:val="3"/>
        </w:numPr>
      </w:pPr>
      <w:r>
        <w:t xml:space="preserve">[ ] Notificação CNPD submetida em ≤ 72h (ou justificação de atraso documentada).</w:t>
      </w:r>
    </w:p>
    <w:p>
      <w:pPr>
        <w:pStyle w:val="ListParagraph"/>
        <w:numPr>
          <w:ilvl w:val="0"/>
          <w:numId w:val="3"/>
        </w:numPr>
      </w:pPr>
      <w:r>
        <w:t xml:space="preserve">[ ] Comunicação aos titulares elaborada e aprovada.</w:t>
      </w:r>
    </w:p>
    <w:p>
      <w:pPr>
        <w:pStyle w:val="ListParagraph"/>
        <w:numPr>
          <w:ilvl w:val="0"/>
          <w:numId w:val="3"/>
        </w:numPr>
      </w:pPr>
      <w:r>
        <w:t xml:space="preserve">[ ] Registo interno (art. 33.º n.º 5) criado.</w:t>
      </w:r>
    </w:p>
    <w:p>
      <w:pPr>
        <w:pStyle w:val="ListParagraph"/>
        <w:numPr>
          <w:ilvl w:val="0"/>
          <w:numId w:val="3"/>
        </w:numPr>
      </w:pPr>
      <w:r>
        <w:t xml:space="preserve">[ ] Articulação com CNCS/outras autoridades, se aplicável.</w:t>
      </w:r>
    </w:p>
    <w:p>
      <w:pPr>
        <w:pStyle w:val="ListParagraph"/>
        <w:numPr>
          <w:ilvl w:val="0"/>
          <w:numId w:val="3"/>
        </w:numPr>
      </w:pPr>
      <w:r>
        <w:t xml:space="preserve">[ ] Follow-up documental preservado.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Classificação: Confidencial</w:t>
    </w:r>
    <w:r>
      <w:rPr>
        <w:color w:val="666666"/>
        <w:sz w:val="18"/>
        <w:szCs w:val="18"/>
      </w:rPr>
      <w:t xml:space="preserve">	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color w:val="666666"/>
        <w:sz w:val="18"/>
        <w:szCs w:val="18"/>
      </w:rPr>
      <w:t xml:space="preserve">[Nome da organização] — Playbook — Violação de Dados Pessoais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2026-04-23T09:29:53.052Z</dcterms:created>
  <dcterms:modified xsi:type="dcterms:W3CDTF">2026-04-23T09:29:53.052Z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