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[Nome da organização]</w:t>
      </w:r>
    </w:p>
    <w:p>
      <w:pPr>
        <w:spacing w:after="400"/>
        <w:jc w:val="center"/>
      </w:pPr>
      <w:r>
        <w:rPr>
          <w:b/>
          <w:bCs/>
          <w:color w:val="2E75B6"/>
          <w:sz w:val="44"/>
          <w:szCs w:val="44"/>
        </w:rPr>
        <w:t xml:space="preserve">Procedimento — Classificação e Severidade de Incidentes</w:t>
      </w:r>
    </w:p>
    <w:p>
      <w:pPr>
        <w:spacing w:after="800"/>
        <w:jc w:val="center"/>
      </w:pPr>
      <w:r>
        <w:rPr>
          <w:i/>
          <w:iCs/>
          <w:color w:val="333333"/>
          <w:sz w:val="24"/>
          <w:szCs w:val="24"/>
        </w:rPr>
        <w:t xml:space="preserve">Matriz P1-P5, categorias e critérios de triagem</w:t>
      </w:r>
    </w:p>
    <w:p>
      <w:pPr>
        <w:spacing w:after="100"/>
        <w:jc w:val="center"/>
      </w:pPr>
      <w:r>
        <w:rPr>
          <w:sz w:val="22"/>
          <w:szCs w:val="22"/>
        </w:rPr>
        <w:t xml:space="preserve">Versão: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abril de 2026</w:t>
      </w:r>
    </w:p>
    <w:p>
      <w:pPr>
        <w:spacing w:after="600"/>
        <w:jc w:val="center"/>
      </w:pPr>
      <w:r>
        <w:rPr>
          <w:sz w:val="22"/>
          <w:szCs w:val="22"/>
        </w:rPr>
        <w:t xml:space="preserve">Classificação: Confidencial</w:t>
      </w:r>
    </w:p>
    <w:p>
      <w:r>
        <w:br w:type="page"/>
      </w:r>
    </w:p>
    <w:p>
      <w:pPr>
        <w:pStyle w:val="Heading2"/>
      </w:pPr>
      <w:r>
        <w:t xml:space="preserve">Controlo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30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Alterações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Aprovado por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abril de 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[Autor]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 inicial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[Aprovador]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Definir critérios uniformes e reproduzíveis de classificação de incidentes de cibersegurança em [Nome da organização], de modo a garantir resposta proporcional, prazos adequados e escalonamento consistente.</w:t>
      </w:r>
    </w:p>
    <w:p>
      <w:pPr>
        <w:pStyle w:val="Heading1"/>
      </w:pPr>
      <w:r>
        <w:t xml:space="preserve">2. Matriz de severidade</w:t>
      </w:r>
    </w:p>
    <w:p>
      <w:pPr>
        <w:spacing w:after="120"/>
      </w:pPr>
      <w:r>
        <w:t xml:space="preserve">A severidade é determinada pela combinação de três dimensões: impacto potencial, abrangência e urgência. A tabela seguinte serve de referência; em caso de dúvida, deve adotar-se a severidade mais elevada.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4000"/>
        <w:gridCol w:w="29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Nível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Designação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Exemplos típicos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Resposta esperada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Crítico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Ransomware com cifra em ambiente produtivo; paragem de serviço essencial; violação massiva de dados pessoais confirmada.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Imediata; CSIRT 24/7 mobilizado; Direção notificada de imediato; possível declaração de desastre/BCP.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Alto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Comprometimento confirmado de conta privilegiada; malware em múltiplos endpoints; DDoS com impacto operacional.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≤ 1h; CSIRT mobilizado; CISO notificado.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Médio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Phishing com credenciais comprometidas (&lt;10 utilizadores); malware contido em 1 endpoint; vulnerabilidade crítica explorada mas ainda sem impacto.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≤ 4h em horário laboral; analista de turno.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Baixo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Tentativa de phishing sem vítima confirmada; alerta de antivírus resolvido automaticamente; varrimento externo sem exploração.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≤ 1 dia útil; ticket normal.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Informativo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Evento anómalo sem impacto; falso positivo confirmado; reporte voluntário a investigar.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Registo para tendência; análise agregada.</w:t>
            </w:r>
          </w:p>
        </w:tc>
      </w:tr>
    </w:tbl>
    <w:p>
      <w:pPr>
        <w:pStyle w:val="Heading1"/>
      </w:pPr>
      <w:r>
        <w:t xml:space="preserve">3. Dimensões de avaliação</w:t>
      </w:r>
    </w:p>
    <w:p>
      <w:pPr>
        <w:pStyle w:val="Heading2"/>
      </w:pPr>
      <w:r>
        <w:t xml:space="preserve">3.1 Impacto potencial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Dimensão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Pergunta de triagem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Confidencialidade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Há evidência de acesso, exfiltração ou exposição de dados sensíveis, pessoais ou classificados?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Integridade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Há evidência de alteração, corrupção ou manipulação de dados ou sistemas?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Disponibilidade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Há paragem ou degradação de serviço essencial? Qual o MTD/RTO associado?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Compliance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 incidente aciona obrigação legal (NIS2, RGPD, setoriais)?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Reputacional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Existe exposição mediática potencial ou impacto sobre stakeholders externos?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Financeiro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Existe perda financeira direta (fraude, extorsão, lucro cessante)?</w:t>
            </w:r>
          </w:p>
        </w:tc>
      </w:tr>
    </w:tbl>
    <w:p>
      <w:pPr>
        <w:pStyle w:val="Heading2"/>
      </w:pPr>
      <w:r>
        <w:t xml:space="preserve">3.2 Abrangência</w:t>
      </w:r>
    </w:p>
    <w:p>
      <w:pPr>
        <w:pStyle w:val="ListParagraph"/>
        <w:numPr>
          <w:ilvl w:val="0"/>
          <w:numId w:val="2"/>
        </w:numPr>
      </w:pPr>
      <w:r>
        <w:t xml:space="preserve">Número de sistemas, serviços, utilizadores ou localizações afetadas;</w:t>
      </w:r>
    </w:p>
    <w:p>
      <w:pPr>
        <w:pStyle w:val="ListParagraph"/>
        <w:numPr>
          <w:ilvl w:val="0"/>
          <w:numId w:val="2"/>
        </w:numPr>
      </w:pPr>
      <w:r>
        <w:t xml:space="preserve">Presença em sistemas críticos (tier 0 — AD, PKI, backups) vs. tier 1-3;</w:t>
      </w:r>
    </w:p>
    <w:p>
      <w:pPr>
        <w:pStyle w:val="ListParagraph"/>
        <w:numPr>
          <w:ilvl w:val="0"/>
          <w:numId w:val="2"/>
        </w:numPr>
      </w:pPr>
      <w:r>
        <w:t xml:space="preserve">Propagação em curso (sim/não) e velocidade estimada.</w:t>
      </w:r>
    </w:p>
    <w:p>
      <w:pPr>
        <w:pStyle w:val="Heading2"/>
      </w:pPr>
      <w:r>
        <w:t xml:space="preserve">3.3 Urgência</w:t>
      </w:r>
    </w:p>
    <w:p>
      <w:pPr>
        <w:pStyle w:val="ListParagraph"/>
        <w:numPr>
          <w:ilvl w:val="0"/>
          <w:numId w:val="2"/>
        </w:numPr>
      </w:pPr>
      <w:r>
        <w:t xml:space="preserve">Dano em curso vs. dano potencial;</w:t>
      </w:r>
    </w:p>
    <w:p>
      <w:pPr>
        <w:pStyle w:val="ListParagraph"/>
        <w:numPr>
          <w:ilvl w:val="0"/>
          <w:numId w:val="2"/>
        </w:numPr>
      </w:pPr>
      <w:r>
        <w:t xml:space="preserve">Janela de deteção vs. janela de contenção;</w:t>
      </w:r>
    </w:p>
    <w:p>
      <w:pPr>
        <w:pStyle w:val="ListParagraph"/>
        <w:numPr>
          <w:ilvl w:val="0"/>
          <w:numId w:val="2"/>
        </w:numPr>
      </w:pPr>
      <w:r>
        <w:t xml:space="preserve">Impacto sobre MTD (Maximum Tolerable Downtime) das funções afetadas.</w:t>
      </w:r>
    </w:p>
    <w:p>
      <w:pPr>
        <w:pStyle w:val="Heading1"/>
      </w:pPr>
      <w:r>
        <w:t xml:space="preserve">4. Categorias de incidente</w:t>
      </w:r>
    </w:p>
    <w:p>
      <w:pPr>
        <w:spacing w:after="120"/>
      </w:pPr>
      <w:r>
        <w:t xml:space="preserve">Todo o incidente é classificado em pelo menos uma categoria principal para fins de análise de tendências e seleção do playbook adequado.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Categoria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Playbook aplicável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Phishing / engenharia social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Playbook — Phishing / Comprometimento de Credenciais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Malware / ransomware / wiper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Playbook — Ransomware (ou específico do malware)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Negação de serviço (DoS/DDoS)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Playbook específico DDoS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Comprometimento de conta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Playbook — Phishing / Comprometimento de Credenciais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Acesso não autorizado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Playbook — Intrusão interna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Violação de dados pessoais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Playbook — Violação de Dados Pessoais (RGPD)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Insider threat (malicioso ou negligente)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Playbook específico insider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Cadeia de fornecimento / fornecedor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Playbook — Incidente de supply chain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Perda/roubo de equipamento ou média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Playbook — Perda de ativos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Web defacement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Playbook — Ataque web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Fraude digital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Playbook — Fraude + Jurídico</w:t>
            </w:r>
          </w:p>
        </w:tc>
      </w:tr>
    </w:tbl>
    <w:p>
      <w:pPr>
        <w:pStyle w:val="Heading1"/>
      </w:pPr>
      <w:r>
        <w:t xml:space="preserve">5. Processo de triagem</w:t>
      </w:r>
    </w:p>
    <w:p>
      <w:pPr>
        <w:pStyle w:val="ListParagraph"/>
        <w:numPr>
          <w:ilvl w:val="0"/>
          <w:numId w:val="3"/>
        </w:numPr>
      </w:pPr>
      <w:r>
        <w:t xml:space="preserve">Receção — qualquer canal (helpdesk, SIEM, EDR, reporte de utilizador, parceiro externo, autoridade).</w:t>
      </w:r>
    </w:p>
    <w:p>
      <w:pPr>
        <w:pStyle w:val="ListParagraph"/>
        <w:numPr>
          <w:ilvl w:val="0"/>
          <w:numId w:val="3"/>
        </w:numPr>
      </w:pPr>
      <w:r>
        <w:t xml:space="preserve">Registo imediato — criar ticket/case no sistema de gestão de incidentes com identificador único.</w:t>
      </w:r>
    </w:p>
    <w:p>
      <w:pPr>
        <w:pStyle w:val="ListParagraph"/>
        <w:numPr>
          <w:ilvl w:val="0"/>
          <w:numId w:val="3"/>
        </w:numPr>
      </w:pPr>
      <w:r>
        <w:t xml:space="preserve">Triagem inicial (máx. 15 minutos) — atribuir categoria provisória, severidade provisória e analista responsável.</w:t>
      </w:r>
    </w:p>
    <w:p>
      <w:pPr>
        <w:pStyle w:val="ListParagraph"/>
        <w:numPr>
          <w:ilvl w:val="0"/>
          <w:numId w:val="3"/>
        </w:numPr>
      </w:pPr>
      <w:r>
        <w:t xml:space="preserve">Confirmação (máx. 1h) — analista valida categoria e severidade com evidência; aplica o playbook correspondente.</w:t>
      </w:r>
    </w:p>
    <w:p>
      <w:pPr>
        <w:pStyle w:val="ListParagraph"/>
        <w:numPr>
          <w:ilvl w:val="0"/>
          <w:numId w:val="3"/>
        </w:numPr>
      </w:pPr>
      <w:r>
        <w:t xml:space="preserve">Re-classificação — severidade é revista em cada update; elevar se nova evidência justificar.</w:t>
      </w:r>
    </w:p>
    <w:p>
      <w:pPr>
        <w:pStyle w:val="Heading1"/>
      </w:pPr>
      <w:r>
        <w:t xml:space="preserve">6. Prazos e escalonamento por severidade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Severidade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SLA de reconhecimento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SLA de contenção inicial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Escalonamento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Imediato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hora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CISO + Direção + Jurídico + DPO; potencial ativação BCP/DRP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 minutos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 horas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CISO + process owner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hora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dia útil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CSIRT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 horas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 dias úteis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Analista de turno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dia útil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Registo</w:t>
            </w:r>
          </w:p>
        </w:tc>
      </w:tr>
    </w:tbl>
    <w:p>
      <w:pPr>
        <w:pStyle w:val="Heading1"/>
      </w:pPr>
      <w:r>
        <w:t xml:space="preserve">7. Relação com obrigações regulatórias</w:t>
      </w:r>
    </w:p>
    <w:p>
      <w:pPr>
        <w:spacing w:after="120"/>
      </w:pPr>
      <w:r>
        <w:t xml:space="preserve">A classificação interna não substitui a avaliação regulatória específica, nomeadamente:</w:t>
      </w:r>
    </w:p>
    <w:p>
      <w:pPr>
        <w:pStyle w:val="ListParagraph"/>
        <w:numPr>
          <w:ilvl w:val="0"/>
          <w:numId w:val="2"/>
        </w:numPr>
      </w:pPr>
      <w:r/>
    </w:p>
    <w:p>
      <w:pPr>
        <w:pStyle w:val="ListParagraph"/>
        <w:numPr>
          <w:ilvl w:val="0"/>
          <w:numId w:val="2"/>
        </w:numPr>
      </w:pPr>
      <w:r/>
    </w:p>
    <w:p>
      <w:pPr>
        <w:pStyle w:val="ListParagraph"/>
        <w:numPr>
          <w:ilvl w:val="0"/>
          <w:numId w:val="2"/>
        </w:numPr>
      </w:pPr>
      <w:r/>
    </w:p>
    <w:p>
      <w:pPr>
        <w:pStyle w:val="Heading1"/>
      </w:pPr>
      <w:r>
        <w:t xml:space="preserve">8. Exemplos aplicados</w:t>
      </w:r>
    </w:p>
    <w:p>
      <w:pPr>
        <w:pStyle w:val="Heading3"/>
      </w:pPr>
      <w:r>
        <w:t xml:space="preserve">Exemplo A — Phishing com 3 utilizadores</w:t>
      </w:r>
    </w:p>
    <w:p>
      <w:pPr>
        <w:spacing w:after="120"/>
      </w:pPr>
      <w:r>
        <w:t xml:space="preserve">Três utilizadores introduziram credenciais num formulário falso. Sem evidência de acesso pós-comprometimento. Impacto: confidencialidade (potencial); abrangência: 3 contas; urgência: alta (janela de 24h para o atacante usar). → Classificação: P3.</w:t>
      </w:r>
    </w:p>
    <w:p>
      <w:pPr>
        <w:pStyle w:val="Heading3"/>
      </w:pPr>
      <w:r>
        <w:t xml:space="preserve">Exemplo B — Ransomware em servidor de ficheiros</w:t>
      </w:r>
    </w:p>
    <w:p>
      <w:pPr>
        <w:spacing w:after="120"/>
      </w:pPr>
      <w:r>
        <w:t xml:space="preserve">Ransomware cifrou partilhas num servidor departamental. Propagação contida. Sem dados pessoais sensíveis. → P2 (impacto operacional significativo, sem risco regulatório maior). Se houver dados pessoais → reavaliar para P1.</w:t>
      </w:r>
    </w:p>
    <w:p>
      <w:pPr>
        <w:pStyle w:val="Heading3"/>
      </w:pPr>
      <w:r>
        <w:t xml:space="preserve">Exemplo C — Credencial de administrador de domínio comprometida</w:t>
      </w:r>
    </w:p>
    <w:p>
      <w:pPr>
        <w:spacing w:after="120"/>
      </w:pPr>
      <w:r>
        <w:t xml:space="preserve">Credencial de Domain Admin detetada em dump público. Sem evidência de uso. → P1 automático (risco sistémico máximo; tier 0).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Classificação: Confidencial</w:t>
    </w:r>
    <w:r>
      <w:rPr>
        <w:color w:val="666666"/>
        <w:sz w:val="18"/>
        <w:szCs w:val="18"/>
      </w:rPr>
      <w:t xml:space="preserve">	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color w:val="666666"/>
        <w:sz w:val="18"/>
        <w:szCs w:val="18"/>
      </w:rPr>
      <w:t xml:space="preserve">[Nome da organização] — Classificação e Severidade de Incidentes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2026-04-23T09:29:52.858Z</dcterms:created>
  <dcterms:modified xsi:type="dcterms:W3CDTF">2026-04-23T09:29:52.858Z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