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Terms of Reference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Instrumento constitutivo de uma associação de CSIRTs (fórum, task force, coligação) — base legal para cooperação multi-team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Quando usar este template: </w:t>
      </w:r>
      <w:r>
        <w:t xml:space="preserve">para formalizar uma associação multi-team de CSIRTs (fórum setorial, task force regional, coligação temática). Para acordos bilaterais team-to-team, usar NDA ou MOU em lugar deste documento.</w:t>
      </w:r>
    </w:p>
    <w:p>
      <w:pPr>
        <w:pStyle w:val="Heading1"/>
      </w:pPr>
      <w:r>
        <w:t xml:space="preserve">1. Contexto e enquadramento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Breve contexto que justifica a criação da associação. O que motiva? Que lacuna preenche?</w:t>
      </w:r>
    </w:p>
    <w:p>
      <w:pPr>
        <w:spacing w:after="120"/>
      </w:pPr>
      <w:r>
        <w:t xml:space="preserve">[Descrição do contexto — ex.: «Entre 2024 e 2026, incidentes em municípios portugueses cresceram 300%. Os CSIRTs municipais existentes operam isolados, sem partilha sistemática de IOCs. Esta associação visa fechar essa lacuna.»]</w:t>
      </w:r>
    </w:p>
    <w:p>
      <w:pPr>
        <w:pStyle w:val="Heading1"/>
      </w:pPr>
      <w:r>
        <w:t xml:space="preserve">2. Visão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Estado futuro desejado, em 1 frase aspiracional.</w:t>
      </w:r>
    </w:p>
    <w:p>
      <w:pPr>
        <w:spacing w:after="120"/>
      </w:pPr>
      <w:r>
        <w:t xml:space="preserve">[Ex.: «Uma rede de CSIRTs municipais que partilham inteligência em tempo real, respondem coordenadamente a campanhas de ameaça, e elevam conjuntamente a maturidade de cibersegurança da administração local portuguesa.»]</w:t>
      </w:r>
    </w:p>
    <w:p>
      <w:pPr>
        <w:pStyle w:val="Heading1"/>
      </w:pPr>
      <w:r>
        <w:t xml:space="preserve">3. Missão e objetivos</w:t>
      </w:r>
    </w:p>
    <w:p>
      <w:pPr>
        <w:pStyle w:val="Heading2"/>
      </w:pPr>
      <w:r>
        <w:t xml:space="preserve">3.1 Missão</w:t>
      </w:r>
    </w:p>
    <w:p>
      <w:pPr>
        <w:spacing w:after="120"/>
      </w:pPr>
      <w:r>
        <w:t xml:space="preserve">[Ex.: «Coordenar a resposta a incidentes, partilhar inteligência e desenvolver capacidade coletiva entre os CSIRTs municipais portugueses.»]</w:t>
      </w:r>
    </w:p>
    <w:p>
      <w:pPr>
        <w:pStyle w:val="Heading2"/>
      </w:pPr>
      <w:r>
        <w:t xml:space="preserve">3.2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[Ex.: Estabelecer canais seguros de partilha de IOCs em &lt; 1h entre membros;]</w:t>
      </w:r>
    </w:p>
    <w:p>
      <w:pPr>
        <w:pStyle w:val="ListParagraph"/>
        <w:numPr>
          <w:ilvl w:val="0"/>
          <w:numId w:val="2"/>
        </w:numPr>
      </w:pPr>
      <w:r>
        <w:t xml:space="preserve">[Ex.: Realizar ≥ 2 exercícios tabletop conjuntos por ano;]</w:t>
      </w:r>
    </w:p>
    <w:p>
      <w:pPr>
        <w:pStyle w:val="ListParagraph"/>
        <w:numPr>
          <w:ilvl w:val="0"/>
          <w:numId w:val="2"/>
        </w:numPr>
      </w:pPr>
      <w:r>
        <w:t xml:space="preserve">[Ex.: Publicar relatório anual de ameaças relevantes ao setor municipal;]</w:t>
      </w:r>
    </w:p>
    <w:p>
      <w:pPr>
        <w:pStyle w:val="ListParagraph"/>
        <w:numPr>
          <w:ilvl w:val="0"/>
          <w:numId w:val="2"/>
        </w:numPr>
      </w:pPr>
      <w:r>
        <w:t xml:space="preserve">[Ex.: Facilitar adesão dos membros à FIRST e à TF-CSIRT;]</w:t>
      </w:r>
    </w:p>
    <w:p>
      <w:pPr>
        <w:pStyle w:val="ListParagraph"/>
        <w:numPr>
          <w:ilvl w:val="0"/>
          <w:numId w:val="2"/>
        </w:numPr>
      </w:pPr>
      <w:r>
        <w:t xml:space="preserve">[Ex.: Desenvolver playbooks comuns para incidentes típicos do setor.]</w:t>
      </w:r>
    </w:p>
    <w:p>
      <w:pPr>
        <w:pStyle w:val="Heading1"/>
      </w:pPr>
      <w:r>
        <w:t xml:space="preserve">4. Âmbito e abrangência</w:t>
      </w:r>
    </w:p>
    <w:p>
      <w:pPr>
        <w:pStyle w:val="Heading2"/>
      </w:pPr>
      <w:r>
        <w:t xml:space="preserve">4.1 Âmbito</w:t>
      </w:r>
    </w:p>
    <w:p>
      <w:pPr>
        <w:pStyle w:val="ListParagraph"/>
        <w:numPr>
          <w:ilvl w:val="0"/>
          <w:numId w:val="3"/>
        </w:numPr>
      </w:pPr>
      <w:r>
        <w:t xml:space="preserve">Cooperação operacional em incidentes;</w:t>
      </w:r>
    </w:p>
    <w:p>
      <w:pPr>
        <w:pStyle w:val="ListParagraph"/>
        <w:numPr>
          <w:ilvl w:val="0"/>
          <w:numId w:val="3"/>
        </w:numPr>
      </w:pPr>
      <w:r>
        <w:t xml:space="preserve">Partilha de threat intelligence;</w:t>
      </w:r>
    </w:p>
    <w:p>
      <w:pPr>
        <w:pStyle w:val="ListParagraph"/>
        <w:numPr>
          <w:ilvl w:val="0"/>
          <w:numId w:val="3"/>
        </w:numPr>
      </w:pPr>
      <w:r>
        <w:t xml:space="preserve">Desenvolvimento de capacidades (formação, exercícios);</w:t>
      </w:r>
    </w:p>
    <w:p>
      <w:pPr>
        <w:pStyle w:val="ListParagraph"/>
        <w:numPr>
          <w:ilvl w:val="0"/>
          <w:numId w:val="3"/>
        </w:numPr>
      </w:pPr>
      <w:r>
        <w:t xml:space="preserve">Representação coletiva perante autoridades (CNCS, reguladores).</w:t>
      </w:r>
    </w:p>
    <w:p>
      <w:pPr>
        <w:pStyle w:val="Heading2"/>
      </w:pPr>
      <w:r>
        <w:t xml:space="preserve">4.2 Fora do âmbito</w:t>
      </w:r>
    </w:p>
    <w:p>
      <w:pPr>
        <w:pStyle w:val="ListParagraph"/>
        <w:numPr>
          <w:ilvl w:val="0"/>
          <w:numId w:val="3"/>
        </w:numPr>
      </w:pPr>
      <w:r>
        <w:t xml:space="preserve">[Ex.: Negociação de contratos comerciais em nome dos membros;]</w:t>
      </w:r>
    </w:p>
    <w:p>
      <w:pPr>
        <w:pStyle w:val="ListParagraph"/>
        <w:numPr>
          <w:ilvl w:val="0"/>
          <w:numId w:val="3"/>
        </w:numPr>
      </w:pPr>
      <w:r>
        <w:t xml:space="preserve">[Ex.: Ação de marketing conjunta.]</w:t>
      </w:r>
    </w:p>
    <w:p>
      <w:pPr>
        <w:pStyle w:val="Heading1"/>
      </w:pPr>
      <w:r>
        <w:t xml:space="preserve">5. Stakeholders e constituinte</w:t>
      </w:r>
    </w:p>
    <w:p>
      <w:pPr>
        <w:pStyle w:val="Heading2"/>
      </w:pPr>
      <w:r>
        <w:t xml:space="preserve">5.1 Constituinte primária</w:t>
      </w:r>
    </w:p>
    <w:p>
      <w:pPr>
        <w:spacing w:after="120"/>
      </w:pPr>
      <w:r>
        <w:t xml:space="preserve">[Descrever que tipo de CSIRT pode ser membro. Ex.: CSIRTs de municípios portugueses, independentemente da dimensão.]</w:t>
      </w:r>
    </w:p>
    <w:p>
      <w:pPr>
        <w:pStyle w:val="Heading2"/>
      </w:pPr>
      <w:r>
        <w:t xml:space="preserve">5.2 Stakeholders externos</w:t>
      </w:r>
    </w:p>
    <w:p>
      <w:pPr>
        <w:pStyle w:val="ListParagraph"/>
        <w:numPr>
          <w:ilvl w:val="0"/>
          <w:numId w:val="3"/>
        </w:numPr>
      </w:pPr>
      <w:r>
        <w:t xml:space="preserve">Centro Nacional de Cibersegurança (CNCS) — coordenação nacional;</w:t>
      </w:r>
    </w:p>
    <w:p>
      <w:pPr>
        <w:pStyle w:val="ListParagraph"/>
        <w:numPr>
          <w:ilvl w:val="0"/>
          <w:numId w:val="3"/>
        </w:numPr>
      </w:pPr>
      <w:r>
        <w:t xml:space="preserve">Associação Nacional de Municípios Portugueses (ANMP);</w:t>
      </w:r>
    </w:p>
    <w:p>
      <w:pPr>
        <w:pStyle w:val="ListParagraph"/>
        <w:numPr>
          <w:ilvl w:val="0"/>
          <w:numId w:val="3"/>
        </w:numPr>
      </w:pPr>
      <w:r>
        <w:t xml:space="preserve">Direção-Geral das Autarquias Locais (DGAL);</w:t>
      </w:r>
    </w:p>
    <w:p>
      <w:pPr>
        <w:pStyle w:val="ListParagraph"/>
        <w:numPr>
          <w:ilvl w:val="0"/>
          <w:numId w:val="3"/>
        </w:numPr>
      </w:pPr>
      <w:r>
        <w:t xml:space="preserve">Reguladores setoriais, quando aplicável;</w:t>
      </w:r>
    </w:p>
    <w:p>
      <w:pPr>
        <w:pStyle w:val="ListParagraph"/>
        <w:numPr>
          <w:ilvl w:val="0"/>
          <w:numId w:val="3"/>
        </w:numPr>
      </w:pPr>
      <w:r>
        <w:t xml:space="preserve">FIRST e TF-CSIRT — referências internacionais.</w:t>
      </w:r>
    </w:p>
    <w:p>
      <w:pPr>
        <w:pStyle w:val="Heading1"/>
      </w:pPr>
      <w:r>
        <w:t xml:space="preserve">6. Estrutura organizacional</w:t>
      </w:r>
    </w:p>
    <w:p>
      <w:pPr>
        <w:pStyle w:val="Heading2"/>
      </w:pPr>
      <w:r>
        <w:t xml:space="preserve">6.1 Steering Committee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Órgão máximo de decisão estratégica. Composição típica: representantes dos membros fundadores, mandato de 2 anos renovável.</w:t>
      </w:r>
    </w:p>
    <w:p>
      <w:pPr>
        <w:pStyle w:val="ListParagraph"/>
        <w:numPr>
          <w:ilvl w:val="0"/>
          <w:numId w:val="3"/>
        </w:numPr>
      </w:pPr>
      <w:r>
        <w:t xml:space="preserve">Composição: [ex.: 5 membros eleitos entre os CSIRTs fundadores]</w:t>
      </w:r>
    </w:p>
    <w:p>
      <w:pPr>
        <w:pStyle w:val="ListParagraph"/>
        <w:numPr>
          <w:ilvl w:val="0"/>
          <w:numId w:val="3"/>
        </w:numPr>
      </w:pPr>
      <w:r>
        <w:t xml:space="preserve">Mandato: [ex.: 2 anos, renovável uma vez]</w:t>
      </w:r>
    </w:p>
    <w:p>
      <w:pPr>
        <w:pStyle w:val="ListParagraph"/>
        <w:numPr>
          <w:ilvl w:val="0"/>
          <w:numId w:val="3"/>
        </w:numPr>
      </w:pPr>
      <w:r>
        <w:t xml:space="preserve">Competência: estratégia, orçamento, aprovação de planos anuais, admissão/saída de membros</w:t>
      </w:r>
    </w:p>
    <w:p>
      <w:pPr>
        <w:pStyle w:val="Heading2"/>
      </w:pPr>
      <w:r>
        <w:t xml:space="preserve">6.2 Working 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Working Group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Missão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Coordenador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Threat Intel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Partilha de IOCs, alertas, análise conjunta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Exercises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Planeamento e execução de exercícios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Playbooks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Desenvolvimento de playbooks comuns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Capacitação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Formação, mentoria de CSIRTs menos maduros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[Nome]</w:t>
            </w:r>
          </w:p>
        </w:tc>
      </w:tr>
    </w:tbl>
    <w:p>
      <w:pPr>
        <w:pStyle w:val="Heading2"/>
      </w:pPr>
      <w:r>
        <w:t xml:space="preserve">6.3 Secretariado</w:t>
      </w:r>
    </w:p>
    <w:p>
      <w:pPr>
        <w:spacing w:after="120"/>
      </w:pPr>
      <w:r>
        <w:t xml:space="preserve">Função de apoio operacional à associação — comunicações, logística de reuniões, gestão documental. Pode ser rotativo entre membros ou delegado a uma entidade externa.</w:t>
      </w:r>
    </w:p>
    <w:p>
      <w:pPr>
        <w:pStyle w:val="Heading1"/>
      </w:pPr>
      <w:r>
        <w:t xml:space="preserve">7. Papéis e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Papel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Responsabilidade principal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Presidente do Steering Committee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Representação externa; liderança das reuniões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Vice-presidente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Substitui o presidente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Tesoureiro / Responsável financeiro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Gestão orçamental (se houver)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Coordenador de WG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Liderança operacional do grupo de trabalho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Membros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Participação ativa; cumprimento das obrigações de partilha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Secretariado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Apoio administrativo</w:t>
            </w:r>
          </w:p>
        </w:tc>
      </w:tr>
    </w:tbl>
    <w:p>
      <w:pPr>
        <w:pStyle w:val="Heading1"/>
      </w:pPr>
      <w:r>
        <w:t xml:space="preserve">8. Processo de decisão</w:t>
      </w:r>
    </w:p>
    <w:p>
      <w:pPr>
        <w:pStyle w:val="ListParagraph"/>
        <w:numPr>
          <w:ilvl w:val="0"/>
          <w:numId w:val="3"/>
        </w:numPr>
      </w:pPr>
      <w:r>
        <w:t xml:space="preserve">Decisões estratégicas: maioria qualificada (2/3 dos membros do Steering Committee);</w:t>
      </w:r>
    </w:p>
    <w:p>
      <w:pPr>
        <w:pStyle w:val="ListParagraph"/>
        <w:numPr>
          <w:ilvl w:val="0"/>
          <w:numId w:val="3"/>
        </w:numPr>
      </w:pPr>
      <w:r>
        <w:t xml:space="preserve">Decisões operacionais: consenso nos WGs, por decisão do coordenador em caso de impasse;</w:t>
      </w:r>
    </w:p>
    <w:p>
      <w:pPr>
        <w:pStyle w:val="ListParagraph"/>
        <w:numPr>
          <w:ilvl w:val="0"/>
          <w:numId w:val="3"/>
        </w:numPr>
      </w:pPr>
      <w:r>
        <w:t xml:space="preserve">Admissão de novos membros: aprovação unânime do Steering Committee;</w:t>
      </w:r>
    </w:p>
    <w:p>
      <w:pPr>
        <w:pStyle w:val="ListParagraph"/>
        <w:numPr>
          <w:ilvl w:val="0"/>
          <w:numId w:val="3"/>
        </w:numPr>
      </w:pPr>
      <w:r>
        <w:t xml:space="preserve">Exclusão de membro: maioria qualificada com direito a audição.</w:t>
      </w:r>
    </w:p>
    <w:p>
      <w:pPr>
        <w:pStyle w:val="Heading1"/>
      </w:pPr>
      <w:r>
        <w:t xml:space="preserve">9. Membership</w:t>
      </w:r>
    </w:p>
    <w:p>
      <w:pPr>
        <w:pStyle w:val="Heading2"/>
      </w:pPr>
      <w:r>
        <w:t xml:space="preserve">9.1 Critérios de admissão</w:t>
      </w:r>
    </w:p>
    <w:p>
      <w:pPr>
        <w:pStyle w:val="ListParagraph"/>
        <w:numPr>
          <w:ilvl w:val="0"/>
          <w:numId w:val="2"/>
        </w:numPr>
      </w:pPr>
      <w:r>
        <w:t xml:space="preserve">Existência formal do CSIRT (Charter aprovado);</w:t>
      </w:r>
    </w:p>
    <w:p>
      <w:pPr>
        <w:pStyle w:val="ListParagraph"/>
        <w:numPr>
          <w:ilvl w:val="0"/>
          <w:numId w:val="2"/>
        </w:numPr>
      </w:pPr>
      <w:r>
        <w:t xml:space="preserve">RFC 2350 publicado;</w:t>
      </w:r>
    </w:p>
    <w:p>
      <w:pPr>
        <w:pStyle w:val="ListParagraph"/>
        <w:numPr>
          <w:ilvl w:val="0"/>
          <w:numId w:val="2"/>
        </w:numPr>
      </w:pPr>
      <w:r>
        <w:t xml:space="preserve">Compromisso com partilha de informação sob TLP;</w:t>
      </w:r>
    </w:p>
    <w:p>
      <w:pPr>
        <w:pStyle w:val="ListParagraph"/>
        <w:numPr>
          <w:ilvl w:val="0"/>
          <w:numId w:val="2"/>
        </w:numPr>
      </w:pPr>
      <w:r>
        <w:t xml:space="preserve">Aceitação dos presentes Terms of Reference.</w:t>
      </w:r>
    </w:p>
    <w:p>
      <w:pPr>
        <w:pStyle w:val="Heading2"/>
      </w:pPr>
      <w:r>
        <w:t xml:space="preserve">9.2 Tipos de membro</w:t>
      </w:r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ListParagraph"/>
        <w:numPr>
          <w:ilvl w:val="0"/>
          <w:numId w:val="3"/>
        </w:numPr>
      </w:pPr>
      <w:r/>
    </w:p>
    <w:p>
      <w:pPr>
        <w:pStyle w:val="Heading2"/>
      </w:pPr>
      <w:r>
        <w:t xml:space="preserve">9.3 Obrigações dos membros</w:t>
      </w:r>
    </w:p>
    <w:p>
      <w:pPr>
        <w:pStyle w:val="ListParagraph"/>
        <w:numPr>
          <w:ilvl w:val="0"/>
          <w:numId w:val="3"/>
        </w:numPr>
      </w:pPr>
      <w:r>
        <w:t xml:space="preserve">Partilha reciproca de IOCs relevantes;</w:t>
      </w:r>
    </w:p>
    <w:p>
      <w:pPr>
        <w:pStyle w:val="ListParagraph"/>
        <w:numPr>
          <w:ilvl w:val="0"/>
          <w:numId w:val="3"/>
        </w:numPr>
      </w:pPr>
      <w:r>
        <w:t xml:space="preserve">Participação em pelo menos 50% das reuniões anuais;</w:t>
      </w:r>
    </w:p>
    <w:p>
      <w:pPr>
        <w:pStyle w:val="ListParagraph"/>
        <w:numPr>
          <w:ilvl w:val="0"/>
          <w:numId w:val="3"/>
        </w:numPr>
      </w:pPr>
      <w:r>
        <w:t xml:space="preserve">Contribuição para pelo menos 1 WG;</w:t>
      </w:r>
    </w:p>
    <w:p>
      <w:pPr>
        <w:pStyle w:val="ListParagraph"/>
        <w:numPr>
          <w:ilvl w:val="0"/>
          <w:numId w:val="3"/>
        </w:numPr>
      </w:pPr>
      <w:r>
        <w:t xml:space="preserve">Respeito pelo código de conduta e pelo TLP.</w:t>
      </w:r>
    </w:p>
    <w:p>
      <w:pPr>
        <w:pStyle w:val="Heading1"/>
      </w:pPr>
      <w:r>
        <w:t xml:space="preserve">10. Partilha de informação — Traffic Light Protocol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Tratamento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TLP:RED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Não partilhável. Divulgação apenas aos destinatários específicos.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TLP:AMBER+STRICT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Partilhável dentro da organização dos destinatários e parceiros que necessitam de saber, sob NDA.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TLP:AMBER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Partilhável dentro da organização dos destinatários e parceiros que necessitam de saber.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TLP:GREEN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Partilhável com a comunidade de cibersegurança, mas não publicamente.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TLP:CLEAR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Partilha pública sem restrições.</w:t>
            </w:r>
          </w:p>
        </w:tc>
      </w:tr>
    </w:tbl>
    <w:p>
      <w:pPr>
        <w:spacing w:after="120"/>
      </w:pPr>
      <w:r>
        <w:t xml:space="preserve">Referência: FIRST TLP 2.0 — https://www.first.org/tlp/</w:t>
      </w:r>
    </w:p>
    <w:p>
      <w:pPr>
        <w:pStyle w:val="Heading1"/>
      </w:pPr>
      <w:r>
        <w:t xml:space="preserve">11. Recursos e financiamento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Descrever como a associação se sustenta — quotas, contribuições in-kind, financiamento público.</w:t>
      </w:r>
    </w:p>
    <w:p>
      <w:pPr>
        <w:pStyle w:val="ListParagraph"/>
        <w:numPr>
          <w:ilvl w:val="0"/>
          <w:numId w:val="3"/>
        </w:numPr>
      </w:pPr>
      <w:r>
        <w:t xml:space="preserve">Quotas anuais: [valor / isento]</w:t>
      </w:r>
    </w:p>
    <w:p>
      <w:pPr>
        <w:pStyle w:val="ListParagraph"/>
        <w:numPr>
          <w:ilvl w:val="0"/>
          <w:numId w:val="3"/>
        </w:numPr>
      </w:pPr>
      <w:r>
        <w:t xml:space="preserve">Contribuições in-kind dos membros (tempo, infraestrutura);</w:t>
      </w:r>
    </w:p>
    <w:p>
      <w:pPr>
        <w:pStyle w:val="ListParagraph"/>
        <w:numPr>
          <w:ilvl w:val="0"/>
          <w:numId w:val="3"/>
        </w:numPr>
      </w:pPr>
      <w:r>
        <w:t xml:space="preserve">Financiamento público ou setorial (se aplicável);</w:t>
      </w:r>
    </w:p>
    <w:p>
      <w:pPr>
        <w:pStyle w:val="ListParagraph"/>
        <w:numPr>
          <w:ilvl w:val="0"/>
          <w:numId w:val="3"/>
        </w:numPr>
      </w:pPr>
      <w:r>
        <w:t xml:space="preserve">Ferramentas partilhadas: [ex.: instância MISP, servidor de mailing list].</w:t>
      </w:r>
    </w:p>
    <w:p>
      <w:pPr>
        <w:pStyle w:val="Heading1"/>
      </w:pPr>
      <w:r>
        <w:t xml:space="preserve">12. Plano de atividades anual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Atividade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Frequência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Responsável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Reunião Steering Committee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Trimestral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Presidente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Reunião geral de membros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Semestral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Presidente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Exercício tabletop conjunto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Anual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Exercises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Exercício técnico (red/purple team)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Bianual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Exercises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Relatório anual de ameaças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Anual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Threat Intel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Sessão de formação para membros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Semestral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WG Capacitação</w:t>
            </w:r>
          </w:p>
        </w:tc>
      </w:tr>
    </w:tbl>
    <w:p>
      <w:pPr>
        <w:pStyle w:val="Heading1"/>
      </w:pPr>
      <w:r>
        <w:t xml:space="preserve">13. Revisão dos Terms of Reference</w:t>
      </w:r>
    </w:p>
    <w:p>
      <w:pPr>
        <w:spacing w:after="120"/>
      </w:pPr>
      <w:r>
        <w:t xml:space="preserve">Estes Terms of Reference são revistos anualmente pelo Steering Committee, e sempre que se verifique:</w:t>
      </w:r>
    </w:p>
    <w:p>
      <w:pPr>
        <w:pStyle w:val="ListParagraph"/>
        <w:numPr>
          <w:ilvl w:val="0"/>
          <w:numId w:val="3"/>
        </w:numPr>
      </w:pPr>
      <w:r>
        <w:t xml:space="preserve">Alteração regulatória relevante (NIS2, DORA, etc.);</w:t>
      </w:r>
    </w:p>
    <w:p>
      <w:pPr>
        <w:pStyle w:val="ListParagraph"/>
        <w:numPr>
          <w:ilvl w:val="0"/>
          <w:numId w:val="3"/>
        </w:numPr>
      </w:pPr>
      <w:r>
        <w:t xml:space="preserve">Mudança significativa na composição da associação;</w:t>
      </w:r>
    </w:p>
    <w:p>
      <w:pPr>
        <w:pStyle w:val="ListParagraph"/>
        <w:numPr>
          <w:ilvl w:val="0"/>
          <w:numId w:val="3"/>
        </w:numPr>
      </w:pPr>
      <w:r>
        <w:t xml:space="preserve">Desvio prolongado dos objetivos aprovados.</w:t>
      </w:r>
    </w:p>
    <w:p>
      <w:pPr>
        <w:spacing w:after="120"/>
      </w:pPr>
      <w:r>
        <w:t xml:space="preserve">Alterações materiais requerem aprovação por maioria qualificada (2/3 dos membros).</w:t>
      </w:r>
    </w:p>
    <w:p>
      <w:pPr>
        <w:pStyle w:val="Heading1"/>
      </w:pPr>
      <w:r>
        <w:t xml:space="preserve">14. Disposições finais</w:t>
      </w:r>
    </w:p>
    <w:p>
      <w:pPr>
        <w:pStyle w:val="ListParagraph"/>
        <w:numPr>
          <w:ilvl w:val="0"/>
          <w:numId w:val="3"/>
        </w:numPr>
      </w:pPr>
      <w:r>
        <w:t xml:space="preserve">Os presentes Terms of Reference entram em vigor na data de aprovação pelos membros fundadores;</w:t>
      </w:r>
    </w:p>
    <w:p>
      <w:pPr>
        <w:pStyle w:val="ListParagraph"/>
        <w:numPr>
          <w:ilvl w:val="0"/>
          <w:numId w:val="3"/>
        </w:numPr>
      </w:pPr>
      <w:r>
        <w:t xml:space="preserve">Em caso de dissolução, os recursos partilhados são distribuídos conforme deliberação do Steering Committee;</w:t>
      </w:r>
    </w:p>
    <w:p>
      <w:pPr>
        <w:pStyle w:val="ListParagraph"/>
        <w:numPr>
          <w:ilvl w:val="0"/>
          <w:numId w:val="3"/>
        </w:numPr>
      </w:pPr>
      <w:r>
        <w:t xml:space="preserve">Litígios são resolvidos por mediação entre membros, recorrendo a foro judicial apenas em última instância.</w:t>
      </w:r>
    </w:p>
    <w:p>
      <w:pPr>
        <w:pStyle w:val="Heading1"/>
      </w:pPr>
      <w:r>
        <w:t xml:space="preserve">15. Assinaturas — membros fundadores</w:t>
      </w:r>
    </w:p>
    <w:p>
      <w:pPr>
        <w:spacing w:after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Organização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Representante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Cargo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Assinatura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Terms of Reference — Associação CSIRT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2026-04-23T15:56:29.737Z</dcterms:created>
  <dcterms:modified xsi:type="dcterms:W3CDTF">2026-04-23T15:56:29.737Z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