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header5.xml" ContentType="application/vnd.openxmlformats-officedocument.wordprocessingml.header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customXml/itemProps1.xml" ContentType="application/vnd.openxmlformats-officedocument.customXmlProperties+xml"/>
  <Override PartName="/customXml/itemProps2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pBdr/>
        <w:spacing w:before="120" w:after="120"/>
        <w:jc w:val="center"/>
        <w:rPr>
          <w:rFonts w:eastAsia="Liberation Serif" w:cs="Liberation Serif"/>
          <w:b/>
          <w:bCs/>
          <w:color w:val="000000"/>
          <w:sz w:val="28"/>
          <w:szCs w:val="28"/>
        </w:rPr>
      </w:pPr>
      <w:r>
        <w:rPr>
          <w:rFonts w:eastAsia="Liberation Serif" w:cs="Liberation Serif"/>
          <w:b/>
          <w:bCs/>
          <w:color w:val="000000"/>
          <w:sz w:val="28"/>
          <w:szCs w:val="28"/>
        </w:rPr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 w:val="28"/>
          <w:szCs w:val="28"/>
        </w:rPr>
      </w:pPr>
      <w:r>
        <w:rPr>
          <w:rFonts w:eastAsia="Liberation Serif" w:cs="Liberation Serif"/>
          <w:b/>
          <w:bCs/>
          <w:color w:val="000000"/>
          <w:sz w:val="28"/>
          <w:szCs w:val="28"/>
        </w:rPr>
        <w:t>Fábrica de Software Acadêmica</w:t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</w:r>
    </w:p>
    <w:p>
      <w:pPr>
        <w:pStyle w:val="Normal"/>
        <w:pBdr/>
        <w:spacing w:before="120" w:after="12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</w:r>
    </w:p>
    <w:p>
      <w:pPr>
        <w:pStyle w:val="Normal"/>
        <w:pBdr/>
        <w:spacing w:before="240" w:after="240"/>
        <w:ind w:hanging="0"/>
        <w:jc w:val="center"/>
        <w:rPr>
          <w:rFonts w:eastAsia="Liberation Serif" w:cs="Liberation Serif"/>
          <w:b/>
          <w:bCs/>
          <w:color w:val="000000"/>
          <w:sz w:val="38"/>
          <w:szCs w:val="38"/>
        </w:rPr>
      </w:pPr>
      <w:r>
        <w:rPr>
          <w:rFonts w:eastAsia="Liberation Serif" w:cs="Liberation Serif"/>
          <w:b/>
          <w:bCs/>
          <w:color w:val="000000"/>
          <w:sz w:val="38"/>
          <w:szCs w:val="38"/>
        </w:rPr>
        <w:t>Especificação dos Requisitos do Software</w:t>
      </w:r>
    </w:p>
    <w:p>
      <w:pPr>
        <w:pStyle w:val="Normal"/>
        <w:pBdr/>
        <w:spacing w:before="240" w:after="240"/>
        <w:ind w:hanging="0"/>
        <w:jc w:val="center"/>
        <w:rPr>
          <w:rFonts w:eastAsia="Liberation Serif" w:cs="Liberation Serif"/>
          <w:b/>
          <w:bCs/>
          <w:color w:val="000000"/>
          <w:sz w:val="38"/>
          <w:szCs w:val="38"/>
        </w:rPr>
      </w:pPr>
      <w:r>
        <w:rPr>
          <w:rFonts w:eastAsia="Liberation Serif" w:cs="Liberation Serif"/>
          <w:b/>
          <w:bCs/>
          <w:sz w:val="38"/>
          <w:szCs w:val="38"/>
        </w:rPr>
        <w:t xml:space="preserve">Gerenciamento de Agronegócio Digital e Organizado (GADO) </w:t>
      </w:r>
      <w:r>
        <w:rPr>
          <w:rFonts w:eastAsia="Liberation Serif" w:cs="Liberation Serif"/>
          <w:b/>
          <w:bCs/>
          <w:color w:val="000000"/>
          <w:sz w:val="38"/>
          <w:szCs w:val="38"/>
        </w:rPr>
        <w:t xml:space="preserve">– </w:t>
      </w:r>
      <w:r>
        <w:rPr>
          <w:b/>
          <w:bCs/>
          <w:sz w:val="44"/>
          <w:szCs w:val="44"/>
        </w:rPr>
        <w:t>Sistema de ERP para o Agronegócio</w:t>
      </w:r>
    </w:p>
    <w:p>
      <w:pPr>
        <w:pStyle w:val="Normal"/>
        <w:pBdr/>
        <w:spacing w:before="240" w:after="240"/>
        <w:jc w:val="center"/>
        <w:rPr>
          <w:rFonts w:eastAsia="Liberation Serif" w:cs="Liberation Serif"/>
          <w:b/>
          <w:bCs/>
          <w:color w:val="000000"/>
          <w:sz w:val="26"/>
          <w:szCs w:val="26"/>
        </w:rPr>
      </w:pPr>
      <w:r>
        <w:rPr>
          <w:rFonts w:eastAsia="Liberation Serif" w:cs="Liberation Serif"/>
          <w:b/>
          <w:bCs/>
          <w:color w:val="000000"/>
          <w:sz w:val="26"/>
          <w:szCs w:val="26"/>
        </w:rPr>
        <w:t xml:space="preserve"> </w:t>
      </w:r>
    </w:p>
    <w:p>
      <w:pPr>
        <w:pStyle w:val="Normal"/>
        <w:pBdr/>
        <w:spacing w:before="720" w:after="0"/>
        <w:jc w:val="center"/>
        <w:rPr>
          <w:rFonts w:eastAsia="Liberation Serif" w:cs="Liberation Serif"/>
          <w:b/>
          <w:bCs/>
          <w:color w:val="000000"/>
          <w:sz w:val="28"/>
          <w:szCs w:val="28"/>
        </w:rPr>
      </w:pPr>
      <w:r>
        <w:rPr>
          <w:rFonts w:eastAsia="Liberation Serif" w:cs="Liberation Serif"/>
          <w:b/>
          <w:bCs/>
          <w:color w:val="000000"/>
          <w:sz w:val="28"/>
          <w:szCs w:val="28"/>
        </w:rPr>
      </w:r>
    </w:p>
    <w:p>
      <w:pPr>
        <w:pStyle w:val="Normal"/>
        <w:pBdr/>
        <w:spacing w:before="720" w:after="0"/>
        <w:jc w:val="center"/>
        <w:rPr>
          <w:rFonts w:eastAsia="Liberation Serif" w:cs="Liberation Serif"/>
          <w:b/>
          <w:bCs/>
          <w:color w:val="000000"/>
          <w:sz w:val="28"/>
          <w:szCs w:val="28"/>
        </w:rPr>
      </w:pPr>
      <w:r>
        <w:rPr>
          <w:rFonts w:eastAsia="Liberation Serif" w:cs="Liberation Serif"/>
          <w:b/>
          <w:bCs/>
          <w:color w:val="000000"/>
          <w:sz w:val="28"/>
          <w:szCs w:val="28"/>
        </w:rPr>
      </w:r>
    </w:p>
    <w:p>
      <w:pPr>
        <w:pStyle w:val="Normal"/>
        <w:pBdr/>
        <w:spacing w:before="720" w:after="0"/>
        <w:jc w:val="center"/>
        <w:rPr>
          <w:rFonts w:eastAsia="Liberation Serif" w:cs="Liberation Serif"/>
          <w:b/>
          <w:bCs/>
          <w:color w:val="000000"/>
          <w:sz w:val="28"/>
          <w:szCs w:val="28"/>
        </w:rPr>
      </w:pPr>
      <w:r>
        <w:rPr>
          <w:rFonts w:eastAsia="Liberation Serif" w:cs="Liberation Serif"/>
          <w:b/>
          <w:bCs/>
          <w:color w:val="000000"/>
          <w:sz w:val="28"/>
          <w:szCs w:val="28"/>
        </w:rPr>
      </w:r>
    </w:p>
    <w:p>
      <w:pPr>
        <w:pStyle w:val="Normal"/>
        <w:keepLines/>
        <w:pBdr/>
        <w:spacing w:before="80" w:after="8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  <w:t>Responsável:</w:t>
      </w:r>
    </w:p>
    <w:p>
      <w:pPr>
        <w:pStyle w:val="Normal"/>
        <w:keepLines/>
        <w:pBdr/>
        <w:spacing w:before="80" w:after="80"/>
        <w:ind w:hanging="0"/>
        <w:jc w:val="center"/>
        <w:rPr>
          <w:rFonts w:eastAsia="Liberation Serif" w:cs="Liberation Serif"/>
          <w:color w:val="000000"/>
          <w:szCs w:val="22"/>
        </w:rPr>
      </w:pPr>
      <w:r>
        <w:rPr>
          <w:rFonts w:eastAsia="Liberation Serif" w:cs="Liberation Serif"/>
          <w:color w:val="000000"/>
          <w:szCs w:val="22"/>
        </w:rPr>
        <w:t>Elymar Pereira Cabral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  <w:t>Autores: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  <w:t>Guilherme Alixandre Gonçalves Silva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  <w:t>Gabriel Araujo de Ataides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  <w:t>Pedro Henrique Portela de Souza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  <w:t>João Antônio André Barbosa Camilo</w:t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  <w:t>Pedro Américo Rocha</w:t>
      </w:r>
    </w:p>
    <w:p>
      <w:pPr>
        <w:pStyle w:val="Normal"/>
        <w:pBdr/>
        <w:spacing w:lineRule="auto" w:line="360"/>
        <w:ind w:hanging="0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szCs w:val="22"/>
        </w:rPr>
      </w:pPr>
      <w:r>
        <w:rPr>
          <w:rFonts w:eastAsia="Liberation Serif" w:cs="Liberation Serif"/>
          <w:szCs w:val="22"/>
        </w:rPr>
      </w:r>
    </w:p>
    <w:p>
      <w:pPr>
        <w:pStyle w:val="Normal"/>
        <w:pBdr/>
        <w:spacing w:lineRule="auto" w:line="360"/>
        <w:ind w:hanging="0"/>
        <w:jc w:val="center"/>
        <w:rPr>
          <w:rFonts w:eastAsia="Liberation Serif" w:cs="Liberation Serif"/>
          <w:b/>
          <w:bCs/>
          <w:color w:val="000000"/>
          <w:szCs w:val="22"/>
        </w:rPr>
      </w:pPr>
      <w:r>
        <w:rPr>
          <w:rFonts w:eastAsia="Liberation Serif" w:cs="Liberation Serif"/>
          <w:b/>
          <w:bCs/>
          <w:color w:val="000000"/>
          <w:szCs w:val="22"/>
        </w:rPr>
        <w:t>Inhumas - GO</w:t>
      </w:r>
    </w:p>
    <w:p>
      <w:pPr>
        <w:pStyle w:val="Normal"/>
        <w:pBdr/>
        <w:ind w:hanging="0"/>
        <w:jc w:val="center"/>
        <w:rPr>
          <w:rFonts w:eastAsia="Liberation Serif" w:cs="Liberation Serif"/>
          <w:color w:val="000000"/>
        </w:rPr>
      </w:pPr>
      <w:r>
        <w:rPr>
          <w:rFonts w:eastAsia="Liberation Serif" w:cs="Liberation Serif"/>
          <w:b/>
          <w:bCs/>
          <w:szCs w:val="22"/>
        </w:rPr>
        <w:t>Outubro de 2026</w:t>
      </w:r>
    </w:p>
    <w:p>
      <w:pPr>
        <w:pStyle w:val="Normal"/>
        <w:pBdr/>
        <w:ind w:hanging="0"/>
        <w:jc w:val="center"/>
        <w:rPr>
          <w:rFonts w:eastAsia="Liberation Serif" w:cs="Liberation Serif"/>
          <w:color w:val="000000"/>
        </w:rPr>
      </w:pPr>
      <w:r>
        <w:rPr>
          <w:rFonts w:eastAsia="Liberation Serif" w:cs="Liberation Serif"/>
          <w:b/>
          <w:bCs/>
          <w:szCs w:val="22"/>
        </w:rPr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numPr>
              <w:ilvl w:val="0"/>
              <w:numId w:val="1"/>
            </w:numPr>
            <w:ind w:firstLine="720" w:start="0"/>
            <w:rPr/>
          </w:pPr>
          <w:r>
            <w:rPr/>
            <w:t>Sumário</w:t>
          </w:r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r>
            <w:fldChar w:fldCharType="begin"/>
          </w:r>
          <w:r>
            <w:rPr>
              <w:rStyle w:val="Vnculodendice"/>
              <w:webHidden/>
            </w:rPr>
            <w:instrText xml:space="preserve"> TOC \z \o "1-2" \u \h</w:instrText>
          </w:r>
          <w:r>
            <w:rPr>
              <w:rStyle w:val="Vnculodendice"/>
              <w:webHidden/>
            </w:rPr>
            <w:fldChar w:fldCharType="separate"/>
          </w:r>
          <w:hyperlink w:anchor="__RefHeading___Toc15423_706905635" w:tooltip="Introdução">
            <w:r>
              <w:rPr>
                <w:rStyle w:val="Vnculodendice"/>
                <w:webHidden/>
              </w:rPr>
              <w:t>2.</w:t>
              <w:tab/>
              <w:t>Introdução</w:t>
              <w:tab/>
              <w:t>4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25_706905635" w:tooltip="Objetivos deste documento">
            <w:r>
              <w:rPr>
                <w:rStyle w:val="Vnculodendice"/>
                <w:webHidden/>
              </w:rPr>
              <w:t>2.1.</w:t>
              <w:tab/>
              <w:t>Objetivos deste documento</w:t>
              <w:tab/>
              <w:t>4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27_706905635" w:tooltip="Objetivos deste artefato">
            <w:r>
              <w:rPr>
                <w:rStyle w:val="Vnculodendice"/>
                <w:webHidden/>
              </w:rPr>
              <w:t>2.2.</w:t>
              <w:tab/>
              <w:t>Objetivos deste artefato</w:t>
              <w:tab/>
              <w:t>4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29_706905635" w:tooltip="Escopo do produto">
            <w:r>
              <w:rPr>
                <w:rStyle w:val="Vnculodendice"/>
                <w:webHidden/>
              </w:rPr>
              <w:t>2.3.</w:t>
              <w:tab/>
              <w:t>Escopo do produto</w:t>
              <w:tab/>
              <w:t>4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31_706905635" w:tooltip="Limites do produto">
            <w:r>
              <w:rPr>
                <w:rStyle w:val="Vnculodendice"/>
                <w:webHidden/>
              </w:rPr>
              <w:t>2.4.</w:t>
              <w:tab/>
              <w:t>Limites do produto</w:t>
              <w:tab/>
              <w:t>4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33_706905635" w:tooltip="Caso de Uso">
            <w:r>
              <w:rPr>
                <w:rStyle w:val="Vnculodendice"/>
                <w:webHidden/>
              </w:rPr>
              <w:t>3.</w:t>
              <w:tab/>
              <w:t>Caso de Uso</w:t>
              <w:tab/>
              <w:t>6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35_706905635" w:tooltip="(BPMN): Notação de Modelagem de Processos de Negócio">
            <w:r>
              <w:rPr>
                <w:rStyle w:val="Vnculodendice"/>
                <w:webHidden/>
              </w:rPr>
              <w:t>4.</w:t>
              <w:tab/>
              <w:t>(BPMN): Notação de Modelagem de Processos de Negócio</w:t>
              <w:tab/>
              <w:t>7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37_706905635" w:tooltip="Requisitos específicos">
            <w:r>
              <w:rPr>
                <w:rStyle w:val="Vnculodendice"/>
                <w:webHidden/>
              </w:rPr>
              <w:t>5.</w:t>
              <w:tab/>
              <w:t>Requisitos específicos</w:t>
              <w:tab/>
              <w:t>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39_706905635" w:tooltip="Especificação do caso de uso UC01: Acesso (Login)">
            <w:r>
              <w:rPr>
                <w:rStyle w:val="Vnculodendice"/>
                <w:webHidden/>
              </w:rPr>
              <w:t>5.1.</w:t>
              <w:tab/>
              <w:t>Especificação do caso de uso UC01: Acesso (Login)</w:t>
              <w:tab/>
              <w:t>8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41_706905635" w:tooltip="Comandos">
            <w:r>
              <w:rPr>
                <w:rStyle w:val="Vnculodendice"/>
                <w:webHidden/>
              </w:rPr>
              <w:t>5.1.1.4.</w:t>
              <w:tab/>
              <w:t>Comandos</w:t>
              <w:tab/>
              <w:t>9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43_706905635" w:tooltip="Especificação do caso de uso UC02: Dashboard (Resumo)">
            <w:r>
              <w:rPr>
                <w:rStyle w:val="Vnculodendice"/>
                <w:webHidden/>
              </w:rPr>
              <w:t>5.2.</w:t>
              <w:tab/>
              <w:t>Especificação do caso de uso UC02: Dashboard (Resumo)</w:t>
              <w:tab/>
              <w:t>10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45_706905635" w:tooltip="Comandos">
            <w:r>
              <w:rPr>
                <w:rStyle w:val="Vnculodendice"/>
                <w:webHidden/>
              </w:rPr>
              <w:t>5.2.1.4.</w:t>
              <w:tab/>
              <w:t>Comandos</w:t>
              <w:tab/>
              <w:t>11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47_706905635" w:tooltip="Especificação do caso de uso UC03: Manter Animais e Raças">
            <w:r>
              <w:rPr>
                <w:rStyle w:val="Vnculodendice"/>
                <w:webHidden/>
              </w:rPr>
              <w:t>5.3.</w:t>
              <w:tab/>
              <w:t>Especificação do caso de uso UC03: Manter Animais e Raças</w:t>
              <w:tab/>
              <w:t>13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49_706905635" w:tooltip="Comandos">
            <w:r>
              <w:rPr>
                <w:rStyle w:val="Vnculodendice"/>
                <w:webHidden/>
              </w:rPr>
              <w:t>5.3.1.4.</w:t>
              <w:tab/>
              <w:t>Comandos</w:t>
              <w:tab/>
              <w:t>15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51_706905635" w:tooltip="Especificação do caso de uso UC04: Manter Lotes">
            <w:r>
              <w:rPr>
                <w:rStyle w:val="Vnculodendice"/>
                <w:webHidden/>
              </w:rPr>
              <w:t>5.4.</w:t>
              <w:tab/>
              <w:t>Especificação do caso de uso UC04: Manter Lotes</w:t>
              <w:tab/>
              <w:t>17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53_706905635" w:tooltip="Comandos">
            <w:r>
              <w:rPr>
                <w:rStyle w:val="Vnculodendice"/>
                <w:webHidden/>
              </w:rPr>
              <w:t>5.4.1.4.</w:t>
              <w:tab/>
              <w:t>Comandos</w:t>
              <w:tab/>
              <w:t>18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55_706905635" w:tooltip="Especificação do caso de uso UC05: Manter Setores">
            <w:r>
              <w:rPr>
                <w:rStyle w:val="Vnculodendice"/>
                <w:webHidden/>
              </w:rPr>
              <w:t>5.5.</w:t>
              <w:tab/>
              <w:t>Especificação do caso de uso UC05: Manter Setores</w:t>
              <w:tab/>
              <w:t>20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57_706905635" w:tooltip="Comandos">
            <w:r>
              <w:rPr>
                <w:rStyle w:val="Vnculodendice"/>
                <w:webHidden/>
              </w:rPr>
              <w:t>5.5.1.4.</w:t>
              <w:tab/>
              <w:t>Comandos</w:t>
              <w:tab/>
              <w:t>21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59_706905635" w:tooltip="Especificação do caso de uso UC06: Metas de Setor">
            <w:r>
              <w:rPr>
                <w:rStyle w:val="Vnculodendice"/>
                <w:webHidden/>
              </w:rPr>
              <w:t>5.6.</w:t>
              <w:tab/>
              <w:t>Especificação do caso de uso UC06: Metas de Setor</w:t>
              <w:tab/>
              <w:t>22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61_706905635" w:tooltip="Comandos">
            <w:r>
              <w:rPr>
                <w:rStyle w:val="Vnculodendice"/>
                <w:webHidden/>
              </w:rPr>
              <w:t>5.6.1.4.</w:t>
              <w:tab/>
              <w:t>Comandos</w:t>
              <w:tab/>
              <w:t>23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63_706905635" w:tooltip="Especificação do caso de uso UC07: Insumos — Catálogo, Grupos e Unidades de Medida">
            <w:r>
              <w:rPr>
                <w:rStyle w:val="Vnculodendice"/>
                <w:webHidden/>
              </w:rPr>
              <w:t>5.7.</w:t>
              <w:tab/>
              <w:t>Especificação do caso de uso UC07: Insumos — Catálogo, Grupos e Unidades de Medida</w:t>
              <w:tab/>
              <w:t>24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65_706905635" w:tooltip="Comandos — Catálogo de Produtos">
            <w:r>
              <w:rPr>
                <w:rStyle w:val="Vnculodendice"/>
                <w:webHidden/>
              </w:rPr>
              <w:t>5.7.1.4.</w:t>
              <w:tab/>
              <w:t>Comandos — Catálogo de Produtos</w:t>
              <w:tab/>
              <w:t>26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67_706905635" w:tooltip="Especificação do caso de uso UC08: Alimentar Setores e Sobra de Alimentação">
            <w:r>
              <w:rPr>
                <w:rStyle w:val="Vnculodendice"/>
                <w:webHidden/>
              </w:rPr>
              <w:t>5.8.</w:t>
              <w:tab/>
              <w:t>Especificação do caso de uso UC08: Alimentar Setores e Sobra de Alimentação</w:t>
              <w:tab/>
              <w:t>29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69_706905635" w:tooltip="Comandos">
            <w:r>
              <w:rPr>
                <w:rStyle w:val="Vnculodendice"/>
                <w:webHidden/>
              </w:rPr>
              <w:t>5.8.1.5.</w:t>
              <w:tab/>
              <w:t>Comandos</w:t>
              <w:tab/>
              <w:t>30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71_706905635" w:tooltip="Especificação do caso de uso UC09: Consumo de Estoque">
            <w:r>
              <w:rPr>
                <w:rStyle w:val="Vnculodendice"/>
                <w:webHidden/>
              </w:rPr>
              <w:t>5.9.</w:t>
              <w:tab/>
              <w:t>Especificação do caso de uso UC09: Consumo de Estoque</w:t>
              <w:tab/>
              <w:t>32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73_706905635" w:tooltip="Comandos">
            <w:r>
              <w:rPr>
                <w:rStyle w:val="Vnculodendice"/>
                <w:webHidden/>
              </w:rPr>
              <w:t>5.9.1.4.</w:t>
              <w:tab/>
              <w:t>Comandos</w:t>
              <w:tab/>
              <w:t>33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75_706905635" w:tooltip="Especificação do caso de uso UC10: Vacinar Animais">
            <w:r>
              <w:rPr>
                <w:rStyle w:val="Vnculodendice"/>
                <w:webHidden/>
              </w:rPr>
              <w:t>5.10.</w:t>
              <w:tab/>
              <w:t>Especificação do caso de uso UC10: Vacinar Animais</w:t>
              <w:tab/>
              <w:t>34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77_706905635" w:tooltip="Comandos">
            <w:r>
              <w:rPr>
                <w:rStyle w:val="Vnculodendice"/>
                <w:webHidden/>
              </w:rPr>
              <w:t>5.10.1.4.</w:t>
              <w:tab/>
              <w:t>Comandos</w:t>
              <w:tab/>
              <w:t>35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79_706905635" w:tooltip="Especificação do caso de uso UC11: Movimentações de Estoque">
            <w:r>
              <w:rPr>
                <w:rStyle w:val="Vnculodendice"/>
                <w:webHidden/>
              </w:rPr>
              <w:t>5.11.</w:t>
              <w:tab/>
              <w:t>Especificação do caso de uso UC11: Movimentações de Estoque</w:t>
              <w:tab/>
              <w:t>36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81_706905635" w:tooltip="Comandos">
            <w:r>
              <w:rPr>
                <w:rStyle w:val="Vnculodendice"/>
                <w:webHidden/>
              </w:rPr>
              <w:t>5.11.1.4.</w:t>
              <w:tab/>
              <w:t>Comandos</w:t>
              <w:tab/>
              <w:t>37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83_706905635" w:tooltip="Especificação do caso de uso UC12: Financeiro — Documentos de Entrada (NF-e e Recibo Simples)">
            <w:r>
              <w:rPr>
                <w:rStyle w:val="Vnculodendice"/>
                <w:webHidden/>
              </w:rPr>
              <w:t>5.12.</w:t>
              <w:tab/>
              <w:t>Especificação do caso de uso UC12: Financeiro — Documentos de Entrada (NF-e e Recibo Simples)</w:t>
              <w:tab/>
              <w:t>38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85_706905635" w:tooltip="Comandos">
            <w:r>
              <w:rPr>
                <w:rStyle w:val="Vnculodendice"/>
                <w:webHidden/>
              </w:rPr>
              <w:t>5.12.1.4.</w:t>
              <w:tab/>
              <w:t>Comandos</w:t>
              <w:tab/>
              <w:t>40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87_706905635" w:tooltip="Especificação do caso de uso UC13: Financeiro — Aprovações">
            <w:r>
              <w:rPr>
                <w:rStyle w:val="Vnculodendice"/>
                <w:webHidden/>
              </w:rPr>
              <w:t>5.13.</w:t>
              <w:tab/>
              <w:t>Especificação do caso de uso UC13: Financeiro — Aprovações</w:t>
              <w:tab/>
              <w:t>41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89_706905635" w:tooltip="Comandos">
            <w:r>
              <w:rPr>
                <w:rStyle w:val="Vnculodendice"/>
                <w:webHidden/>
              </w:rPr>
              <w:t>5.13.1.4.</w:t>
              <w:tab/>
              <w:t>Comandos</w:t>
              <w:tab/>
              <w:t>41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91_706905635" w:tooltip="Especificação do caso de uso UC14: Financeiro — Documentos de Saída (Venda de Leite e de Animal)">
            <w:r>
              <w:rPr>
                <w:rStyle w:val="Vnculodendice"/>
                <w:webHidden/>
              </w:rPr>
              <w:t>5.14.</w:t>
              <w:tab/>
              <w:t>Especificação do caso de uso UC14: Financeiro — Documentos de Saída (Venda de Leite e de Animal)</w:t>
              <w:tab/>
              <w:t>43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93_706905635" w:tooltip="Comandos">
            <w:r>
              <w:rPr>
                <w:rStyle w:val="Vnculodendice"/>
                <w:webHidden/>
              </w:rPr>
              <w:t>5.14.1.5.</w:t>
              <w:tab/>
              <w:t>Comandos</w:t>
              <w:tab/>
              <w:t>44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95_706905635" w:tooltip="Especificação do caso de uso UC15: Financeiro — Parceiros">
            <w:r>
              <w:rPr>
                <w:rStyle w:val="Vnculodendice"/>
                <w:webHidden/>
              </w:rPr>
              <w:t>5.15.</w:t>
              <w:tab/>
              <w:t>Especificação do caso de uso UC15: Financeiro — Parceiros</w:t>
              <w:tab/>
              <w:t>45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497_706905635" w:tooltip="Comandos">
            <w:r>
              <w:rPr>
                <w:rStyle w:val="Vnculodendice"/>
                <w:webHidden/>
              </w:rPr>
              <w:t>5.15.1.4.</w:t>
              <w:tab/>
              <w:t>Comandos</w:t>
              <w:tab/>
              <w:t>46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499_706905635" w:tooltip="Especificação do caso de uso UC16: Financeiro — Funcionários e Folha de Pagamento">
            <w:r>
              <w:rPr>
                <w:rStyle w:val="Vnculodendice"/>
                <w:webHidden/>
              </w:rPr>
              <w:t>5.16.</w:t>
              <w:tab/>
              <w:t>Especificação do caso de uso UC16: Financeiro — Funcionários e Folha de Pagamento</w:t>
              <w:tab/>
              <w:t>47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01_706905635" w:tooltip="Comandos">
            <w:r>
              <w:rPr>
                <w:rStyle w:val="Vnculodendice"/>
                <w:webHidden/>
              </w:rPr>
              <w:t>5.16.1.5.</w:t>
              <w:tab/>
              <w:t>Comandos</w:t>
              <w:tab/>
              <w:t>48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03_706905635" w:tooltip="Especificação do caso de uso UC17: Financeiro — Rentabilidade">
            <w:r>
              <w:rPr>
                <w:rStyle w:val="Vnculodendice"/>
                <w:webHidden/>
              </w:rPr>
              <w:t>5.17.</w:t>
              <w:tab/>
              <w:t>Especificação do caso de uso UC17: Financeiro — Rentabilidade</w:t>
              <w:tab/>
              <w:t>50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05_706905635" w:tooltip="Comandos">
            <w:r>
              <w:rPr>
                <w:rStyle w:val="Vnculodendice"/>
                <w:webHidden/>
              </w:rPr>
              <w:t>5.17.1.4.</w:t>
              <w:tab/>
              <w:t>Comandos</w:t>
              <w:tab/>
              <w:t>53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07_706905635" w:tooltip="Especificação do caso de uso UC18: Perfil">
            <w:r>
              <w:rPr>
                <w:rStyle w:val="Vnculodendice"/>
                <w:webHidden/>
              </w:rPr>
              <w:t>5.18.</w:t>
              <w:tab/>
              <w:t>Especificação do caso de uso UC18: Perfil</w:t>
              <w:tab/>
              <w:t>55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09_706905635" w:tooltip="Comandos">
            <w:r>
              <w:rPr>
                <w:rStyle w:val="Vnculodendice"/>
                <w:webHidden/>
              </w:rPr>
              <w:t>5.18.1.4.</w:t>
              <w:tab/>
              <w:t>Comandos</w:t>
              <w:tab/>
              <w:t>56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11_706905635" w:tooltip="Especificação do caso de uso UC19: Tarefas">
            <w:r>
              <w:rPr>
                <w:rStyle w:val="Vnculodendice"/>
                <w:webHidden/>
              </w:rPr>
              <w:t>5.19.</w:t>
              <w:tab/>
              <w:t>Especificação do caso de uso UC19: Tarefas</w:t>
              <w:tab/>
              <w:t>57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13_706905635" w:tooltip="Comandos">
            <w:r>
              <w:rPr>
                <w:rStyle w:val="Vnculodendice"/>
                <w:webHidden/>
              </w:rPr>
              <w:t>5.19.1.4.</w:t>
              <w:tab/>
              <w:t>Comandos</w:t>
              <w:tab/>
              <w:t>58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15_706905635" w:tooltip="Especificação do caso de uso UC20: Configurações (Usuários)">
            <w:r>
              <w:rPr>
                <w:rStyle w:val="Vnculodendice"/>
                <w:webHidden/>
              </w:rPr>
              <w:t>5.20.</w:t>
              <w:tab/>
              <w:t>Especificação do caso de uso UC20: Configurações (Usuários)</w:t>
              <w:tab/>
              <w:t>59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17_706905635" w:tooltip="Comandos">
            <w:r>
              <w:rPr>
                <w:rStyle w:val="Vnculodendice"/>
                <w:webHidden/>
              </w:rPr>
              <w:t>5.20.1.4.</w:t>
              <w:tab/>
              <w:t>Comandos</w:t>
              <w:tab/>
              <w:t>60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19_706905635" w:tooltip="Especificação do caso de uso UC21: Custo de Vida do Animal">
            <w:r>
              <w:rPr>
                <w:rStyle w:val="Vnculodendice"/>
                <w:webHidden/>
              </w:rPr>
              <w:t>5.21.</w:t>
              <w:tab/>
              <w:t>Especificação do caso de uso UC21: Custo de Vida do Animal</w:t>
              <w:tab/>
              <w:t>61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21_706905635" w:tooltip="Comandos">
            <w:r>
              <w:rPr>
                <w:rStyle w:val="Vnculodendice"/>
                <w:webHidden/>
              </w:rPr>
              <w:t>5.21.1.5.</w:t>
              <w:tab/>
              <w:t>Comandos</w:t>
              <w:tab/>
              <w:t>62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23_706905635" w:tooltip="Especificação do caso de uso UC22: Gráficos de Ocupação e Distribuição">
            <w:r>
              <w:rPr>
                <w:rStyle w:val="Vnculodendice"/>
                <w:webHidden/>
              </w:rPr>
              <w:t>5.22.</w:t>
              <w:tab/>
              <w:t>Especificação do caso de uso UC22: Gráficos de Ocupação e Distribuição</w:t>
              <w:tab/>
              <w:t>64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25_706905635" w:tooltip="Comandos">
            <w:r>
              <w:rPr>
                <w:rStyle w:val="Vnculodendice"/>
                <w:webHidden/>
              </w:rPr>
              <w:t>5.22.1.5.</w:t>
              <w:tab/>
              <w:t>Comandos</w:t>
              <w:tab/>
              <w:t>66</w:t>
            </w:r>
          </w:hyperlink>
        </w:p>
        <w:p>
          <w:pPr>
            <w:pStyle w:val="TOC1"/>
            <w:tabs>
              <w:tab w:val="clear" w:pos="10456"/>
              <w:tab w:val="right" w:pos="9745" w:leader="dot"/>
            </w:tabs>
            <w:rPr/>
          </w:pPr>
          <w:hyperlink w:anchor="__RefHeading___Toc15527_706905635" w:tooltip="Diagrama Entidade Relacionamento">
            <w:r>
              <w:rPr>
                <w:rStyle w:val="Vnculodendice"/>
                <w:webHidden/>
              </w:rPr>
              <w:t>6.</w:t>
              <w:tab/>
              <w:t>Diagrama Entidade Relacionamento</w:t>
              <w:tab/>
              <w:t>68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29_706905635" w:tooltip="Tabelas de Acesso e Sistema">
            <w:r>
              <w:rPr>
                <w:rStyle w:val="Vnculodendice"/>
                <w:webHidden/>
              </w:rPr>
              <w:t>6.1.</w:t>
              <w:tab/>
              <w:t>Tabelas de Acesso e Sistema</w:t>
              <w:tab/>
              <w:t>68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31_706905635" w:tooltip="Módulo de Cadastros Gerais (Parceiros)">
            <w:r>
              <w:rPr>
                <w:rStyle w:val="Vnculodendice"/>
                <w:webHidden/>
              </w:rPr>
              <w:t>6.2.</w:t>
              <w:tab/>
              <w:t>Módulo de Cadastros Gerais (Parceiros)</w:t>
              <w:tab/>
              <w:t>68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33_706905635" w:tooltip="Módulo de Pecuária (Gado e Estrutura)">
            <w:r>
              <w:rPr>
                <w:rStyle w:val="Vnculodendice"/>
                <w:webHidden/>
              </w:rPr>
              <w:t>6.3.</w:t>
              <w:tab/>
              <w:t>Módulo de Pecuária (Gado e Estrutura)</w:t>
              <w:tab/>
              <w:t>68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35_706905635" w:tooltip="Módulo de Estoque e Insumos">
            <w:r>
              <w:rPr>
                <w:rStyle w:val="Vnculodendice"/>
                <w:webHidden/>
              </w:rPr>
              <w:t>6.4.</w:t>
              <w:tab/>
              <w:t>Módulo de Estoque e Insumos</w:t>
              <w:tab/>
              <w:t>69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37_706905635" w:tooltip="Módulo Financeiro">
            <w:r>
              <w:rPr>
                <w:rStyle w:val="Vnculodendice"/>
                <w:webHidden/>
              </w:rPr>
              <w:t>6.5.</w:t>
              <w:tab/>
              <w:t>Módulo Financeiro</w:t>
              <w:tab/>
              <w:t>71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39_706905635" w:tooltip="Módulo Agrícola (Plantio) — não implementado">
            <w:r>
              <w:rPr>
                <w:rStyle w:val="Vnculodendice"/>
                <w:webHidden/>
              </w:rPr>
              <w:t>6.6.</w:t>
              <w:tab/>
              <w:t>Módulo Agrícola (Plantio) — não implementado</w:t>
              <w:tab/>
              <w:t>72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41_706905635" w:tooltip="Módulo de Maquinário — não implementado">
            <w:r>
              <w:rPr>
                <w:rStyle w:val="Vnculodendice"/>
                <w:webHidden/>
              </w:rPr>
              <w:t>6.7.</w:t>
              <w:tab/>
              <w:t>Módulo de Maquinário — não implementado</w:t>
              <w:tab/>
              <w:t>72</w:t>
            </w:r>
          </w:hyperlink>
        </w:p>
        <w:p>
          <w:pPr>
            <w:pStyle w:val="TOC2"/>
            <w:tabs>
              <w:tab w:val="clear" w:pos="9736"/>
              <w:tab w:val="right" w:pos="9745" w:leader="dot"/>
            </w:tabs>
            <w:rPr/>
          </w:pPr>
          <w:hyperlink w:anchor="__RefHeading___Toc15543_706905635" w:tooltip="Tabelas legadas sem tela ativa">
            <w:r>
              <w:rPr>
                <w:rStyle w:val="Vnculodendice"/>
                <w:webHidden/>
              </w:rPr>
              <w:t>6.8.</w:t>
              <w:tab/>
              <w:t>Tabelas legadas sem tela ativa</w:t>
              <w:tab/>
              <w:t>72</w:t>
            </w:r>
          </w:hyperlink>
          <w:r>
            <w:rPr>
              <w:rStyle w:val="Vnculodendice"/>
            </w:rPr>
            <w:fldChar w:fldCharType="end"/>
          </w:r>
        </w:p>
        <w:p>
          <w:pPr>
            <w:sectPr>
              <w:headerReference w:type="even" r:id="rId2"/>
              <w:headerReference w:type="default" r:id="rId3"/>
              <w:footerReference w:type="even" r:id="rId4"/>
              <w:footerReference w:type="default" r:id="rId5"/>
              <w:type w:val="nextPage"/>
              <w:pgSz w:w="11906" w:h="16838"/>
              <w:pgMar w:left="1080" w:right="1080" w:gutter="0" w:header="709" w:top="1440" w:footer="709" w:bottom="1440"/>
              <w:pgNumType w:start="1" w:fmt="decimal"/>
              <w:formProt w:val="false"/>
              <w:textDirection w:val="lrTb"/>
              <w:docGrid w:type="default" w:linePitch="272" w:charSpace="0"/>
            </w:sectPr>
          </w:pPr>
        </w:p>
      </w:sdtContent>
    </w:sdt>
    <w:p>
      <w:pPr>
        <w:pStyle w:val="Normal"/>
        <w:rPr/>
      </w:pPr>
      <w:r>
        <w:rPr>
          <w:b/>
          <w:i/>
        </w:rPr>
        <w:t>Nota de revisão (v3.0):</w:t>
      </w:r>
      <w:r>
        <w:rPr>
          <w:i/>
        </w:rPr>
        <w:t xml:space="preserve"> esta é uma revisão do documento original (v2.0, dezembro de 2025), atualizada para refletir fielmente o estado real do código do sistema em setembro de 2026. As seções 5 (Requisitos específicos) e 6 (Diagrama Entidade Relacionamento) foram reescritas a partir das migrations, entidades, controllers e telas reais do repositório — não do planejamento original. Diferenças relevantes em relação à v2.0 estão sinalizadas ao longo do texto.</w:t>
      </w:r>
    </w:p>
    <w:p>
      <w:pPr>
        <w:pStyle w:val="Heading1"/>
        <w:rPr/>
      </w:pPr>
      <w:bookmarkStart w:id="1" w:name="__RefHeading___Toc15423_706905635"/>
      <w:bookmarkStart w:id="2" w:name="_PraxisV3_1001"/>
      <w:bookmarkEnd w:id="1"/>
      <w:r>
        <w:rPr/>
        <w:t>Introdução</w:t>
      </w:r>
      <w:bookmarkEnd w:id="2"/>
    </w:p>
    <w:p>
      <w:pPr>
        <w:pStyle w:val="Heading2"/>
        <w:rPr/>
      </w:pPr>
      <w:bookmarkStart w:id="3" w:name="__RefHeading___Toc15425_706905635"/>
      <w:bookmarkStart w:id="4" w:name="_PraxisV3_1002"/>
      <w:bookmarkEnd w:id="3"/>
      <w:r>
        <w:rPr/>
        <w:t>Objetivos deste documento</w:t>
      </w:r>
      <w:bookmarkEnd w:id="4"/>
    </w:p>
    <w:tbl>
      <w:tblPr>
        <w:tblStyle w:val="TabelaPadro1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1884"/>
        <w:gridCol w:w="7868"/>
      </w:tblGrid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Objetivo</w:t>
            </w:r>
          </w:p>
        </w:tc>
        <w:tc>
          <w:tcPr>
            <w:tcW w:w="78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Descrever as Especificações atuais do Sistema de ERP para o Agronegócio, utilizando a metodologia de Desenvolvimento de Software PRAXIS, e alinhar o documento de requisitos ao que está de fato implementado no código-fonte.</w:t>
            </w:r>
          </w:p>
        </w:tc>
      </w:tr>
      <w:tr>
        <w:trPr/>
        <w:tc>
          <w:tcPr>
            <w:tcW w:w="18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Público-alvo</w:t>
            </w:r>
          </w:p>
        </w:tc>
        <w:tc>
          <w:tcPr>
            <w:tcW w:w="78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Gestores da fazenda, Analistas e Desenvolvedores</w:t>
            </w:r>
          </w:p>
        </w:tc>
      </w:tr>
    </w:tbl>
    <w:p>
      <w:pPr>
        <w:pStyle w:val="Heading2"/>
        <w:rPr/>
      </w:pPr>
      <w:bookmarkStart w:id="5" w:name="__RefHeading___Toc15427_706905635"/>
      <w:bookmarkStart w:id="6" w:name="_PraxisV3_1003"/>
      <w:bookmarkEnd w:id="5"/>
      <w:r>
        <w:rPr/>
        <w:t>Objetivos deste artefato</w:t>
      </w:r>
      <w:bookmarkEnd w:id="6"/>
    </w:p>
    <w:tbl>
      <w:tblPr>
        <w:tblStyle w:val="TabelaPadro1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1884"/>
        <w:gridCol w:w="7868"/>
      </w:tblGrid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Objetivo</w:t>
            </w:r>
          </w:p>
        </w:tc>
        <w:tc>
          <w:tcPr>
            <w:tcW w:w="78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Desenvolver um sistema de software para gerenciar e integrar os processos de um agronegócio, com foco principal na gestão de gado de corte e leiteiro (cria, recria, engorda e produção de leite) e no controle financeiro (documentos de entrada e saída, folha de pagamento, razão financeiro/DRE), automatizando procedimentos de cadastro, compra, venda e planejamento operacional.</w:t>
            </w:r>
          </w:p>
        </w:tc>
      </w:tr>
      <w:tr>
        <w:trPr/>
        <w:tc>
          <w:tcPr>
            <w:tcW w:w="18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Público-alvo</w:t>
            </w:r>
          </w:p>
        </w:tc>
        <w:tc>
          <w:tcPr>
            <w:tcW w:w="78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Gestores e funcionários da fazenda</w:t>
            </w:r>
          </w:p>
        </w:tc>
      </w:tr>
    </w:tbl>
    <w:p>
      <w:pPr>
        <w:pStyle w:val="Heading2"/>
        <w:rPr/>
      </w:pPr>
      <w:bookmarkStart w:id="7" w:name="__RefHeading___Toc15429_706905635"/>
      <w:bookmarkStart w:id="8" w:name="_PraxisV3_1004"/>
      <w:bookmarkEnd w:id="7"/>
      <w:r>
        <w:rPr/>
        <w:t>Escopo do produto</w:t>
      </w:r>
      <w:bookmarkEnd w:id="8"/>
    </w:p>
    <w:tbl>
      <w:tblPr>
        <w:tblStyle w:val="TabelaPadro1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0" w:val="0000"/>
      </w:tblPr>
      <w:tblGrid>
        <w:gridCol w:w="1884"/>
        <w:gridCol w:w="7868"/>
      </w:tblGrid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Nome do produto</w:t>
            </w:r>
          </w:p>
        </w:tc>
        <w:tc>
          <w:tcPr>
            <w:tcW w:w="78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Gerenciamento de Animais Digital e Otimizado (GADO)</w:t>
            </w:r>
          </w:p>
        </w:tc>
      </w:tr>
      <w:tr>
        <w:trPr/>
        <w:tc>
          <w:tcPr>
            <w:tcW w:w="18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Componentes principais (atualizado)</w:t>
            </w:r>
          </w:p>
        </w:tc>
        <w:tc>
          <w:tcPr>
            <w:tcW w:w="78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de Cadastro (Animais, Raças, Lotes, Setores, Parceiros)</w:t>
            </w:r>
          </w:p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de Metas de Setor (metas de produção de leite e de arroba, com medições periódicas)</w:t>
            </w:r>
          </w:p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de Insumos e Estoque (catálogo de produtos por grupo, unidades de medida, entrada de estoque, alimentação de setores com controle de sobra, consumo avulso de estoque, vacinação de animais, histórico de movimentações)</w:t>
            </w:r>
          </w:p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Financeiro (documentos de entrada com importação real de XML de NF-e e recibo simples, fluxo de aprovação, documentos de saída — venda de leite e venda/abate de animal —, folha de pagamento de funcionários, razão financeiro e DRE mensal)</w:t>
            </w:r>
          </w:p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de Tarefas (cada usuário mantém sua própria lista de tarefas; qualquer usuário pode atribuir tarefas a outro)</w:t>
            </w:r>
          </w:p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Módulo de Configurações (gestão de usuários, restrita a Administradores)</w:t>
            </w:r>
          </w:p>
        </w:tc>
      </w:tr>
      <w:tr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8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end"/>
              <w:rPr>
                <w:rFonts w:eastAsia="Liberation Serif"/>
                <w:b/>
                <w:bCs/>
              </w:rPr>
            </w:pPr>
            <w:r>
              <w:rPr>
                <w:rFonts w:eastAsia="Liberation Serif" w:cs="Times New Roman"/>
                <w:b/>
                <w:bCs/>
                <w:kern w:val="0"/>
                <w:szCs w:val="20"/>
                <w:lang w:val="pt-BR" w:eastAsia="pt-BR" w:bidi="ar-SA"/>
              </w:rPr>
              <w:t>Missão do produto</w:t>
            </w:r>
          </w:p>
        </w:tc>
        <w:tc>
          <w:tcPr>
            <w:tcW w:w="78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Centralizar e otimizar a gestão das operações pecuárias e as finanças do agronegócio, fornecendo dados integrados e confiáveis para a tomada de decisão.</w:t>
            </w:r>
          </w:p>
        </w:tc>
      </w:tr>
    </w:tbl>
    <w:p>
      <w:pPr>
        <w:pStyle w:val="Heading2"/>
        <w:rPr/>
      </w:pPr>
      <w:bookmarkStart w:id="9" w:name="__RefHeading___Toc15431_706905635"/>
      <w:bookmarkStart w:id="10" w:name="_PraxisV3_1005"/>
      <w:bookmarkEnd w:id="9"/>
      <w:r>
        <w:rPr/>
        <w:t>Limites do produto</w:t>
      </w:r>
      <w:bookmarkEnd w:id="10"/>
    </w:p>
    <w:tbl>
      <w:tblPr>
        <w:tblStyle w:val="Estilo1"/>
        <w:tblW w:w="5000" w:type="pct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1072"/>
        <w:gridCol w:w="8680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07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 w:val="false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86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  <w:b w:val="false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Limite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color w:val="000000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86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O sistema não inclui o gerenciamento da parte de plantio (lavoura). Não há nenhuma tabela ou tela relacionada a talhões ou ciclos de cultura no código atual.</w:t>
            </w:r>
          </w:p>
        </w:tc>
      </w:tr>
      <w:tr>
        <w:trPr>
          <w:cantSplit/>
        </w:trPr>
        <w:tc>
          <w:tcPr>
            <w:tcW w:w="107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color w:val="000000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86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O sistema não faz integração contábil-fiscal automática com a SEFAZ ou órgãos fiscais; a importação de NF-e lê o XML já emitido/baixado manualmente pelo usuário, sem consumir webservices fiscais.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86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O sistema não faz integração direta com balanças de pesagem ou outros hardwares de campo; os dados são inseridos manualmente.</w:t>
            </w:r>
          </w:p>
        </w:tc>
      </w:tr>
      <w:tr>
        <w:trPr>
          <w:cantSplit/>
        </w:trPr>
        <w:tc>
          <w:tcPr>
            <w:tcW w:w="107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86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O sistema não inclui um módulo completo de RH — há cadastro de Funcionário e cálculo/pagamento de folha (com INSS, FGTS, benefícios e bônus), mas não há controle de ponto, férias ou rescisão.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7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color w:val="000000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86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start"/>
              <w:rPr>
                <w:rFonts w:eastAsia="Liberation Serif"/>
                <w:color w:val="000000"/>
              </w:rPr>
            </w:pPr>
            <w:r>
              <w:rPr>
                <w:rFonts w:eastAsia="Liberation Serif" w:cs="Times New Roman"/>
                <w:kern w:val="0"/>
                <w:szCs w:val="20"/>
                <w:lang w:val="pt-BR" w:eastAsia="pt-BR" w:bidi="ar-SA"/>
              </w:rPr>
              <w:t>O sistema não inclui gestão de maquinário (manutenção preventiva/corretiva). Não há tabela maquinario no banco atual.</w:t>
            </w:r>
          </w:p>
        </w:tc>
      </w:tr>
    </w:tbl>
    <w:p>
      <w:pPr>
        <w:pStyle w:val="Heading1"/>
        <w:rPr/>
      </w:pPr>
      <w:r>
        <w:br w:type="page"/>
      </w:r>
      <w:bookmarkStart w:id="11" w:name="__RefHeading___Toc15433_706905635"/>
      <w:bookmarkStart w:id="12" w:name="_PraxisV3_1006"/>
      <w:bookmarkEnd w:id="11"/>
      <w:r>
        <w:rPr/>
        <w:t>Caso de Uso</w:t>
      </w:r>
      <w:bookmarkEnd w:id="12"/>
    </w:p>
    <w:p>
      <w:pPr>
        <w:pStyle w:val="Normal"/>
        <w:ind w:hanging="0" w:start="0"/>
        <w:rPr/>
      </w:pPr>
      <w:r>
        <w:rPr/>
        <w:drawing>
          <wp:inline distT="0" distB="0" distL="0" distR="0">
            <wp:extent cx="6181090" cy="5540375"/>
            <wp:effectExtent l="0" t="0" r="0" b="0"/>
            <wp:docPr id="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4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90" cy="5540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rPr/>
      </w:pPr>
      <w:bookmarkStart w:id="13" w:name="__RefHeading___Toc15435_706905635"/>
      <w:bookmarkStart w:id="14" w:name="_PraxisV3_1007"/>
      <w:bookmarkEnd w:id="13"/>
      <w:r>
        <w:rPr/>
        <w:t>(BPMN): Notação de Modelagem de Processos de Negócio</w:t>
      </w:r>
      <w:bookmarkEnd w:id="14"/>
    </w:p>
    <w:p>
      <w:pPr>
        <w:pStyle w:val="Normal"/>
        <w:ind w:hanging="0" w:start="0"/>
        <w:rPr>
          <w:i/>
        </w:rPr>
      </w:pPr>
      <w:r>
        <w:rPr>
          <w:i/>
        </w:rPr>
        <w:drawing>
          <wp:inline distT="0" distB="0" distL="0" distR="0">
            <wp:extent cx="6181090" cy="6262370"/>
            <wp:effectExtent l="0" t="0" r="0" b="0"/>
            <wp:docPr id="4" name="image1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4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 l="18461" t="1543" r="0" b="329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81090" cy="626237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br w:type="page"/>
      </w:r>
    </w:p>
    <w:p>
      <w:pPr>
        <w:pStyle w:val="Heading1"/>
        <w:rPr/>
      </w:pPr>
      <w:bookmarkStart w:id="15" w:name="__RefHeading___Toc15437_706905635"/>
      <w:bookmarkStart w:id="16" w:name="_PraxisV3_1008"/>
      <w:bookmarkEnd w:id="15"/>
      <w:r>
        <w:rPr/>
        <w:t>Requisitos específicos</w:t>
      </w:r>
      <w:bookmarkEnd w:id="16"/>
    </w:p>
    <w:p>
      <w:pPr>
        <w:pStyle w:val="Heading2"/>
        <w:rPr/>
      </w:pPr>
      <w:bookmarkStart w:id="17" w:name="__RefHeading___Toc15439_706905635"/>
      <w:bookmarkStart w:id="18" w:name="_PraxisV3_1009"/>
      <w:bookmarkEnd w:id="17"/>
      <w:r>
        <w:rPr/>
        <w:t>Especificação do caso de uso UC01: Acesso (Login)</w:t>
      </w:r>
      <w:bookmarkEnd w:id="18"/>
    </w:p>
    <w:p>
      <w:pPr>
        <w:pStyle w:val="Heading3"/>
        <w:rPr/>
      </w:pPr>
      <w:r>
        <w:rPr/>
        <w:t>Interface de Usuário: Entrar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5" name="uc01-login" descr="Captura desktop da interface atual — uc01-login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uc01-login" descr="Captura desktop da interface atual — uc01-login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Tela inicial da aplicação. Após autenticação bem-sucedida, o usuário é redirecionado para o Dashboard (Resumo). Não existe mais autoatendimento de "Criar Conta": diferente da v2.0 do documento, o cadastro de novos usuários passou a ser uma operação administrativa, feita exclusivamente dentro de Configurações por um usuário com perfil Administrador (ver UC20). A rota /api/usuarios/login é o único endpoint do backend liberado sem autenticação (SecurityConfig); todas as demais chamadas exigem um token JWT válido no cabeçalho da requisição.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776"/>
        <w:gridCol w:w="1889"/>
        <w:gridCol w:w="986"/>
        <w:gridCol w:w="1747"/>
        <w:gridCol w:w="1952"/>
        <w:gridCol w:w="193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77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88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9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7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95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93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77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</w:t>
            </w:r>
          </w:p>
        </w:tc>
        <w:tc>
          <w:tcPr>
            <w:tcW w:w="188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cadastrado do usuário</w:t>
            </w:r>
          </w:p>
        </w:tc>
        <w:tc>
          <w:tcPr>
            <w:tcW w:w="9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7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Formato de e-mail válido</w:t>
            </w:r>
          </w:p>
        </w:tc>
        <w:tc>
          <w:tcPr>
            <w:tcW w:w="195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19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deve aceitar campo vazio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77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Senha</w:t>
            </w:r>
          </w:p>
        </w:tc>
        <w:tc>
          <w:tcPr>
            <w:tcW w:w="188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Senha de acesso do usuário</w:t>
            </w:r>
          </w:p>
        </w:tc>
        <w:tc>
          <w:tcPr>
            <w:tcW w:w="9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7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95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19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ocultado durante a digitação, com opção de alternar visibilidade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19" w:name="__RefHeading___Toc15441_706905635"/>
      <w:bookmarkEnd w:id="19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901"/>
        <w:gridCol w:w="2345"/>
        <w:gridCol w:w="1291"/>
        <w:gridCol w:w="2324"/>
        <w:gridCol w:w="242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90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232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42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9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Entrar</w:t>
            </w:r>
          </w:p>
        </w:tc>
        <w:tc>
          <w:tcPr>
            <w:tcW w:w="23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Autentica o usuário e emite um token JWT</w:t>
            </w:r>
          </w:p>
        </w:tc>
        <w:tc>
          <w:tcPr>
            <w:tcW w:w="12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Ação principal</w:t>
            </w:r>
          </w:p>
        </w:tc>
        <w:tc>
          <w:tcPr>
            <w:tcW w:w="23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Campos obrigatórios preenchidos</w:t>
            </w:r>
          </w:p>
        </w:tc>
        <w:tc>
          <w:tcPr>
            <w:tcW w:w="24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Em caso de sucesso, redireciona para o Dashboard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a autenticação de usuários já cadastrados no sistema. O backend aceita, por compatibilidade histórica, senhas armazenadas em BCrypt (padrão atual), em SHA-256 puro ou em texto puro — nos dois últimos casos, ao autenticar com sucesso o sistema faz o upgrade automático do hash para BCrypt (SUsuario).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possuir um cadastro ativo, criado previamente por um Administrador.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25"/>
        </w:numPr>
        <w:rPr/>
      </w:pPr>
      <w:r>
        <w:rPr/>
        <w:t>O usuário acessa a tela Entrar.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os campos E-mail e Senha.</w:t>
      </w:r>
    </w:p>
    <w:p>
      <w:pPr>
        <w:pStyle w:val="NoSpacing"/>
        <w:numPr>
          <w:ilvl w:val="0"/>
          <w:numId w:val="3"/>
        </w:numPr>
        <w:rPr/>
      </w:pPr>
      <w:r>
        <w:rPr/>
        <w:t>O usuário informa suas credenciais e seleciona Entrar.</w:t>
      </w:r>
    </w:p>
    <w:p>
      <w:pPr>
        <w:pStyle w:val="NoSpacing"/>
        <w:numPr>
          <w:ilvl w:val="0"/>
          <w:numId w:val="3"/>
        </w:numPr>
        <w:rPr/>
      </w:pPr>
      <w:r>
        <w:rPr/>
        <w:t>O sistema valida as credenciais contra a base de usuários ativos.</w:t>
      </w:r>
    </w:p>
    <w:p>
      <w:pPr>
        <w:pStyle w:val="NoSpacing"/>
        <w:numPr>
          <w:ilvl w:val="0"/>
          <w:numId w:val="3"/>
        </w:numPr>
        <w:rPr/>
      </w:pPr>
      <w:r>
        <w:rPr/>
        <w:t>O sistema emite um token JWT e redireciona o usuário para o Dashboard.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Credenciais inválidas</w:t>
      </w:r>
      <w:r>
        <w:rPr/>
        <w:t xml:space="preserve"> — E-mail não encontrado entre os usuários com status ativo, ou senha incorreta. O sistema exibe "Credenciais inválidas." e permanece na tela de login.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Usuário inativo</w:t>
      </w:r>
      <w:r>
        <w:rPr/>
        <w:t xml:space="preserve"> — Um e-mail que pertence a um usuário com status Inativo não é localizado pela consulta de login (que filtra por status ativo), retornando o mesmo erro de credenciais inválidas — sem expor se a conta existe.</w:t>
      </w:r>
      <w:r>
        <w:br w:type="page"/>
      </w:r>
    </w:p>
    <w:p>
      <w:pPr>
        <w:pStyle w:val="Heading2"/>
        <w:rPr/>
      </w:pPr>
      <w:bookmarkStart w:id="20" w:name="__RefHeading___Toc15443_706905635"/>
      <w:bookmarkStart w:id="21" w:name="_PraxisV3_1010"/>
      <w:bookmarkEnd w:id="20"/>
      <w:r>
        <w:rPr/>
        <w:t>Especificação do caso de uso UC02: Dashboard (Resumo)</w:t>
      </w:r>
      <w:bookmarkEnd w:id="21"/>
    </w:p>
    <w:p>
      <w:pPr>
        <w:pStyle w:val="Heading3"/>
        <w:rPr/>
      </w:pPr>
      <w:r>
        <w:rPr/>
        <w:t>Interface de Usuário: Resumo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4534535"/>
            <wp:effectExtent l="0" t="0" r="0" b="0"/>
            <wp:docPr id="6" name="uc02-resumo" descr="Captura desktop da interface atual — uc02-resum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uc02-resumo" descr="Captura desktop da interface atual — uc02-resum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45345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Ponto de entrada após o login (GET /api/resumo). É o único endpoint de resumo hoje — não há mais separação entre "quantidade de setores" e blocos individuais; o backend devolve um único DTO consolidado (ResumoDto).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405"/>
        <w:gridCol w:w="2002"/>
        <w:gridCol w:w="1000"/>
        <w:gridCol w:w="1636"/>
        <w:gridCol w:w="1354"/>
        <w:gridCol w:w="188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40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0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0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63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35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88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40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Animais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animais cadastrados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6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inteiro</w:t>
            </w:r>
          </w:p>
        </w:tc>
        <w:tc>
          <w:tcPr>
            <w:tcW w:w="135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Lotes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lotes cadastrados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inteiro</w:t>
            </w:r>
          </w:p>
        </w:tc>
        <w:tc>
          <w:tcPr>
            <w:tcW w:w="135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40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Setores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Total de setores cadastrados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6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inteiro</w:t>
            </w:r>
          </w:p>
        </w:tc>
        <w:tc>
          <w:tcPr>
            <w:tcW w:w="135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Vendas Mensais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Soma dos lançamentos financeiros de entrada do mês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 financeira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em R$</w:t>
            </w:r>
          </w:p>
        </w:tc>
        <w:tc>
          <w:tcPr>
            <w:tcW w:w="135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Visível apenas para ADMINISTRADOR e GERENTE (financeiroVisivel)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40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Gastos Mensais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Soma dos lançamentos financeiros de saída do mês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 financeira</w:t>
            </w:r>
          </w:p>
        </w:tc>
        <w:tc>
          <w:tcPr>
            <w:tcW w:w="16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em R$</w:t>
            </w:r>
          </w:p>
        </w:tc>
        <w:tc>
          <w:tcPr>
            <w:tcW w:w="135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Visível apenas para ADMINISTRADOR e GERENTE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Lucro Líquido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Vendas Mensais − Gastos Mensais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 financeira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em R$</w:t>
            </w:r>
          </w:p>
        </w:tc>
        <w:tc>
          <w:tcPr>
            <w:tcW w:w="135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Visível apenas para ADMINISTRADOR e GERENTE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40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Maior/Menor Fonte de Receita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Rótulo e valor da maior e da menor origem de lançamento financeiro do mês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 financeira</w:t>
            </w:r>
          </w:p>
        </w:tc>
        <w:tc>
          <w:tcPr>
            <w:tcW w:w="16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+ valor</w:t>
            </w:r>
          </w:p>
        </w:tc>
        <w:tc>
          <w:tcPr>
            <w:tcW w:w="135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Visível apenas para ADMINISTRADOR e GERENTE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40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Alertas de Estoque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insumos com saldo abaixo do estoque mínimo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6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</w:t>
            </w:r>
          </w:p>
        </w:tc>
        <w:tc>
          <w:tcPr>
            <w:tcW w:w="135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Aberto a qualquer perfil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9</w:t>
            </w:r>
          </w:p>
        </w:tc>
        <w:tc>
          <w:tcPr>
            <w:tcW w:w="140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Tarefas Pendentes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tarefas não concluídas do usuário logado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6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</w:t>
            </w:r>
          </w:p>
        </w:tc>
        <w:tc>
          <w:tcPr>
            <w:tcW w:w="135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88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Aberto a qualquer perfil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22" w:name="__RefHeading___Toc15445_706905635"/>
      <w:bookmarkEnd w:id="22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119"/>
        <w:gridCol w:w="2863"/>
        <w:gridCol w:w="1194"/>
        <w:gridCol w:w="2215"/>
        <w:gridCol w:w="189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11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86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9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22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89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1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Navegação lateral</w:t>
            </w:r>
          </w:p>
        </w:tc>
        <w:tc>
          <w:tcPr>
            <w:tcW w:w="286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Acessa qualquer outro módulo do sistema</w:t>
            </w:r>
          </w:p>
        </w:tc>
        <w:tc>
          <w:tcPr>
            <w:tcW w:w="11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Navegação</w:t>
            </w:r>
          </w:p>
        </w:tc>
        <w:tc>
          <w:tcPr>
            <w:tcW w:w="22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autorizado para o módulo</w:t>
            </w:r>
          </w:p>
        </w:tc>
        <w:tc>
          <w:tcPr>
            <w:tcW w:w="18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 menu lateral só exibe "Configurações" a Administradores; "Financeiro" fica oculto para CUIDADOR e CUIDADOR_CHEFE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Ao entrar, o usuário visualiza indicadores gerais da fazenda. Diferente do documento original, os blocos financeiros (vendas, gastos, saldo e maior/menor fonte de receita) não são mais universais: o próprio backend decide, por perfil, se devem ser preenchidos (financeiroVisivel), e o frontend deve tratar a ausência desses dados para os demais perfis.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26"/>
        </w:numPr>
        <w:rPr/>
      </w:pPr>
      <w:r>
        <w:rPr/>
        <w:t>O sistema chama GET /api/resumo com o usuário autenticado.</w:t>
      </w:r>
    </w:p>
    <w:p>
      <w:pPr>
        <w:pStyle w:val="NoSpacing"/>
        <w:numPr>
          <w:ilvl w:val="0"/>
          <w:numId w:val="3"/>
        </w:numPr>
        <w:rPr/>
      </w:pPr>
      <w:r>
        <w:rPr/>
        <w:t>O backend monta o DTO consolidado, decidindo a visibilidade financeira pelo perfil do usuário.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os cartões de indicadores, os alertas de estoque e as tarefas pendentes.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Perfil sem acesso financeiro</w:t>
      </w:r>
      <w:r>
        <w:rPr/>
        <w:t xml:space="preserve"> — financeiroVisivel retorna false para os perfis CUIDADOR, CUIDADOR_CHEFE e FINANCEIRO (regra decidida no service); os cartões financeiros não são exibidos ou aparecem vazios.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Nenhum alerta de estoque</w:t>
      </w:r>
      <w:r>
        <w:rPr/>
        <w:t xml:space="preserve"> — a lista de alertas retorna vazia; o bloco exibe mensagem informativa.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Nenhuma tarefa pendente</w:t>
      </w:r>
      <w:r>
        <w:rPr/>
        <w:t xml:space="preserve"> — a lista de tarefas retorna vazia; o bloco exibe mensagem informativa.</w:t>
      </w:r>
      <w:r>
        <w:br w:type="page"/>
      </w:r>
    </w:p>
    <w:p>
      <w:pPr>
        <w:pStyle w:val="Heading2"/>
        <w:rPr/>
      </w:pPr>
      <w:bookmarkStart w:id="23" w:name="__RefHeading___Toc15447_706905635"/>
      <w:bookmarkStart w:id="24" w:name="_PraxisV3_1011"/>
      <w:bookmarkEnd w:id="23"/>
      <w:r>
        <w:rPr/>
        <w:t>Especificação do caso de uso UC03: Manter Animais e Raças</w:t>
      </w:r>
      <w:bookmarkEnd w:id="24"/>
    </w:p>
    <w:p>
      <w:pPr>
        <w:pStyle w:val="Heading3"/>
        <w:rPr/>
      </w:pPr>
      <w:r>
        <w:rPr/>
        <w:t>Interface de Usuário: Animais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5166995"/>
            <wp:effectExtent l="0" t="0" r="0" b="0"/>
            <wp:docPr id="7" name="uc03-animais" descr="Captura desktop da interface atual — uc03-animai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uc03-animais" descr="Captura desktop da interface atual — uc03-animai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5166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8" name="uc03-racas" descr="Captura desktop da interface atual — uc03-raca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uc03-racas" descr="Captura desktop da interface atual — uc03-raca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Um animal pertence a uma Raça (raca_id) e é alocado em Lotes através da tabela de junção lote_setor_animal (ver UC04). Antes de cadastrar o primeiro animal de uma raça nova, a raça precisa existir em "Manter Raças".</w:t>
      </w:r>
    </w:p>
    <w:p>
      <w:pPr>
        <w:pStyle w:val="Normal"/>
        <w:rPr/>
      </w:pPr>
      <w:r>
        <w:rPr>
          <w:b/>
        </w:rPr>
        <w:t>Mudança relevante em relação à v2.0:</w:t>
      </w:r>
      <w:r>
        <w:rPr/>
        <w:t xml:space="preserve"> o animal não tem mais campo nome nem raça em texto livre. O código do brinco (codigo_brinco) é gerado automaticamente pelo sistema a partir da sigla da raça + sequencial, e é único no banco (uq_animal_codigo_brinco). O animal também ganhou medidas zootécnicas (altura de cernelha, perímetro torácico, comprimento corporal) que não existiam no documento original.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250"/>
        <w:gridCol w:w="1351"/>
        <w:gridCol w:w="1439"/>
        <w:gridCol w:w="1440"/>
        <w:gridCol w:w="123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25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3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23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 do Brinco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Identificador único do animal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Identificação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automaticamente (sigla da raça + sequencial)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 pelo usuário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no sistema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Raça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Raça do animal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raças cadastradas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Define a sigla usada no código do brinco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Nascimento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nascimento do animal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válida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Peso Atual (kg)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Peso mais recente do animal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 da pelagem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Altura de Cernelha (cm)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Medida zootécnica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Perímetro Torácico (cm)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Medida zootécnica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Comprimento Corporal (cm)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Medida zootécnica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9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Sexo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Sexo do animal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zootécnicos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 ou F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10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Status do Animal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Situação atual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manejo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ATIVO, OBSERVACAO, VENDIDO, OBITO ou ABATIDO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25" w:name="__RefHeading___Toc15449_706905635"/>
      <w:bookmarkEnd w:id="25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Animal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Abre o cadastro de um novo animal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autenticado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Redireciona para o formulário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os dados do animal selecionado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Ver Detalhes / Ocorrências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histórico de ocorrências do animal (nascimento, óbito, doença, vacinação, pesagem)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 a tabela ocorrencia_animal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Cadastrar Raça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Abre o cadastro de uma nova raça (sigla + produto vinculado)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autorizado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automaticamente um produto (insumo) do grupo "Animais" para a raça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consultar, cadastrar, editar e acompanhar o histórico dos animais. Cada raça cadastrada gera automaticamente um insumo/produto correspondente (grupo "Animais", unidade "CABEÇA"), usado depois nas movimentações de compra e venda de animais.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 e a raça do animal já deve existir.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27"/>
        </w:numPr>
        <w:rPr/>
      </w:pPr>
      <w:r>
        <w:rPr/>
        <w:t>O usuário acessa a tela Animais.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 listagem de animais cadastrados.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 novo animal, informando raça, medidas e sexo.</w:t>
      </w:r>
    </w:p>
    <w:p>
      <w:pPr>
        <w:pStyle w:val="NoSpacing"/>
        <w:numPr>
          <w:ilvl w:val="0"/>
          <w:numId w:val="3"/>
        </w:numPr>
        <w:rPr/>
      </w:pPr>
      <w:r>
        <w:rPr/>
        <w:t>O sistema gera automaticamente o código do brinco e registra o animal.</w:t>
      </w:r>
    </w:p>
    <w:p>
      <w:pPr>
        <w:pStyle w:val="NoSpacing"/>
        <w:numPr>
          <w:ilvl w:val="0"/>
          <w:numId w:val="3"/>
        </w:numPr>
        <w:rPr/>
      </w:pPr>
      <w:r>
        <w:rPr/>
        <w:t>A listagem é atualizada.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Raça inexistente</w:t>
      </w:r>
      <w:r>
        <w:rPr/>
        <w:t xml:space="preserve"> — O usuário tenta cadastrar um animal sem antes cadastrar a raça correspondente. O sistema não oferece a raça na lista de seleção; o usuário deve cadastrar a raça primeiro.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Sigla de raça duplicada</w:t>
      </w:r>
      <w:r>
        <w:rPr/>
        <w:t xml:space="preserve"> — Ao cadastrar uma raça com sigla já usada por outra, o sistema rejeita (uk_raca_sigla) e exibe mensagem de erro.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Código do brinco já usado</w:t>
      </w:r>
      <w:r>
        <w:rPr/>
        <w:t xml:space="preserve"> — Cenário defensivo tratado pela constraint uq_animal_codigo_brinco; como a geração é automática, só ocorreria por condição de corrida, tratada pelo backend.</w:t>
      </w:r>
      <w:r>
        <w:br w:type="page"/>
      </w:r>
    </w:p>
    <w:p>
      <w:pPr>
        <w:pStyle w:val="Heading2"/>
        <w:rPr/>
      </w:pPr>
      <w:bookmarkStart w:id="26" w:name="__RefHeading___Toc15451_706905635"/>
      <w:bookmarkStart w:id="27" w:name="_PraxisV3_1012"/>
      <w:bookmarkEnd w:id="26"/>
      <w:r>
        <w:rPr/>
        <w:t>Especificação do caso de uso UC04: Manter Lotes</w:t>
      </w:r>
      <w:bookmarkEnd w:id="27"/>
    </w:p>
    <w:p>
      <w:pPr>
        <w:pStyle w:val="Heading3"/>
        <w:rPr/>
      </w:pPr>
      <w:r>
        <w:rPr/>
        <w:t>Interface de Usuário: Lotes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9" name="uc04-lotes" descr="Captura desktop da interface atual — uc04-lot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uc04-lotes" descr="Captura desktop da interface atual — uc04-lot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>
          <w:b/>
        </w:rPr>
        <w:t>Mudança relevante em relação à v2.0:</w:t>
      </w:r>
      <w:r>
        <w:rPr/>
        <w:t xml:space="preserve"> o relacionamento lote↔setor deixou de ser um FK simples (lote.setor_id, removido na migration V12) e passou a ser N:N por meio da tabela lote_setor, com os animais alocados por combinação lote×setor em lote_setor_animal. Ou seja, hoje </w:t>
      </w:r>
      <w:r>
        <w:rPr>
          <w:b/>
        </w:rPr>
        <w:t>um lote pode estar em vários setores ao mesmo tempo</w:t>
      </w:r>
      <w:r>
        <w:rPr/>
        <w:t>, e cada animal do lote é alocado a um setor específico dentro dele. O componente MultiSelectDropdown no formulário reflete essa seleção múltipla de setores.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250"/>
        <w:gridCol w:w="1351"/>
        <w:gridCol w:w="1439"/>
        <w:gridCol w:w="1440"/>
        <w:gridCol w:w="123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25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3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23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 identificador do lote (ex.: LOT001)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Identificação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até 10 caracteres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automaticamente na criação, não editável depois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no sistema (uq_lote_codigo)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Descrição livre do lote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Raça Predominante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Raça predominante do lote (texto livre)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Nelore, Angus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 do Brinco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 de brinco usada para identificar visualmente o lote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Amarelo, Vermelho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Criação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criação do lote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válida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Setores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Um ou mais setores onde o lote está alocado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Alocação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múltipla entre setores cadastrados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Via lote_setor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 por Setor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 do lote alocados em cada setor selecionado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Alocação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múltipla de animais por setor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Via lote_setor_animal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28" w:name="__RefHeading___Toc15453_706905635"/>
      <w:bookmarkEnd w:id="28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Lote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Abre o cadastro de um novo lote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autenticado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dados e realoca setores/animais do lote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o lote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Solicita confirmação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Transferir Animal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Move um animal de um lote/setor para outro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Animal e lote de destino existentes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POST /api/lotes/transferir-animal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Custo de Ração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o custo acumulado de ração aplicado ao lote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lote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/api/lotes/{id}/custo-racao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Perdas de Alimentação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as sobras/perdas de alimentação registradas para o lote (por meio dos setores em que ele está alocado)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lote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/api/lotes/{id}/perdas-alimentacao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Gerar PDF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 a listagem de lotes para PDF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de registros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/api/lotes/pdf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consultar, cadastrar, editar e excluir lotes, alocando-os em um ou mais setores e distribuindo os animais entre essas alocações. Também reúne indicadores derivados, como o custo de ração consumida pelo lote e as perdas de alimentação associadas.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devem existir setores e animais cadastrados para as alocações.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28"/>
        </w:numPr>
        <w:rPr/>
      </w:pPr>
      <w:r>
        <w:rPr/>
        <w:t>O usuário acessa a tela Lotes.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 listagem de lotes com sua ocupação.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 lote, seleciona um ou mais setores e distribui os animais entre eles.</w:t>
      </w:r>
    </w:p>
    <w:p>
      <w:pPr>
        <w:pStyle w:val="NoSpacing"/>
        <w:numPr>
          <w:ilvl w:val="0"/>
          <w:numId w:val="3"/>
        </w:numPr>
        <w:rPr/>
      </w:pPr>
      <w:r>
        <w:rPr/>
        <w:t>O sistema salva o lote e suas alocações.</w:t>
      </w:r>
    </w:p>
    <w:p>
      <w:pPr>
        <w:pStyle w:val="NoSpacing"/>
        <w:numPr>
          <w:ilvl w:val="0"/>
          <w:numId w:val="3"/>
        </w:numPr>
        <w:rPr/>
      </w:pPr>
      <w:r>
        <w:rPr/>
        <w:t>A listagem é atualizada.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Código de lote duplicado</w:t>
      </w:r>
      <w:r>
        <w:rPr/>
        <w:t xml:space="preserve"> — O sistema impede a gravação e exibe erro (uq_lote_codigo).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Animal já alocado em outro lote/setor</w:t>
      </w:r>
      <w:r>
        <w:rPr/>
        <w:t xml:space="preserve"> — Ao tentar alocar um animal já vinculado em outra combinação lote×setor, o sistema impede a duplicidade.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Transferência de animal entre lotes</w:t>
      </w:r>
      <w:r>
        <w:rPr/>
        <w:t xml:space="preserve"> — O usuário seleciona um animal, o lote/setor de origem e o de destino; o sistema atualiza lote_setor_animal de forma atômica.</w:t>
      </w:r>
      <w:r>
        <w:br w:type="page"/>
      </w:r>
    </w:p>
    <w:p>
      <w:pPr>
        <w:pStyle w:val="Heading2"/>
        <w:rPr/>
      </w:pPr>
      <w:bookmarkStart w:id="29" w:name="__RefHeading___Toc15455_706905635"/>
      <w:bookmarkStart w:id="30" w:name="_PraxisV3_1013"/>
      <w:bookmarkEnd w:id="29"/>
      <w:r>
        <w:rPr/>
        <w:t>Especificação do caso de uso UC05: Manter Setores</w:t>
      </w:r>
      <w:bookmarkEnd w:id="30"/>
    </w:p>
    <w:p>
      <w:pPr>
        <w:pStyle w:val="Heading3"/>
        <w:rPr/>
      </w:pPr>
      <w:r>
        <w:rPr/>
        <w:t>Interface de Usuário: Setores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0" name="uc05-setores" descr="Captura desktop da interface atual — uc05-setor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uc05-setores" descr="Captura desktop da interface atual — uc05-setor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Um setor recebe lotes (via lote_setor), metas de produção (UC06), consumo de insumos/alimentação (UC08) e é auditado (criado_por/alterado_por referenciam usuario).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2028"/>
        <w:gridCol w:w="1620"/>
        <w:gridCol w:w="1530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2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2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Nome do setor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2"/>
                <w:lang w:val="pt-BR" w:eastAsia="pt-BR" w:bidi="ar-SA"/>
              </w:rPr>
              <w:t>Texto até 100 caracteres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Ex.: Pasto Norte, Curral 01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Tipo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2"/>
                <w:lang w:val="pt-BR" w:eastAsia="pt-BR" w:bidi="ar-SA"/>
              </w:rPr>
              <w:t>Tipo do setor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PASTO, GALPAO, CONFINAMENTO ou PATIO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Capacidade Máxima</w:t>
            </w:r>
          </w:p>
        </w:tc>
        <w:tc>
          <w:tcPr>
            <w:tcW w:w="202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2"/>
                <w:lang w:val="pt-BR" w:eastAsia="pt-BR" w:bidi="ar-SA"/>
              </w:rPr>
              <w:t>Número máximo de animais no setor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Número inteiro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Usado para calcular a barra de ocupação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Meta (texto)</w:t>
            </w:r>
          </w:p>
        </w:tc>
        <w:tc>
          <w:tcPr>
            <w:tcW w:w="202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Observações livres sobre metas do setor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2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2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color w:val="000000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Liberation Serif"/>
                <w:kern w:val="0"/>
                <w:szCs w:val="20"/>
                <w:lang w:val="pt-BR" w:eastAsia="pt-BR" w:bidi="ar-SA"/>
              </w:rPr>
              <w:t>Opcional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31" w:name="__RefHeading___Toc15457_706905635"/>
      <w:bookmarkEnd w:id="31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Setor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Abre o cadastro de um novo setor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autenticado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criado_por_id automaticamente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os dados do setor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alterado_por_id automaticamente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o setor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Sem dependências vinculadas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Bloqueado se houver lotes alocados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Gerar PDF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 a listagem de setores para PDF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de registros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/api/setores/pdf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consultar, cadastrar, editar e excluir setores, com auditoria automática de quem criou e quem alterou cada registro.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29"/>
        </w:numPr>
        <w:rPr/>
      </w:pPr>
      <w:r>
        <w:rPr/>
        <w:t>O usuário acessa a tela Setores.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 listagem com ocupação (animais alocados / capacidade máxima).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ou edita um setor.</w:t>
      </w:r>
    </w:p>
    <w:p>
      <w:pPr>
        <w:pStyle w:val="NoSpacing"/>
        <w:numPr>
          <w:ilvl w:val="0"/>
          <w:numId w:val="3"/>
        </w:numPr>
        <w:rPr/>
      </w:pPr>
      <w:r>
        <w:rPr/>
        <w:t>O sistema registra o usuário responsável pela operação.</w:t>
      </w:r>
    </w:p>
    <w:p>
      <w:pPr>
        <w:pStyle w:val="NoSpacing"/>
        <w:numPr>
          <w:ilvl w:val="0"/>
          <w:numId w:val="3"/>
        </w:numPr>
        <w:rPr/>
      </w:pPr>
      <w:r>
        <w:rPr/>
        <w:t>A listagem é atualizada.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Exclusão bloqueada</w:t>
      </w:r>
      <w:r>
        <w:rPr/>
        <w:t xml:space="preserve"> — O setor possui lotes alocados (lote_setor), consumo de insumo ou metas vinculadas; o sistema impede a exclusão e informa o motivo.</w:t>
      </w:r>
      <w:r>
        <w:br w:type="page"/>
      </w:r>
    </w:p>
    <w:p>
      <w:pPr>
        <w:pStyle w:val="Heading2"/>
        <w:rPr/>
      </w:pPr>
      <w:bookmarkStart w:id="32" w:name="__RefHeading___Toc15459_706905635"/>
      <w:bookmarkStart w:id="33" w:name="_PraxisV3_1014"/>
      <w:bookmarkEnd w:id="32"/>
      <w:r>
        <w:rPr/>
        <w:t>Especificação do caso de uso UC06: Metas de Setor</w:t>
      </w:r>
      <w:bookmarkEnd w:id="33"/>
    </w:p>
    <w:p>
      <w:pPr>
        <w:pStyle w:val="Heading3"/>
        <w:rPr/>
      </w:pPr>
      <w:r>
        <w:rPr/>
        <w:t>Interface de Usuário: Metas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1" name="uc06-metas" descr="Captura desktop da interface atual — uc06-meta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uc06-metas" descr="Captura desktop da interface atual — uc06-meta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Uma meta é definida para um Setor, para um período (data inicial/final) e um tipo de meta (Leite ou Arroba). As medições (medicao_meta) registram o progresso lançado por lote dentro do período da meta. Vendas de leite (UC14) podem gerar registros em venda_meta_lote, vinculando a meta ao resultado de vendas.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250"/>
        <w:gridCol w:w="1351"/>
        <w:gridCol w:w="1439"/>
        <w:gridCol w:w="1440"/>
        <w:gridCol w:w="123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25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3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23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 ao qual a meta pertence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setores cadastrados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 de Meta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 de produção medida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LEITE ou ARROBA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 de Gado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 usada para calcular rendimento de carcaça (apenas metas de Arroba)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Bovino jovem (50%), Novilha/vaca de descarte (47,5%) ou Confinamento (56%)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Condicional a Tipo de Meta = Arroba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Define a taxa de rendimento usada no cálculo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Inicial / Data Final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Período de vigência da meta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Datas válidas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final ≥ data inicial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Esperada</w:t>
            </w:r>
          </w:p>
        </w:tc>
        <w:tc>
          <w:tcPr>
            <w:tcW w:w="225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Meta numérica a ser atingida no período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Em litros (Leite) ou arrobas (Arroba)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Médio</w:t>
            </w:r>
          </w:p>
        </w:tc>
        <w:tc>
          <w:tcPr>
            <w:tcW w:w="225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médio usado para projeção financeira da meta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3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23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34" w:name="__RefHeading___Toc15461_706905635"/>
      <w:bookmarkEnd w:id="34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Nova Meta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uma meta para um setor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Campos obrigatórios preenchidos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/ Excluir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ou remove uma meta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Lançar Medição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a quantidade produzida por um lote em uma data, dentro do período da meta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Meta e lote existentes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Alimenta o progresso exibido no card da meta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/ Excluir Medição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Corrige ou remove uma medição lançada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da medição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Gerar PDF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 as metas para PDF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de registros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/api/metas-setor/pdf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definir metas de produção (leite ou arrobas) por setor e período, e acompanhar o progresso por meio de medições lançadas periodicamente para cada lote alocado no setor.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devem existir setores e lotes cadastrados.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0"/>
        </w:numPr>
        <w:rPr/>
      </w:pPr>
      <w:r>
        <w:rPr/>
        <w:t>O usuário acessa a tela Metas.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as metas cadastradas com seu progresso.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uma meta, definindo setor, tipo, período e quantidade esperada.</w:t>
      </w:r>
    </w:p>
    <w:p>
      <w:pPr>
        <w:pStyle w:val="NoSpacing"/>
        <w:numPr>
          <w:ilvl w:val="0"/>
          <w:numId w:val="3"/>
        </w:numPr>
        <w:rPr/>
      </w:pPr>
      <w:r>
        <w:rPr/>
        <w:t>Ao longo do período, o usuário lança medições por lote.</w:t>
      </w:r>
    </w:p>
    <w:p>
      <w:pPr>
        <w:pStyle w:val="NoSpacing"/>
        <w:numPr>
          <w:ilvl w:val="0"/>
          <w:numId w:val="3"/>
        </w:numPr>
        <w:rPr/>
      </w:pPr>
      <w:r>
        <w:rPr/>
        <w:t>O sistema acumula as medições e exibe o percentual de progresso da meta.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Medição fora do período da meta</w:t>
      </w:r>
      <w:r>
        <w:rPr/>
        <w:t xml:space="preserve"> — O sistema rejeita medições com data fora do intervalo data_inicial–data_final.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Meta de Arroba sem Tipo de Gado</w:t>
      </w:r>
      <w:r>
        <w:rPr/>
        <w:t xml:space="preserve"> — Campo obrigatório quando Tipo de Meta = Arroba, pois define a taxa de rendimento usada no cálculo de arrobas.</w:t>
      </w:r>
      <w:r>
        <w:br w:type="page"/>
      </w:r>
    </w:p>
    <w:p>
      <w:pPr>
        <w:pStyle w:val="Heading2"/>
        <w:rPr/>
      </w:pPr>
      <w:bookmarkStart w:id="35" w:name="__RefHeading___Toc15463_706905635"/>
      <w:bookmarkStart w:id="36" w:name="_PraxisV3_1015"/>
      <w:bookmarkEnd w:id="35"/>
      <w:r>
        <w:rPr/>
        <w:t>Especificação do caso de uso UC07: Insumos — Catálogo, Grupos e Unidades de Medida</w:t>
      </w:r>
      <w:bookmarkEnd w:id="36"/>
    </w:p>
    <w:p>
      <w:pPr>
        <w:pStyle w:val="Heading3"/>
        <w:rPr/>
      </w:pPr>
      <w:r>
        <w:rPr/>
        <w:t>Interface de Usuário: Insumos → Catálogo de Produtos / Grupos de Produto / Unidades de Medida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5158740"/>
            <wp:effectExtent l="0" t="0" r="0" b="0"/>
            <wp:docPr id="12" name="uc07-catalogo" descr="Captura desktop da interface atual — uc07-catalog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uc07-catalogo" descr="Captura desktop da interface atual — uc07-catalog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51587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3" name="uc07-grupos" descr="Captura desktop da interface atual — uc07-grupo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uc07-grupos" descr="Captura desktop da interface atual — uc07-grupo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4" name="uc07-unidades" descr="Captura desktop da interface atual — uc07-unidad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uc07-unidades" descr="Captura desktop da interface atual — uc07-unidad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>
          <w:b/>
        </w:rPr>
        <w:t>Mudança relevante em relação à v2.0:</w:t>
      </w:r>
      <w:r>
        <w:rPr/>
        <w:t xml:space="preserve"> o cadastro de insumos deixou de ser uma lista simples (nome/categoria/quantidade/mínimo) e passou a ser um catálogo hierárquico: cada produto (insumo) pertence a um </w:t>
      </w:r>
      <w:r>
        <w:rPr>
          <w:b/>
        </w:rPr>
        <w:t>Grupo de Produto</w:t>
      </w:r>
      <w:r>
        <w:rPr/>
        <w:t xml:space="preserve"> (grupo_produto, com prefixo de 2 dígitos e natureza financeira Custo/Gasto), tem um </w:t>
      </w:r>
      <w:r>
        <w:rPr>
          <w:b/>
        </w:rPr>
        <w:t>código de 8 dígitos gerado automaticamente</w:t>
      </w:r>
      <w:r>
        <w:rPr/>
        <w:t xml:space="preserve"> (prefixo do grupo + sequencial de 6 dígitos), e referencia </w:t>
      </w:r>
      <w:r>
        <w:rPr>
          <w:b/>
        </w:rPr>
        <w:t>Unidades de Medida</w:t>
      </w:r>
      <w:r>
        <w:rPr/>
        <w:t xml:space="preserve"> primária e secundária com fator de conversão entre elas (ex.: saco de 25kg ↔ kg).</w:t>
      </w:r>
    </w:p>
    <w:p>
      <w:pPr>
        <w:pStyle w:val="Heading4"/>
        <w:rPr/>
      </w:pPr>
      <w:r>
        <w:rPr/>
        <w:t>Campos — Catálogo de Produtos (`insumo`)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1985"/>
        <w:gridCol w:w="1135"/>
        <w:gridCol w:w="1416"/>
        <w:gridCol w:w="1419"/>
        <w:gridCol w:w="207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98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3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1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1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207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 do produto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Identificação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 dígitos, gerado automaticamente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Prefixo = código do grupo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do produto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pode ser vazio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 do insumo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RACAO, VACINA, MEDICAMENTO, OUTROS ou ANIMAL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e editável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Grupo de Produto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Grupo ao qual o produto pertence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grupos cadastrados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Define o prefixo do código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de Medida Primária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usada para controlar o saldo do estoque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unidades cadastradas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de Medida Secundária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alternativa de registro (ex.: saco)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unidades cadastradas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Usada junto ao Fator de Conversão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Fator de Conversão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Quantos primárias equivalem a uma secundária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se houver unidade secundária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1 saco = 25 kg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Estoque Mínimo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mínima antes do alerta de estoque baixo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Alimenta o alerta do Dashboard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9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de Compra Médio / Última Compra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Preços médio e da última entrada de estoque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Valores decimais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Calculados pelo sistema a cada entrada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37" w:name="__RefHeading___Toc15465_706905635"/>
      <w:bookmarkEnd w:id="37"/>
      <w:r>
        <w:rPr>
          <w:rFonts w:eastAsia="Liberation Serif" w:cs="Liberation Serif"/>
          <w:b/>
          <w:bCs/>
          <w:sz w:val="24"/>
          <w:szCs w:val="24"/>
        </w:rPr>
        <w:t>Comandos — Catálogo de Produtos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Produto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um novo produto no catálogo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ADMINISTRADOR, GERENTE ou CUIDADOR_CHEFE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 código é gerado automaticamente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Entrada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entrada de estoque (compra) do produto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autorizado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Atualiza saldo, preço médio e preço da última compra; aceita número de NF e chave de acesso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os dados cadastrais do produto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Inativar / Reativar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Desativa ou reativa o produto sem apagar histórico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 Definitivamente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o produto permanentemente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Produto inativo, sem movimentações vinculadas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Ação irreversível, exige confirmação</w:t>
            </w:r>
          </w:p>
        </w:tc>
      </w:tr>
    </w:tbl>
    <w:p>
      <w:pPr>
        <w:pStyle w:val="Heading4"/>
        <w:rPr/>
      </w:pPr>
      <w:r>
        <w:rPr/>
        <w:t>Campos — Grupos de Produto (`grupo_produto`)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1985"/>
        <w:gridCol w:w="1135"/>
        <w:gridCol w:w="1416"/>
        <w:gridCol w:w="1419"/>
        <w:gridCol w:w="207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98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3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1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1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207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Prefixo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Código de 2 dígitos que prefixa todos os produtos do grupo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Identificação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 dígitos numéricos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(uk_grupo_produto_codigo_prefixo)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do grupo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Ração, Vacinas, Animais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 do Grupo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 de insumo do grupo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RACAO, VACINA, MEDICAMENTO, OUTROS ou ANIMAL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Natureza Financeira</w:t>
            </w:r>
          </w:p>
        </w:tc>
        <w:tc>
          <w:tcPr>
            <w:tcW w:w="19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 o grupo gera Custo (retorno em produtos vendidos) ou Gasto (sem retorno direto)</w:t>
            </w:r>
          </w:p>
        </w:tc>
        <w:tc>
          <w:tcPr>
            <w:tcW w:w="113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CUSTO ou GASTO</w:t>
            </w:r>
          </w:p>
        </w:tc>
        <w:tc>
          <w:tcPr>
            <w:tcW w:w="141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Usada no cálculo do DRE (UC17)</w:t>
            </w:r>
          </w:p>
        </w:tc>
      </w:tr>
    </w:tbl>
    <w:p>
      <w:pPr>
        <w:pStyle w:val="Heading4"/>
        <w:rPr/>
      </w:pPr>
      <w:r>
        <w:rPr/>
        <w:t>Campos — Unidades de Medida (`unidade_medida`)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1985"/>
        <w:gridCol w:w="1135"/>
        <w:gridCol w:w="1416"/>
        <w:gridCol w:w="1419"/>
        <w:gridCol w:w="207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198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3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1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1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207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</w:t>
            </w:r>
          </w:p>
        </w:tc>
        <w:tc>
          <w:tcPr>
            <w:tcW w:w="19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Sigla/nome da unidade (kg, L, doses, sacas, cabeça...)</w:t>
            </w:r>
          </w:p>
        </w:tc>
        <w:tc>
          <w:tcPr>
            <w:tcW w:w="113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41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1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207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As três sub-abas formam o cadastro base do módulo de Insumos: primeiro se cadastram as unidades de medida e os grupos de produto, e só então os produtos individuais, que herdam o prefixo do grupo em seu código automático. Os grupos "Animais" (prefixo 01) e "Vacinas" (prefixo 02) são semeados automaticamente pelo sistema (via DataInitializer em banco vazio, ou pelas migrations V23/V29 em bancos já existentes) e não precisam ser recriados manualmente.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para operações de cadastro/edição, precisa ter um dos perfis autorizados.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1"/>
        </w:numPr>
        <w:rPr/>
      </w:pPr>
      <w:r>
        <w:rPr/>
        <w:t>O usuário acessa Insumos → Catálogo de Produtos.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os produtos cadastrados, com código, grupo, saldo e estoque mínimo.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 novo produto, selecionando grupo e unidades.</w:t>
      </w:r>
    </w:p>
    <w:p>
      <w:pPr>
        <w:pStyle w:val="NoSpacing"/>
        <w:numPr>
          <w:ilvl w:val="0"/>
          <w:numId w:val="3"/>
        </w:numPr>
        <w:rPr/>
      </w:pPr>
      <w:r>
        <w:rPr/>
        <w:t>O sistema gera o código automaticamente e salva o produto.</w:t>
      </w:r>
    </w:p>
    <w:p>
      <w:pPr>
        <w:pStyle w:val="NoSpacing"/>
        <w:numPr>
          <w:ilvl w:val="0"/>
          <w:numId w:val="3"/>
        </w:numPr>
        <w:rPr/>
      </w:pPr>
      <w:r>
        <w:rPr/>
        <w:t>A listagem é atualizada.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Prefixo de grupo duplicado</w:t>
      </w:r>
      <w:r>
        <w:rPr/>
        <w:t xml:space="preserve"> — O sistema rejeita a criação de um grupo com prefixo já usado.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Falha ao gerar código do produto</w:t>
      </w:r>
      <w:r>
        <w:rPr/>
        <w:t xml:space="preserve"> — Se o grupo já atingiu o limite de sequenciais na faixa reservada ao prefixo, o sistema lança erro e impede o cadastro.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Estoque abaixo do mínimo</w:t>
      </w:r>
      <w:r>
        <w:rPr/>
        <w:t xml:space="preserve"> — O sistema compara saldo atual com o estoque mínimo e sinaliza o produto na listagem e no alerta do Dashboard.</w:t>
      </w:r>
      <w:r>
        <w:br w:type="page"/>
      </w:r>
    </w:p>
    <w:p>
      <w:pPr>
        <w:pStyle w:val="Heading2"/>
        <w:rPr/>
      </w:pPr>
      <w:bookmarkStart w:id="38" w:name="__RefHeading___Toc15467_706905635"/>
      <w:bookmarkStart w:id="39" w:name="_PraxisV3_1016"/>
      <w:bookmarkEnd w:id="38"/>
      <w:r>
        <w:rPr/>
        <w:t>Especificação do caso de uso UC08: Alimentar Setores e Sobra de Alimentação</w:t>
      </w:r>
      <w:bookmarkEnd w:id="39"/>
    </w:p>
    <w:p>
      <w:pPr>
        <w:pStyle w:val="Heading3"/>
        <w:rPr/>
      </w:pPr>
      <w:r>
        <w:rPr/>
        <w:t>Interface de Usuário: Insumos → Alimentar Setores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5" name="uc08-alimentacao" descr="Captura desktop da interface atual — uc08-alimentaca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uc08-alimentacao" descr="Captura desktop da interface atual — uc08-alimentaca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Registra o consumo de um insumo (tipicamente ração) por um setor (consumo_insumo), debitando o estoque do produto. Cada registro de alimentação pode, posteriormente, receber o lançamento de quanto sobrou (sobra_alimentacao, 1:1 com o consumo), que pode gerar estorno de insumo ao estoque quando a sobra é reaproveitada.</w:t>
      </w:r>
    </w:p>
    <w:p>
      <w:pPr>
        <w:pStyle w:val="Heading4"/>
        <w:rPr/>
      </w:pPr>
      <w:r>
        <w:rPr/>
        <w:t>Campos — Alimentar Setores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2410"/>
        <w:gridCol w:w="1238"/>
        <w:gridCol w:w="1530"/>
        <w:gridCol w:w="1484"/>
        <w:gridCol w:w="1371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41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3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Insumo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Produto de ração/insumo aplicado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produtos do estoque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 que recebeu a alimentação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setores cadastrados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Usado para calcular consumo por animal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aplicada, na unidade escolhida pelo usuário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Convertida para a unidade primária do insumo antes da baixa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de Registro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em que a quantidade foi informada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unidades cadastradas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Pode ser a primária ou a secundária do insumo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do Consumo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da alimentação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válida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Campos — Sobra de Alimentação (lançada sobre um consumo já registrado)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2410"/>
        <w:gridCol w:w="1238"/>
        <w:gridCol w:w="1530"/>
        <w:gridCol w:w="1484"/>
        <w:gridCol w:w="1371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41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3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da Sobra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que sobrou da alimentação aplicada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sobra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pode superar a quantidade aplicada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Reaproveitado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Indica se a sobra foi reaproveitada (ex.: devolvida ao estoque) ou descartada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sobra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Sim/Não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 reaproveitado, estorna insumo ao estoque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Percentual da Sobra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% da sobra em relação ao total aplicado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pelo sistema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Base para a faixa de status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Status da Faixa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Classificação automática da sobra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OK, ABAIXO, ACIMA ou PERDA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Faixa ideal considerada: 3%–5% do total aplicado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de Ajuste Recomendada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Sugestão de ajuste na próxima alimentação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quando a sobra sai da faixa ideal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40" w:name="__RefHeading___Toc15469_706905635"/>
      <w:bookmarkEnd w:id="40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Consumo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 a alimentação de um setor, baixando o insumo do estoque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Estoque suficiente do insumo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/ Excluir Consumo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Corrige ou remove um registro de alimentação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Recalcula a baixa de estoque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Sobra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 quanto sobrou de um consumo já registrado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Consumo existente, sem sobra lançada ainda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Um consumo só pode ter uma sobra (uq_sobra_alimentacao_consumo)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 Sobra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o lançamento de sobra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da sobra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Reverte eventual estorno de insumo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registrar a alimentação aplicada a um setor e, posteriormente, informar quanto sobrou daquela alimentação. O sistema classifica automaticamente a sobra em relação a uma faixa ideal (3% a 5% do total aplicado) e recomenda ajustes na quantidade da próxima alimentação. Quando a sobra é marcada como reaproveitada, o insumo correspondente é estornado ao estoque.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 existir saldo suficiente do insumo escolhido.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2"/>
        </w:numPr>
        <w:rPr/>
      </w:pPr>
      <w:r>
        <w:rPr/>
        <w:t>O usuário acessa Insumos → Alimentar Setores.</w:t>
      </w:r>
    </w:p>
    <w:p>
      <w:pPr>
        <w:pStyle w:val="NoSpacing"/>
        <w:numPr>
          <w:ilvl w:val="0"/>
          <w:numId w:val="3"/>
        </w:numPr>
        <w:rPr/>
      </w:pPr>
      <w:r>
        <w:rPr/>
        <w:t>O usuário seleciona insumo, setor, quantidade e unidade.</w:t>
      </w:r>
    </w:p>
    <w:p>
      <w:pPr>
        <w:pStyle w:val="NoSpacing"/>
        <w:numPr>
          <w:ilvl w:val="0"/>
          <w:numId w:val="3"/>
        </w:numPr>
        <w:rPr/>
      </w:pPr>
      <w:r>
        <w:rPr/>
        <w:t>O sistema converte a quantidade para a unidade primária e debita o estoque.</w:t>
      </w:r>
    </w:p>
    <w:p>
      <w:pPr>
        <w:pStyle w:val="NoSpacing"/>
        <w:numPr>
          <w:ilvl w:val="0"/>
          <w:numId w:val="3"/>
        </w:numPr>
        <w:rPr/>
      </w:pPr>
      <w:r>
        <w:rPr/>
        <w:t>Posteriormente, o usuário registra a sobra daquele consumo.</w:t>
      </w:r>
    </w:p>
    <w:p>
      <w:pPr>
        <w:pStyle w:val="NoSpacing"/>
        <w:numPr>
          <w:ilvl w:val="0"/>
          <w:numId w:val="3"/>
        </w:numPr>
        <w:rPr/>
      </w:pPr>
      <w:r>
        <w:rPr/>
        <w:t>O sistema calcula o percentual da sobra, classifica a faixa e, se reaproveitado, estorna o insumo ao estoque.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Estoque insuficiente</w:t>
      </w:r>
      <w:r>
        <w:rPr/>
        <w:t xml:space="preserve"> — O sistema rejeita o consumo se a quantidade convertida exceder o saldo disponível do insumo.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Sobra acima do total aplicado</w:t>
      </w:r>
      <w:r>
        <w:rPr/>
        <w:t xml:space="preserve"> — O sistema rejeita sobras maiores que a quantidade originalmente aplicada.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Sobra fora da faixa ideal</w:t>
      </w:r>
      <w:r>
        <w:rPr/>
        <w:t xml:space="preserve"> — Quando o percentual foge de 3%–5%, o status é marcado ABAIXO, ACIMA ou PERDA e o sistema sugere uma quantidade de ajuste.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SF04: Consumo já possui sobra lançada</w:t>
      </w:r>
      <w:r>
        <w:rPr/>
        <w:t xml:space="preserve"> — O sistema impede lançar uma segunda sobra para o mesmo consumo (constraint de unicidade).</w:t>
      </w:r>
      <w:r>
        <w:br w:type="page"/>
      </w:r>
    </w:p>
    <w:p>
      <w:pPr>
        <w:pStyle w:val="Heading2"/>
        <w:rPr/>
      </w:pPr>
      <w:bookmarkStart w:id="41" w:name="__RefHeading___Toc15471_706905635"/>
      <w:bookmarkStart w:id="42" w:name="_PraxisV3_1017"/>
      <w:bookmarkEnd w:id="41"/>
      <w:r>
        <w:rPr/>
        <w:t>Especificação do caso de uso UC09: Consumo de Estoque</w:t>
      </w:r>
      <w:bookmarkEnd w:id="42"/>
    </w:p>
    <w:p>
      <w:pPr>
        <w:pStyle w:val="Heading3"/>
        <w:rPr/>
      </w:pPr>
      <w:r>
        <w:rPr/>
        <w:t>Interface de Usuário: Insumos → Consumo de Estoque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6" name="uc09-consumo" descr="Captura desktop da interface atual — uc09-consum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uc09-consumo" descr="Captura desktop da interface atual — uc09-consum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Registra a baixa avulsa de um ou mais insumos do estoque, por qualquer usuário ativo, com motivo obrigatório — diferente da Alimentação de Setores (UC08), que é específica para ração/alimentação, e da Vacinação (UC10), que é específica para aplicação em animais.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2410"/>
        <w:gridCol w:w="1238"/>
        <w:gridCol w:w="1530"/>
        <w:gridCol w:w="1484"/>
        <w:gridCol w:w="1371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41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3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Motivo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Finalidade da baixa de estoque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obrigatório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do Consumo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do consumo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válida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Itens (Insumo, Quantidade, Unidade)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Um ou mais insumos baixados neste consumo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consumo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itens, cada um com insumo, quantidade e unidade de registro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ao menos um item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convertida para a unidade primária de cada insumo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43" w:name="__RefHeading___Toc15473_706905635"/>
      <w:bookmarkEnd w:id="43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Consumo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Cria um novo consumo de estoque com um ou mais itens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Qualquer usuário autenticado; estoque suficiente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um consumo ainda não cancelado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Cancelar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Cancela um consumo já registrado, com justificativa obrigatória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Autor do registro ou Administrador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Estorna os itens ao estoque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que qualquer usuário ativo registre a baixa de insumos do estoque para finalidades diversas (não cobertas por alimentação ou vacinação), sempre com um motivo. Um consumo pode ser cancelado posteriormente — mas apenas pelo autor do lançamento ou por um Administrador —, mediante justificativa, o que devolve os itens ao saldo do estoque.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 existir saldo suficiente para os itens informados.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3"/>
        </w:numPr>
        <w:rPr/>
      </w:pPr>
      <w:r>
        <w:rPr/>
        <w:t>O usuário acessa Insumos → Consumo de Estoque.</w:t>
      </w:r>
    </w:p>
    <w:p>
      <w:pPr>
        <w:pStyle w:val="NoSpacing"/>
        <w:numPr>
          <w:ilvl w:val="0"/>
          <w:numId w:val="3"/>
        </w:numPr>
        <w:rPr/>
      </w:pPr>
      <w:r>
        <w:rPr/>
        <w:t>O usuário informa o motivo, a data e adiciona um ou mais itens (insumo + quantidade + unidade).</w:t>
      </w:r>
    </w:p>
    <w:p>
      <w:pPr>
        <w:pStyle w:val="NoSpacing"/>
        <w:numPr>
          <w:ilvl w:val="0"/>
          <w:numId w:val="3"/>
        </w:numPr>
        <w:rPr/>
      </w:pPr>
      <w:r>
        <w:rPr/>
        <w:t>O sistema converte cada item para a unidade primária e debita o estoque correspondente.</w:t>
      </w:r>
    </w:p>
    <w:p>
      <w:pPr>
        <w:pStyle w:val="NoSpacing"/>
        <w:numPr>
          <w:ilvl w:val="0"/>
          <w:numId w:val="3"/>
        </w:numPr>
        <w:rPr/>
      </w:pPr>
      <w:r>
        <w:rPr/>
        <w:t>O consumo é registrado e listado.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Cancelamento por usuário não autorizado</w:t>
      </w:r>
      <w:r>
        <w:rPr/>
        <w:t xml:space="preserve"> — Um usuário que não é o autor do lançamento nem Administrador tenta cancelar; o sistema nega a operação.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Cancelamento sem justificativa</w:t>
      </w:r>
      <w:r>
        <w:rPr/>
        <w:t xml:space="preserve"> — O sistema exige o preenchimento do motivo do cancelamento.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Estoque insuficiente em algum item</w:t>
      </w:r>
      <w:r>
        <w:rPr/>
        <w:t xml:space="preserve"> — O sistema rejeita o consumo inteiro se qualquer item não tiver saldo suficiente.</w:t>
      </w:r>
      <w:r>
        <w:br w:type="page"/>
      </w:r>
    </w:p>
    <w:p>
      <w:pPr>
        <w:pStyle w:val="Heading2"/>
        <w:rPr/>
      </w:pPr>
      <w:bookmarkStart w:id="44" w:name="__RefHeading___Toc15475_706905635"/>
      <w:bookmarkStart w:id="45" w:name="_PraxisV3_1018"/>
      <w:bookmarkEnd w:id="44"/>
      <w:r>
        <w:rPr/>
        <w:t>Especificação do caso de uso UC10: Vacinar Animais</w:t>
      </w:r>
      <w:bookmarkEnd w:id="45"/>
    </w:p>
    <w:p>
      <w:pPr>
        <w:pStyle w:val="Heading3"/>
        <w:rPr/>
      </w:pPr>
      <w:r>
        <w:rPr/>
        <w:t>Interface de Usuário: Insumos → Vacinar Animais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7" name="uc10-vacinacao" descr="Captura desktop da interface atual — uc10-vacinaca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uc10-vacinacao" descr="Captura desktop da interface atual — uc10-vacinaca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Aplica um insumo (tipicamente do tipo VACINA) a um ou mais animais individuais, ou a um lote inteiro. A dose por animal é multiplicada pelo número de animais para calcular a baixa total do insumo.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03"/>
        <w:gridCol w:w="2410"/>
        <w:gridCol w:w="1238"/>
        <w:gridCol w:w="1530"/>
        <w:gridCol w:w="1484"/>
        <w:gridCol w:w="1371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0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41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3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Insumo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Vacina/medicamento aplicado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produtos do estoque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por Animal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Dose aplicada em cada animal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de Registro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Unidade da dose informada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unidades cadastradas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 (opcional)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 inteiro a ser vacinado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lotes cadastrados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Alternativa à seleção individual de animais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0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</w:t>
            </w:r>
          </w:p>
        </w:tc>
        <w:tc>
          <w:tcPr>
            <w:tcW w:w="24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Um ou mais animais que recebem a aplicação</w:t>
            </w:r>
          </w:p>
        </w:tc>
        <w:tc>
          <w:tcPr>
            <w:tcW w:w="123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animais cadastrados</w:t>
            </w:r>
          </w:p>
        </w:tc>
        <w:tc>
          <w:tcPr>
            <w:tcW w:w="148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se não houver lote selecionado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um item em vacinacao_animal_item por animal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30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Aplicação</w:t>
            </w:r>
          </w:p>
        </w:tc>
        <w:tc>
          <w:tcPr>
            <w:tcW w:w="24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da aplicação</w:t>
            </w:r>
          </w:p>
        </w:tc>
        <w:tc>
          <w:tcPr>
            <w:tcW w:w="123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aplicação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válida</w:t>
            </w:r>
          </w:p>
        </w:tc>
        <w:tc>
          <w:tcPr>
            <w:tcW w:w="148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46" w:name="__RefHeading___Toc15477_706905635"/>
      <w:bookmarkEnd w:id="46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Vacinação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Aplica a vacina/medicamento aos animais selecionados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Estoque suficiente para dose × número de animais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Baixa automática do estoque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8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4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Corrige uma vacinação ainda não cancelada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Cancelar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Cancela a vacinação, com justificativa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Estorna a quantidade total ao estoque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registrar a aplicação de vacinas ou medicamentos em animais individuais ou em todos os animais de um lote de uma só vez, calculando automaticamente a baixa total de estoque (dose por animal × quantidade de animais) e permitindo cancelamento com justificativa.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 existir saldo suficiente do insumo para a quantidade total calculada.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4"/>
        </w:numPr>
        <w:rPr/>
      </w:pPr>
      <w:r>
        <w:rPr/>
        <w:t>O usuário acessa Insumos → Vacinar Animais.</w:t>
      </w:r>
    </w:p>
    <w:p>
      <w:pPr>
        <w:pStyle w:val="NoSpacing"/>
        <w:numPr>
          <w:ilvl w:val="0"/>
          <w:numId w:val="3"/>
        </w:numPr>
        <w:rPr/>
      </w:pPr>
      <w:r>
        <w:rPr/>
        <w:t>O usuário seleciona o insumo, a dose por animal e a unidade.</w:t>
      </w:r>
    </w:p>
    <w:p>
      <w:pPr>
        <w:pStyle w:val="NoSpacing"/>
        <w:numPr>
          <w:ilvl w:val="0"/>
          <w:numId w:val="3"/>
        </w:numPr>
        <w:rPr/>
      </w:pPr>
      <w:r>
        <w:rPr/>
        <w:t>O usuário seleciona um lote inteiro ou animais individuais.</w:t>
      </w:r>
    </w:p>
    <w:p>
      <w:pPr>
        <w:pStyle w:val="NoSpacing"/>
        <w:numPr>
          <w:ilvl w:val="0"/>
          <w:numId w:val="3"/>
        </w:numPr>
        <w:rPr/>
      </w:pPr>
      <w:r>
        <w:rPr/>
        <w:t>O sistema calcula a quantidade total (dose × nº de animais) e debita o estoque.</w:t>
      </w:r>
    </w:p>
    <w:p>
      <w:pPr>
        <w:pStyle w:val="NoSpacing"/>
        <w:numPr>
          <w:ilvl w:val="0"/>
          <w:numId w:val="3"/>
        </w:numPr>
        <w:rPr/>
      </w:pPr>
      <w:r>
        <w:rPr/>
        <w:t>A vacinação é registrada e listada.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Estoque insuficiente</w:t>
      </w:r>
      <w:r>
        <w:rPr/>
        <w:t xml:space="preserve"> — O sistema rejeita a aplicação se a dose total exceder o saldo do insumo.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Cancelamento</w:t>
      </w:r>
      <w:r>
        <w:rPr/>
        <w:t xml:space="preserve"> — Ao cancelar, o sistema exige justificativa e estorna a quantidade total baixada ao estoque do insumo.</w:t>
      </w:r>
      <w:r>
        <w:br w:type="page"/>
      </w:r>
    </w:p>
    <w:p>
      <w:pPr>
        <w:pStyle w:val="Heading2"/>
        <w:rPr/>
      </w:pPr>
      <w:bookmarkStart w:id="47" w:name="__RefHeading___Toc15479_706905635"/>
      <w:bookmarkStart w:id="48" w:name="_PraxisV3_1019"/>
      <w:bookmarkEnd w:id="47"/>
      <w:r>
        <w:rPr/>
        <w:t>Especificação do caso de uso UC11: Movimentações de Estoque</w:t>
      </w:r>
      <w:bookmarkEnd w:id="48"/>
    </w:p>
    <w:p>
      <w:pPr>
        <w:pStyle w:val="Heading3"/>
        <w:rPr/>
      </w:pPr>
      <w:r>
        <w:rPr/>
        <w:t>Interface de Usuário: Insumos → Movimentações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8" name="uc11-movimentacoes" descr="Captura desktop da interface atual — uc11-movimentaco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uc11-movimentacoes" descr="Captura desktop da interface atual — uc11-movimentaco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Tela somente-consulta: apresenta o extrato consolidado da tabela movimentacao_estoque, alimentada automaticamente por outras operações do sistema (entrada de estoque, consumo de estoque, alimentação de setores, vacinação, vendas) — não há cadastro manual de movimentações pela interface.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8"/>
        <w:gridCol w:w="1330"/>
        <w:gridCol w:w="2002"/>
        <w:gridCol w:w="963"/>
        <w:gridCol w:w="1501"/>
        <w:gridCol w:w="1420"/>
        <w:gridCol w:w="206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0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96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0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206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 do movimento</w:t>
            </w:r>
          </w:p>
        </w:tc>
        <w:tc>
          <w:tcPr>
            <w:tcW w:w="96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5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ENTRADA, SAIDA, APLICACAO ou PERDA</w:t>
            </w:r>
          </w:p>
        </w:tc>
        <w:tc>
          <w:tcPr>
            <w:tcW w:w="14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Insumo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Produto movimentado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/ Valor Unitário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movimentada e valor unitário</w:t>
            </w:r>
          </w:p>
        </w:tc>
        <w:tc>
          <w:tcPr>
            <w:tcW w:w="96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5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da Movimentação</w:t>
            </w:r>
          </w:p>
        </w:tc>
        <w:tc>
          <w:tcPr>
            <w:tcW w:w="200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do lançamento</w:t>
            </w:r>
          </w:p>
        </w:tc>
        <w:tc>
          <w:tcPr>
            <w:tcW w:w="96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5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 / Animal / Parceiro</w:t>
            </w:r>
          </w:p>
        </w:tc>
        <w:tc>
          <w:tcPr>
            <w:tcW w:w="200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Origem ou destino da movimentação, quando aplicável</w:t>
            </w:r>
          </w:p>
        </w:tc>
        <w:tc>
          <w:tcPr>
            <w:tcW w:w="96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5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20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Preenchido conforme a origem da movimentação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49" w:name="__RefHeading___Toc15481_706905635"/>
      <w:bookmarkEnd w:id="49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067"/>
        <w:gridCol w:w="2046"/>
        <w:gridCol w:w="1195"/>
        <w:gridCol w:w="2369"/>
        <w:gridCol w:w="2608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6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4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9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236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60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6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Filtrar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Filtra o extrato por insumo, tipo, período etc.</w:t>
            </w:r>
          </w:p>
        </w:tc>
        <w:tc>
          <w:tcPr>
            <w:tcW w:w="119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236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260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funciona como um extrato auditável de tudo o que entrou, saiu, foi aplicado ou perdido no estoque de insumos, permitindo rastrear a origem de cada baixa ou entrada sem permitir edição manual.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5"/>
        </w:numPr>
        <w:rPr/>
      </w:pPr>
      <w:r>
        <w:rPr/>
        <w:t>O usuário acessa Insumos → Movimentações.</w:t>
      </w:r>
    </w:p>
    <w:p>
      <w:pPr>
        <w:pStyle w:val="NoSpacing"/>
        <w:numPr>
          <w:ilvl w:val="0"/>
          <w:numId w:val="3"/>
        </w:numPr>
        <w:rPr/>
      </w:pPr>
      <w:r>
        <w:rPr/>
        <w:t>O sistema lista o extrato consolidado de movimentações.</w:t>
      </w:r>
    </w:p>
    <w:p>
      <w:pPr>
        <w:pStyle w:val="NoSpacing"/>
        <w:numPr>
          <w:ilvl w:val="0"/>
          <w:numId w:val="3"/>
        </w:numPr>
        <w:rPr/>
      </w:pPr>
      <w:r>
        <w:rPr/>
        <w:t>O usuário aplica filtros, se necessário.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Nenhuma movimentação encontrada</w:t>
      </w:r>
      <w:r>
        <w:rPr/>
        <w:t xml:space="preserve"> — O sistema exibe listagem vazia ou mensagem informativa.</w:t>
      </w:r>
      <w:r>
        <w:br w:type="page"/>
      </w:r>
    </w:p>
    <w:p>
      <w:pPr>
        <w:pStyle w:val="Heading2"/>
        <w:rPr/>
      </w:pPr>
      <w:bookmarkStart w:id="50" w:name="__RefHeading___Toc15483_706905635"/>
      <w:bookmarkStart w:id="51" w:name="_PraxisV3_1020"/>
      <w:bookmarkEnd w:id="50"/>
      <w:r>
        <w:rPr/>
        <w:t>Especificação do caso de uso UC12: Financeiro — Documentos de Entrada (NF-e e Recibo Simples)</w:t>
      </w:r>
      <w:bookmarkEnd w:id="51"/>
    </w:p>
    <w:p>
      <w:pPr>
        <w:pStyle w:val="Heading3"/>
        <w:rPr/>
      </w:pPr>
      <w:r>
        <w:rPr/>
        <w:t>Interface de Usuário: Financeiro → NFs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19" name="uc12-entradas" descr="Captura desktop da interface atual — uc12-entrada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uc12-entradas" descr="Captura desktop da interface atual — uc12-entrada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>
          <w:b/>
        </w:rPr>
        <w:t>Mudança relevante em relação à v2.0:</w:t>
      </w:r>
      <w:r>
        <w:rPr/>
        <w:t xml:space="preserve"> a importação de XML de NF-e deixou de ser um mock (que apenas simulava a extração de dados) e passou a usar um parser real (NfeXmlParser), que lê o XML padrão nfeProc/NFe (layout 4.00), extraindo chave de acesso, emitente, itens, quantidades e valores de verdade. NF-e nasce com aprovação automática (já é um documento fiscal validado pela SEFAZ); já o Recibo Simples nasce sempre como pendente de aprovação (ver UC13). Cada item do documento pode ser vinculado a um produto do catálogo (UC07), inclusive criando o produto automaticamente se ainda não existir.</w:t>
      </w:r>
    </w:p>
    <w:p>
      <w:pPr>
        <w:pStyle w:val="Normal"/>
        <w:rPr/>
      </w:pPr>
      <w:r>
        <w:rPr>
          <w:b/>
        </w:rPr>
        <w:t xml:space="preserve">Mudança relevante em relação à v2.1: </w:t>
      </w:r>
      <w:r>
        <w:rPr>
          <w:b w:val="false"/>
        </w:rPr>
        <w:t>a listagem passou a exibir o nome do parceiro (fornecedor, nos documentos de entrada) de cada documento. Documentos de entrada e de saída ganharam forma de pagamento (à vista ou parcelado), data de vencimento, número de parcelas e valor de cada parcela — extraídos automaticamente do XML (tags &lt;cobr&gt;/&lt;dup&gt;) quando a NF-e já traz a condição de pagamento, ou informados manualmente no cadastro de recibos e vendas quando ausente no XML. Esses dados alimentam o resumo de Contas a Pagar e Receber por Parceiro da aba Rentabilidade (ver UC17).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330"/>
        <w:gridCol w:w="2301"/>
        <w:gridCol w:w="1000"/>
        <w:gridCol w:w="1668"/>
        <w:gridCol w:w="1486"/>
        <w:gridCol w:w="1500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0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0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66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5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Arquivo XML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Arquivo da NF-e a importar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Importação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Arquivo .xml no padrão nfeProc/NFe 4.00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Enviado via multipart/form-data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Fornecedor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Parceiro emissor/fornecedor do documento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parceiros cadastrados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Chave de Acesso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Chave de 44 dígitos extraída do XML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44 dígitos numéricos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Extraído automaticamente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no sistema (uq_documento_entrada_chave_acesso_nfe)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/ Série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Identificação do documento fiscal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Extraído do XML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 para NF-e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Emissão / Data de Entrada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Datas do documento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Datas válidas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Extraída (emissão) / informada (entrada)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Total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total do documento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Extraído do XML (NF-e) ou informado (recibo)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Itens (Descrição, Código, Quantidade, Valor Unitário, Valor Total)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Itens do documento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Itens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Extraídos do XML ou informados manualmente (recibo)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 item pode ser vinculado a um produto do catálogo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Forma de Pagamento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Indica se o documento é à vista ou parcelado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À Vista ou Parcelado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Extraída do XML (&lt;cobr&gt;/&lt;dup&gt;) ou informada manualmente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Padrão: À Vista, com vencimento na data de emissão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9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Vencimento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Vencimento único (à vista) ou da primeira parcela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válida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Extraída do XML ou informada manualmente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Vencimentos das parcelas seguintes calculados a +1 mês cada, não persistidos individualmente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10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 Parcelas / Valor da Parcela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de parcelas e valor de cada uma, quando parcelado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documento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inteiro ≥ 2 e valor decimal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Obrigatórios apenas quando Forma de Pagamento = Parcelado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52" w:name="__RefHeading___Toc15485_706905635"/>
      <w:bookmarkEnd w:id="52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027"/>
        <w:gridCol w:w="2648"/>
        <w:gridCol w:w="1193"/>
        <w:gridCol w:w="1883"/>
        <w:gridCol w:w="253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2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64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9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88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5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2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Importar NF-e</w:t>
            </w:r>
          </w:p>
        </w:tc>
        <w:tc>
          <w:tcPr>
            <w:tcW w:w="26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Faz upload e processa um XML de NF-e</w:t>
            </w:r>
          </w:p>
        </w:tc>
        <w:tc>
          <w:tcPr>
            <w:tcW w:w="119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88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XML válido, chave de acesso não duplicada</w:t>
            </w:r>
          </w:p>
        </w:tc>
        <w:tc>
          <w:tcPr>
            <w:tcW w:w="25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Nasce com status Aprovado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2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Recibo Simples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manualmente um documento de entrada sem XML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Campos obrigatórios preenchidos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Nasce como Pendente de Aprovação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02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Vincular Item</w:t>
            </w:r>
          </w:p>
        </w:tc>
        <w:tc>
          <w:tcPr>
            <w:tcW w:w="26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Associa um item do documento a um produto do catálogo (ou cria um novo produto)</w:t>
            </w:r>
          </w:p>
        </w:tc>
        <w:tc>
          <w:tcPr>
            <w:tcW w:w="119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8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existente</w:t>
            </w:r>
          </w:p>
        </w:tc>
        <w:tc>
          <w:tcPr>
            <w:tcW w:w="25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Marca o item como vinculado, com autor e data/hora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02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NF-e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Corrige dados de um documento já importado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documento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02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</w:t>
            </w:r>
          </w:p>
        </w:tc>
        <w:tc>
          <w:tcPr>
            <w:tcW w:w="26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um documento de entrada</w:t>
            </w:r>
          </w:p>
        </w:tc>
        <w:tc>
          <w:tcPr>
            <w:tcW w:w="119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88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documento</w:t>
            </w:r>
          </w:p>
        </w:tc>
        <w:tc>
          <w:tcPr>
            <w:tcW w:w="25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concentra os documentos de entrada (compras) da fazenda: NF-e importadas de arquivo XML real, e recibos simples digitados manualmente para compras sem nota fiscal. Cada item pode ser vinculado a um produto do catálogo de insumos, o que aplica a entrada correspondente ao estoque.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 existir ao menos um parceiro do tipo Fornecedor cadastrado.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6"/>
        </w:numPr>
        <w:rPr/>
      </w:pPr>
      <w:r>
        <w:rPr/>
        <w:t>O usuário acessa Financeiro → NFs.</w:t>
      </w:r>
    </w:p>
    <w:p>
      <w:pPr>
        <w:pStyle w:val="NoSpacing"/>
        <w:numPr>
          <w:ilvl w:val="0"/>
          <w:numId w:val="3"/>
        </w:numPr>
        <w:rPr/>
      </w:pPr>
      <w:r>
        <w:rPr/>
        <w:t>O usuário seleciona Importar NF-e e anexa o arquivo XML.</w:t>
      </w:r>
    </w:p>
    <w:p>
      <w:pPr>
        <w:pStyle w:val="NoSpacing"/>
        <w:numPr>
          <w:ilvl w:val="0"/>
          <w:numId w:val="3"/>
        </w:numPr>
        <w:rPr/>
      </w:pPr>
      <w:r>
        <w:rPr/>
        <w:t>O sistema extrai chave de acesso, fornecedor, itens e valores reais do XML.</w:t>
      </w:r>
    </w:p>
    <w:p>
      <w:pPr>
        <w:pStyle w:val="NoSpacing"/>
        <w:numPr>
          <w:ilvl w:val="0"/>
          <w:numId w:val="3"/>
        </w:numPr>
        <w:rPr/>
      </w:pPr>
      <w:r>
        <w:rPr/>
        <w:t>O sistema verifica se a chave de acesso já foi importada.</w:t>
      </w:r>
    </w:p>
    <w:p>
      <w:pPr>
        <w:pStyle w:val="NoSpacing"/>
        <w:numPr>
          <w:ilvl w:val="0"/>
          <w:numId w:val="3"/>
        </w:numPr>
        <w:rPr/>
      </w:pPr>
      <w:r>
        <w:rPr/>
        <w:t>O documento é salvo com status Aprovado e passa a compor a listagem.</w:t>
      </w:r>
    </w:p>
    <w:p>
      <w:pPr>
        <w:pStyle w:val="NoSpacing"/>
        <w:numPr>
          <w:ilvl w:val="0"/>
          <w:numId w:val="3"/>
        </w:numPr>
        <w:rPr/>
      </w:pPr>
      <w:r>
        <w:rPr/>
        <w:t>O usuário vincula os itens do documento aos produtos do catálogo, aplicando a entrada ao estoque.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NF-e já importada</w:t>
      </w:r>
      <w:r>
        <w:rPr/>
        <w:t xml:space="preserve"> — A chave de acesso extraída do XML já existe no sistema; a importação é rejeitada com mensagem de erro.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XML fora do padrão</w:t>
      </w:r>
      <w:r>
        <w:rPr/>
        <w:t xml:space="preserve"> — O parser não reconhece a estrutura do arquivo; a importação é rejeitada.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Recibo Simples</w:t>
      </w:r>
      <w:r>
        <w:rPr/>
        <w:t xml:space="preserve"> — Nasce sempre como Pendente de Aprovação, diferente da NF-e (ver fluxo de Aprovações, UC13).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SF04: Item ainda não vinculado a um produto</w:t>
      </w:r>
      <w:r>
        <w:rPr/>
        <w:t xml:space="preserve"> — A entrada de estoque só é aplicada ao item quando ele é vinculado a um produto do catálogo (entrada_estoque_aplicada).</w:t>
      </w:r>
      <w:r>
        <w:br w:type="page"/>
      </w:r>
    </w:p>
    <w:p>
      <w:pPr>
        <w:pStyle w:val="Heading2"/>
        <w:rPr/>
      </w:pPr>
      <w:bookmarkStart w:id="53" w:name="__RefHeading___Toc15487_706905635"/>
      <w:bookmarkStart w:id="54" w:name="_PraxisV3_1021"/>
      <w:bookmarkEnd w:id="53"/>
      <w:r>
        <w:rPr/>
        <w:t>Especificação do caso de uso UC13: Financeiro — Aprovações</w:t>
      </w:r>
      <w:bookmarkEnd w:id="54"/>
    </w:p>
    <w:p>
      <w:pPr>
        <w:pStyle w:val="Heading3"/>
        <w:rPr/>
      </w:pPr>
      <w:r>
        <w:rPr/>
        <w:t>Interface de Usuário: Financeiro → Aprovações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0" name="uc13-aprovacoes" descr="Captura desktop da interface atual — uc13-aprovaco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uc13-aprovacoes" descr="Captura desktop da interface atual — uc13-aprovaco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Lista os documentos de entrada com status_aprovacao = PENDENTE_APROVACAO (hoje, na prática, os Recibos Simples — NF-e nasce aprovada). Ao aprovar ou recusar, o sistema registra quem tomou a decisão e quando.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330"/>
        <w:gridCol w:w="2301"/>
        <w:gridCol w:w="1000"/>
        <w:gridCol w:w="1668"/>
        <w:gridCol w:w="1486"/>
        <w:gridCol w:w="1500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0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0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66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5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Pendente</w:t>
            </w:r>
          </w:p>
        </w:tc>
        <w:tc>
          <w:tcPr>
            <w:tcW w:w="23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de entrada aguardando aprovação</w:t>
            </w:r>
          </w:p>
        </w:tc>
        <w:tc>
          <w:tcPr>
            <w:tcW w:w="10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66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5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Justificativa de Recusa</w:t>
            </w:r>
          </w:p>
        </w:tc>
        <w:tc>
          <w:tcPr>
            <w:tcW w:w="23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Motivo da recusa de um documento</w:t>
            </w:r>
          </w:p>
        </w:tc>
        <w:tc>
          <w:tcPr>
            <w:tcW w:w="10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decisão</w:t>
            </w:r>
          </w:p>
        </w:tc>
        <w:tc>
          <w:tcPr>
            <w:tcW w:w="166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ao recusar</w:t>
            </w:r>
          </w:p>
        </w:tc>
        <w:tc>
          <w:tcPr>
            <w:tcW w:w="15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55" w:name="__RefHeading___Toc15489_706905635"/>
      <w:bookmarkEnd w:id="55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027"/>
        <w:gridCol w:w="2648"/>
        <w:gridCol w:w="1193"/>
        <w:gridCol w:w="1883"/>
        <w:gridCol w:w="253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2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64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19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88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5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2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Aprovar</w:t>
            </w:r>
          </w:p>
        </w:tc>
        <w:tc>
          <w:tcPr>
            <w:tcW w:w="264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Aprova o documento pendente</w:t>
            </w:r>
          </w:p>
        </w:tc>
        <w:tc>
          <w:tcPr>
            <w:tcW w:w="119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8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com status Pendente</w:t>
            </w:r>
          </w:p>
        </w:tc>
        <w:tc>
          <w:tcPr>
            <w:tcW w:w="25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aprovador e data/hora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02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Recusar</w:t>
            </w:r>
          </w:p>
        </w:tc>
        <w:tc>
          <w:tcPr>
            <w:tcW w:w="264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Recusa o documento pendente</w:t>
            </w:r>
          </w:p>
        </w:tc>
        <w:tc>
          <w:tcPr>
            <w:tcW w:w="119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8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com status Pendente; justificativa preenchida</w:t>
            </w:r>
          </w:p>
        </w:tc>
        <w:tc>
          <w:tcPr>
            <w:tcW w:w="25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passa a Recusado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que um responsável revise os documentos de entrada pendentes (tipicamente recibos simples sem validação fiscal automática) e decida por aprová-los ou recusá-los, sempre com justificativa em caso de recusa.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 e autorizado a aprovar documentos financeiros.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7"/>
        </w:numPr>
        <w:rPr/>
      </w:pPr>
      <w:r>
        <w:rPr/>
        <w:t>O usuário acessa Financeiro → Aprovações.</w:t>
      </w:r>
    </w:p>
    <w:p>
      <w:pPr>
        <w:pStyle w:val="NoSpacing"/>
        <w:numPr>
          <w:ilvl w:val="0"/>
          <w:numId w:val="3"/>
        </w:numPr>
        <w:rPr/>
      </w:pPr>
      <w:r>
        <w:rPr/>
        <w:t>O sistema lista os documentos com status Pendente de Aprovação.</w:t>
      </w:r>
    </w:p>
    <w:p>
      <w:pPr>
        <w:pStyle w:val="NoSpacing"/>
        <w:numPr>
          <w:ilvl w:val="0"/>
          <w:numId w:val="3"/>
        </w:numPr>
        <w:rPr/>
      </w:pPr>
      <w:r>
        <w:rPr/>
        <w:t>O usuário aprova ou recusa cada documento.</w:t>
      </w:r>
    </w:p>
    <w:p>
      <w:pPr>
        <w:pStyle w:val="NoSpacing"/>
        <w:numPr>
          <w:ilvl w:val="0"/>
          <w:numId w:val="3"/>
        </w:numPr>
        <w:rPr/>
      </w:pPr>
      <w:r>
        <w:rPr/>
        <w:t>O sistema registra a decisão, o responsável e a data/hora.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Recusa sem justificativa</w:t>
      </w:r>
      <w:r>
        <w:rPr/>
        <w:t xml:space="preserve"> — O sistema exige o preenchimento da justificativa antes de recusar.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Nenhum documento pendente</w:t>
      </w:r>
      <w:r>
        <w:rPr/>
        <w:t xml:space="preserve"> — A listagem é exibida vazia.</w:t>
      </w:r>
      <w:r>
        <w:br w:type="page"/>
      </w:r>
    </w:p>
    <w:p>
      <w:pPr>
        <w:pStyle w:val="Heading2"/>
        <w:rPr/>
      </w:pPr>
      <w:bookmarkStart w:id="56" w:name="__RefHeading___Toc15491_706905635"/>
      <w:bookmarkStart w:id="57" w:name="_PraxisV3_1022"/>
      <w:bookmarkEnd w:id="56"/>
      <w:r>
        <w:rPr/>
        <w:t>Especificação do caso de uso UC14: Financeiro — Documentos de Saída (Venda de Leite e de Animal)</w:t>
      </w:r>
      <w:bookmarkEnd w:id="57"/>
    </w:p>
    <w:p>
      <w:pPr>
        <w:pStyle w:val="Heading3"/>
        <w:rPr/>
      </w:pPr>
      <w:r>
        <w:rPr/>
        <w:t>Interface de Usuário: Financeiro → NFs → Registrar Venda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1" name="uc14-saida-leite" descr="Captura desktop da interface atual — uc14-saida-leite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uc14-saida-leite" descr="Captura desktop da interface atual — uc14-saida-leite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Registra a saída de produção: venda de leite (vinculada a um lote e, opcionalmente, a uma meta de produção) ou venda/abate de um animal (vinculada a um comprador e debitando 1 cabeça do produto de "Animais" da raça vendida).</w:t>
      </w:r>
    </w:p>
    <w:p>
      <w:pPr>
        <w:pStyle w:val="Heading4"/>
        <w:rPr/>
      </w:pPr>
      <w:r>
        <w:rPr/>
        <w:t>Campos — Venda de Leite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2"/>
        <w:gridCol w:w="1245"/>
        <w:gridCol w:w="2398"/>
        <w:gridCol w:w="1244"/>
        <w:gridCol w:w="1507"/>
        <w:gridCol w:w="1422"/>
        <w:gridCol w:w="139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9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0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2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9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</w:t>
            </w:r>
          </w:p>
        </w:tc>
        <w:tc>
          <w:tcPr>
            <w:tcW w:w="23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 de origem do leite vendido</w:t>
            </w:r>
          </w:p>
        </w:tc>
        <w:tc>
          <w:tcPr>
            <w:tcW w:w="1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lotes cadastrados</w:t>
            </w:r>
          </w:p>
        </w:tc>
        <w:tc>
          <w:tcPr>
            <w:tcW w:w="14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Litros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de leite vendida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por Litro</w:t>
            </w:r>
          </w:p>
        </w:tc>
        <w:tc>
          <w:tcPr>
            <w:tcW w:w="23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unitário</w:t>
            </w:r>
          </w:p>
        </w:tc>
        <w:tc>
          <w:tcPr>
            <w:tcW w:w="1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total calculado automaticamente</w:t>
            </w:r>
          </w:p>
        </w:tc>
      </w:tr>
    </w:tbl>
    <w:p>
      <w:pPr>
        <w:pStyle w:val="Heading4"/>
        <w:rPr/>
      </w:pPr>
      <w:r>
        <w:rPr/>
        <w:t>Campos — Venda/Abate de Animal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2"/>
        <w:gridCol w:w="1245"/>
        <w:gridCol w:w="2398"/>
        <w:gridCol w:w="1244"/>
        <w:gridCol w:w="1507"/>
        <w:gridCol w:w="1422"/>
        <w:gridCol w:w="139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98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0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2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39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Animal</w:t>
            </w:r>
          </w:p>
        </w:tc>
        <w:tc>
          <w:tcPr>
            <w:tcW w:w="23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Animal vendido/abatido</w:t>
            </w:r>
          </w:p>
        </w:tc>
        <w:tc>
          <w:tcPr>
            <w:tcW w:w="1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animais disponíveis (status Ativo)</w:t>
            </w:r>
          </w:p>
        </w:tc>
        <w:tc>
          <w:tcPr>
            <w:tcW w:w="14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Comprador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Parceiro comprador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parceiros cadastrados</w:t>
            </w:r>
          </w:p>
        </w:tc>
        <w:tc>
          <w:tcPr>
            <w:tcW w:w="14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Destino</w:t>
            </w:r>
          </w:p>
        </w:tc>
        <w:tc>
          <w:tcPr>
            <w:tcW w:w="2398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Finalidade da saída do animal</w:t>
            </w:r>
          </w:p>
        </w:tc>
        <w:tc>
          <w:tcPr>
            <w:tcW w:w="1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venda, abate</w:t>
            </w:r>
          </w:p>
        </w:tc>
        <w:tc>
          <w:tcPr>
            <w:tcW w:w="142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 Venda</w:t>
            </w:r>
          </w:p>
        </w:tc>
        <w:tc>
          <w:tcPr>
            <w:tcW w:w="2398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recebido pelo animal</w:t>
            </w:r>
          </w:p>
        </w:tc>
        <w:tc>
          <w:tcPr>
            <w:tcW w:w="1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venda</w:t>
            </w:r>
          </w:p>
        </w:tc>
        <w:tc>
          <w:tcPr>
            <w:tcW w:w="150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2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39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58" w:name="__RefHeading___Toc15493_706905635"/>
      <w:bookmarkEnd w:id="58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441"/>
        <w:gridCol w:w="3130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1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Venda de Leite</w:t>
            </w:r>
          </w:p>
        </w:tc>
        <w:tc>
          <w:tcPr>
            <w:tcW w:w="31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Cria um documento de saída do tipo Venda de Leite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 existente, litros e preço válidos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Pode alimentar venda_meta_lote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Venda de Animal</w:t>
            </w:r>
          </w:p>
        </w:tc>
        <w:tc>
          <w:tcPr>
            <w:tcW w:w="31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Cria um documento de saída do tipo Venda de Animal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Animal disponível, comprador cadastrado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Debita 1 cabeça do produto de "Animais" da raça do animal; altera status do animal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registrar as duas formas de saída de produção do sistema hoje: venda de leite (associada a um lote) e venda ou abate de um animal (associada a um comprador), ambas gerando o respectivo documento de saída e, quando aplicável, movimentação de estoque do produto "Animais".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devem existir lotes/animais e parceiros compradores cadastrados.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8"/>
        </w:numPr>
        <w:rPr/>
      </w:pPr>
      <w:r>
        <w:rPr/>
        <w:t>O usuário acessa Financeiro → NFs e seleciona Registrar Venda.</w:t>
      </w:r>
    </w:p>
    <w:p>
      <w:pPr>
        <w:pStyle w:val="NoSpacing"/>
        <w:numPr>
          <w:ilvl w:val="0"/>
          <w:numId w:val="3"/>
        </w:numPr>
        <w:rPr/>
      </w:pPr>
      <w:r>
        <w:rPr/>
        <w:t>O usuário escolhe o tipo: Venda de Leite ou Venda de Animal.</w:t>
      </w:r>
    </w:p>
    <w:p>
      <w:pPr>
        <w:pStyle w:val="NoSpacing"/>
        <w:numPr>
          <w:ilvl w:val="0"/>
          <w:numId w:val="3"/>
        </w:numPr>
        <w:rPr/>
      </w:pPr>
      <w:r>
        <w:rPr/>
        <w:t>O usuário preenche os dados específicos do tipo escolhido.</w:t>
      </w:r>
    </w:p>
    <w:p>
      <w:pPr>
        <w:pStyle w:val="NoSpacing"/>
        <w:numPr>
          <w:ilvl w:val="0"/>
          <w:numId w:val="3"/>
        </w:numPr>
        <w:rPr/>
      </w:pPr>
      <w:r>
        <w:rPr/>
        <w:t>O sistema registra o documento de saída e, no caso de animal, debita o produto correspondente e atualiza o status do animal.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Animal indisponível</w:t>
      </w:r>
      <w:r>
        <w:rPr/>
        <w:t xml:space="preserve"> — Um animal com status diferente de Ativo não aparece na lista de disponíveis para venda.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Venda de leite sem meta ativa</w:t>
      </w:r>
      <w:r>
        <w:rPr/>
        <w:t xml:space="preserve"> — A venda é registrada normalmente mesmo sem uma meta de produção vigente para o setor/lote; só alimenta o progresso da meta quando ela existe.</w:t>
      </w:r>
      <w:r>
        <w:br w:type="page"/>
      </w:r>
    </w:p>
    <w:p>
      <w:pPr>
        <w:pStyle w:val="Heading2"/>
        <w:rPr/>
      </w:pPr>
      <w:bookmarkStart w:id="59" w:name="__RefHeading___Toc15495_706905635"/>
      <w:bookmarkStart w:id="60" w:name="_PraxisV3_1023"/>
      <w:bookmarkEnd w:id="59"/>
      <w:r>
        <w:rPr/>
        <w:t>Especificação do caso de uso UC15: Financeiro — Parceiros</w:t>
      </w:r>
      <w:bookmarkEnd w:id="60"/>
    </w:p>
    <w:p>
      <w:pPr>
        <w:pStyle w:val="Heading3"/>
        <w:rPr/>
      </w:pPr>
      <w:r>
        <w:rPr/>
        <w:t>Interface de Usuário: Financeiro → Parceiros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2" name="uc15-parceiros" descr="Captura desktop da interface atual — uc15-parceiro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uc15-parceiros" descr="Captura desktop da interface atual — uc15-parceiro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Cadastro central de fornecedores e compradores, usado por Documentos de Entrada (UC12), Documentos de Saída (UC14) e pelo catálogo de Insumos.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991"/>
        <w:gridCol w:w="2340"/>
        <w:gridCol w:w="1620"/>
        <w:gridCol w:w="1530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9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Nome/razão social do parceiro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CPF/CNPJ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 do parceiro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 ou CNPJ válido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no sistema (uq_parceiro_cpf_cnpj)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de contato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válido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Campo adicionado após a v2.0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Telefone / Endereço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contato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Papel do parceiro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gerais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FORNECEDOR, COMPRADOR ou AMBOS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61" w:name="__RefHeading___Toc15497_706905635"/>
      <w:bookmarkEnd w:id="61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51"/>
        <w:gridCol w:w="2969"/>
        <w:gridCol w:w="1496"/>
        <w:gridCol w:w="1474"/>
        <w:gridCol w:w="204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96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49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7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04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Parceiro</w:t>
            </w:r>
          </w:p>
        </w:tc>
        <w:tc>
          <w:tcPr>
            <w:tcW w:w="296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um novo parceiro</w:t>
            </w:r>
          </w:p>
        </w:tc>
        <w:tc>
          <w:tcPr>
            <w:tcW w:w="149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47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CPF/CNPJ não duplicado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/ Excluir</w:t>
            </w:r>
          </w:p>
        </w:tc>
        <w:tc>
          <w:tcPr>
            <w:tcW w:w="296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ou remove um parceiro</w:t>
            </w:r>
          </w:p>
        </w:tc>
        <w:tc>
          <w:tcPr>
            <w:tcW w:w="149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47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cadastrar fornecedores e compradores usados nos documentos financeiros e nas movimentações de estoque, com validação de unicidade de CPF/CNPJ — regra que não existia no documento v2.0 e foi adicionada posteriormente ao sistema.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39"/>
        </w:numPr>
        <w:rPr/>
      </w:pPr>
      <w:r>
        <w:rPr/>
        <w:t>O usuário acessa Financeiro → Parceiros.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 listagem de parceiros.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ou edita um parceiro.</w:t>
      </w:r>
    </w:p>
    <w:p>
      <w:pPr>
        <w:pStyle w:val="NoSpacing"/>
        <w:numPr>
          <w:ilvl w:val="0"/>
          <w:numId w:val="3"/>
        </w:numPr>
        <w:rPr/>
      </w:pPr>
      <w:r>
        <w:rPr/>
        <w:t>A listagem é atualizada.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CPF/CNPJ duplicado</w:t>
      </w:r>
      <w:r>
        <w:rPr/>
        <w:t xml:space="preserve"> — O sistema rejeita o cadastro e exibe mensagem de erro.</w:t>
      </w:r>
      <w:r>
        <w:br w:type="page"/>
      </w:r>
    </w:p>
    <w:p>
      <w:pPr>
        <w:pStyle w:val="Heading2"/>
        <w:rPr/>
      </w:pPr>
      <w:bookmarkStart w:id="62" w:name="__RefHeading___Toc15499_706905635"/>
      <w:bookmarkStart w:id="63" w:name="_PraxisV3_1024"/>
      <w:bookmarkEnd w:id="62"/>
      <w:r>
        <w:rPr/>
        <w:t>Especificação do caso de uso UC16: Financeiro — Funcionários e Folha de Pagamento</w:t>
      </w:r>
      <w:bookmarkEnd w:id="63"/>
    </w:p>
    <w:p>
      <w:pPr>
        <w:pStyle w:val="Heading3"/>
        <w:rPr/>
      </w:pPr>
      <w:r>
        <w:rPr/>
        <w:t>Interface de Usuário: Financeiro → Funcionários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3" name="uc16-funcionarios" descr="Captura desktop da interface atual — uc16-funcionario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uc16-funcionarios" descr="Captura desktop da interface atual — uc16-funcionario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Um Funcionário pode estar vinculado a um Usuário do sistema. Cada Pagamento de Funcionário gera um lançamento na origem FOLHA_PAGAMENTO do razão financeiro (UC17).</w:t>
      </w:r>
    </w:p>
    <w:p>
      <w:pPr>
        <w:pStyle w:val="Heading4"/>
        <w:rPr/>
      </w:pPr>
      <w:r>
        <w:rPr/>
        <w:t>Campos — Funcionário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Completo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do funcionário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pessoais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 do funcionário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pessoais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 válido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(uq_funcionario_cpf)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Cargo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Cargo/função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profissionais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Admissão / Demissão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Datas de vínculo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profissionais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Datas válidas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Demissão opcional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Salário Base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Salário base mensal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financeiros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% INSS / % FGTS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Percentuais de encargos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financeiros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Percentuais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Vale Transporte / Vale Alimentação / Plano de Saúde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Benefícios mensais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financeiros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Valores decimais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Opcionais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Natureza Financeira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 o custo do funcionário é Custo ou Gasto no DRE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financeiros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CUSTO ou GASTO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9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Vinculado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do sistema associado ao funcionário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Seleção entre usuários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Um usuário só pode estar vinculado a um funcionário (uq_funcionario_usuario)</w:t>
            </w:r>
          </w:p>
        </w:tc>
      </w:tr>
    </w:tbl>
    <w:p>
      <w:pPr>
        <w:pStyle w:val="Heading4"/>
        <w:rPr/>
      </w:pPr>
      <w:r>
        <w:rPr/>
        <w:t>Campos — Pagamento de Funcionário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Mês/Ano de Referência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Competência do pagamento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Mês (1-12) e ano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Pagamento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em que o pagamento foi efetuado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válida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Bruto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Salário bruto do período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a partir do funcionário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Desconto INSS / Outros Descontos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Descontos aplicados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Valores decimais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/ 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Encargo FGTS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Encargo patronal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 Benefícios / Bônus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Benefícios e bônus do período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Valores decimais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Bônus adicionado após a v2.0</w:t>
            </w:r>
          </w:p>
        </w:tc>
      </w:tr>
      <w:tr>
        <w:trPr>
          <w:cantSplit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Líquido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final pago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Status do Pagamento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Situação do pagamento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pagamento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Ex.: Pendente, Pago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64" w:name="__RefHeading___Toc15501_706905635"/>
      <w:bookmarkEnd w:id="64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51"/>
        <w:gridCol w:w="2700"/>
        <w:gridCol w:w="1349"/>
        <w:gridCol w:w="1890"/>
        <w:gridCol w:w="204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7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89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04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Novo Funcionário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um funcionário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CPF não duplicado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Funcionário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dados do funcionário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Existência do registro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Lançar Pagamento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o pagamento de um período para um funcionário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Funcionário ativo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lançamento financeiro na origem Folha de Pagamento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Estornar Pagamento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Reverte um pagamento já lançado, com motivo obrigatório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Pagamento não estornado ainda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 quem estornou e quando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cadastrar funcionários com seus dados contratuais e financeiros, e lançar pagamentos mensais que calculam automaticamente descontos (INSS), encargos (FGTS) e valor líquido, com possibilidade de bônus e de estorno de um pagamento já lançado.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 e autorizado a acessar o módulo financeiro.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0"/>
        </w:numPr>
        <w:rPr/>
      </w:pPr>
      <w:r>
        <w:rPr/>
        <w:t>O usuário acessa Financeiro → Funcionários.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 funcionário com seus dados contratuais.</w:t>
      </w:r>
    </w:p>
    <w:p>
      <w:pPr>
        <w:pStyle w:val="NoSpacing"/>
        <w:numPr>
          <w:ilvl w:val="0"/>
          <w:numId w:val="3"/>
        </w:numPr>
        <w:rPr/>
      </w:pPr>
      <w:r>
        <w:rPr/>
        <w:t>Mensalmente, o usuário lança o pagamento de referência, informando eventuais descontos, benefícios e bônus.</w:t>
      </w:r>
    </w:p>
    <w:p>
      <w:pPr>
        <w:pStyle w:val="NoSpacing"/>
        <w:numPr>
          <w:ilvl w:val="0"/>
          <w:numId w:val="3"/>
        </w:numPr>
        <w:rPr/>
      </w:pPr>
      <w:r>
        <w:rPr/>
        <w:t>O sistema calcula o valor líquido e gera o lançamento financeiro correspondente.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CPF duplicado</w:t>
      </w:r>
      <w:r>
        <w:rPr/>
        <w:t xml:space="preserve"> — O sistema rejeita o cadastro de um funcionário com CPF já existente.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Estorno de pagamento</w:t>
      </w:r>
      <w:r>
        <w:rPr/>
        <w:t xml:space="preserve"> — O usuário informa o motivo do estorno; o sistema marca o pagamento como estornado e reverte seu efeito no razão financeiro.</w:t>
      </w:r>
      <w:r>
        <w:br w:type="page"/>
      </w:r>
    </w:p>
    <w:p>
      <w:pPr>
        <w:pStyle w:val="Heading2"/>
        <w:rPr/>
      </w:pPr>
      <w:bookmarkStart w:id="65" w:name="__RefHeading___Toc15503_706905635"/>
      <w:bookmarkStart w:id="66" w:name="_PraxisV3_1025"/>
      <w:bookmarkEnd w:id="65"/>
      <w:r>
        <w:rPr/>
        <w:t>Especificação do caso de uso UC17: Financeiro — Rentabilidade</w:t>
      </w:r>
      <w:bookmarkEnd w:id="66"/>
    </w:p>
    <w:p>
      <w:pPr>
        <w:pStyle w:val="Heading3"/>
        <w:rPr/>
      </w:pPr>
      <w:r>
        <w:rPr/>
        <w:t>Interface de Usuário: Financeiro → Rentabilidade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30955"/>
            <wp:effectExtent l="0" t="0" r="0" b="0"/>
            <wp:docPr id="24" name="uc17-rentabilidade" descr="Captura desktop da interface atual — uc17-rentabilidade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uc17-rentabilidade" descr="Captura desktop da interface atual — uc17-rentabilidade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30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30955"/>
            <wp:effectExtent l="0" t="0" r="0" b="0"/>
            <wp:docPr id="25" name="uc17-rentabilidade-contas" descr="Captura desktop da interface atual — uc17-rentabilidade-conta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uc17-rentabilidade-contas" descr="Captura desktop da interface atual — uc17-rentabilidade-conta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30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30955"/>
            <wp:effectExtent l="0" t="0" r="0" b="0"/>
            <wp:docPr id="26" name="uc17-rentabilidade-detalhes" descr="Captura desktop da interface atual — uc17-rentabilidade-detalhe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uc17-rentabilidade-detalhes" descr="Captura desktop da interface atual — uc17-rentabilidade-detalhe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30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Consulta o razão financeiro consolidado (lancamento_financeiro), alimentado automaticamente por Documentos de Entrada, Folha de Pagamento, Consumo de Estoque, Vendas e por lançamentos Manuais ou de Perda de Alimentação.</w:t>
      </w:r>
    </w:p>
    <w:p>
      <w:pPr>
        <w:pStyle w:val="Normal"/>
        <w:rPr/>
      </w:pPr>
      <w:r>
        <w:rPr>
          <w:b/>
        </w:rPr>
        <w:t xml:space="preserve">Mudança relevante em relação à v2.1: </w:t>
      </w:r>
      <w:r>
        <w:rPr>
          <w:b w:val="false"/>
        </w:rPr>
        <w:t>a aba foi renomeada de Dashboard para Rentabilidade e passou a ter um filtro de período (data de início e data de fim) no lugar do seletor fixo de mês/ano — o mesmo período filtra tanto a tela quanto o relatório exportado. Três novas seções foram adicionadas: Contas a Pagar e Receber por Parceiro (gráfico de barras e lista resumida por parceiro, considerando a data de vencimento de cada NF — ver UC12); Produtos Mais Vendidos (vendas por raça de animal e litros de leite vendidos no período, em ordem decrescente de valor); e Maiores Gastos por Grupo (saídas do período agrupadas por grupo de produto, com a Folha de Pagamento — UC16 — aparecendo como um grupo próprio). Um botão de exportação gera um CSV com as contas por parceiro ou um PDF com as três seções, respeitando o período selecionado.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412"/>
        <w:gridCol w:w="2085"/>
        <w:gridCol w:w="1289"/>
        <w:gridCol w:w="1424"/>
        <w:gridCol w:w="1374"/>
        <w:gridCol w:w="1701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412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8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8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2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37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70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41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Lançamentos do Período</w:t>
            </w:r>
          </w:p>
        </w:tc>
        <w:tc>
          <w:tcPr>
            <w:tcW w:w="20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lançamentos financeiros (entrada/saída)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37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Filtro pelo período (data de início e data de fim) selecionado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Resumo do Período (DRE)</w:t>
            </w:r>
          </w:p>
        </w:tc>
        <w:tc>
          <w:tcPr>
            <w:tcW w:w="20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Totais de entrada, saída e resultado do período selecionado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/api/financeiro/rentabilidade/resumo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41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Origem do Lançamento</w:t>
            </w:r>
          </w:p>
        </w:tc>
        <w:tc>
          <w:tcPr>
            <w:tcW w:w="20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 onde o lançamento se originou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DOCUMENTO_ENTRADA, FOLHA_PAGAMENTO, CONSUMO_ESTOQUE, VENDA, MANUAL ou PERDA_ALIMENTACAO</w:t>
            </w:r>
          </w:p>
        </w:tc>
        <w:tc>
          <w:tcPr>
            <w:tcW w:w="137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Lançamentos com origem PERDA_ALIMENTACAO não existiam na v2.0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Filtro de Período</w:t>
            </w:r>
          </w:p>
        </w:tc>
        <w:tc>
          <w:tcPr>
            <w:tcW w:w="20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início e data de fim que delimitam todos os dados da aba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Filtro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Duas datas válidas, início ≤ fim</w:t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Reflete também no relatório exportado (CSV/PDF)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41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Contas a Pagar e Receber por Parceiro</w:t>
            </w:r>
          </w:p>
        </w:tc>
        <w:tc>
          <w:tcPr>
            <w:tcW w:w="20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resumida por parceiro: total a pagar, total a receber, quantidade de NFs e próximo vencimento, no período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37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/api/financeiro/rentabilidade/contas-parceiro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6</w:t>
            </w:r>
          </w:p>
        </w:tc>
        <w:tc>
          <w:tcPr>
            <w:tcW w:w="1412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Produtos Mais Vendidos</w:t>
            </w:r>
          </w:p>
        </w:tc>
        <w:tc>
          <w:tcPr>
            <w:tcW w:w="208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Vendas por raça de animal e litros de leite vendidos, em ordem decrescente de valor</w:t>
            </w:r>
          </w:p>
        </w:tc>
        <w:tc>
          <w:tcPr>
            <w:tcW w:w="128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37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/api/financeiro/rentabilidade/vendas-produto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7</w:t>
            </w:r>
          </w:p>
        </w:tc>
        <w:tc>
          <w:tcPr>
            <w:tcW w:w="1412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Maiores Gastos por Grupo</w:t>
            </w:r>
          </w:p>
        </w:tc>
        <w:tc>
          <w:tcPr>
            <w:tcW w:w="208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Saídas do período agrupadas por grupo de produto, Folha de Pagamento, Perda de Alimentação ou Lançamentos Manuais, em ordem decrescente</w:t>
            </w:r>
          </w:p>
        </w:tc>
        <w:tc>
          <w:tcPr>
            <w:tcW w:w="128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Resultado da consulta</w:t>
            </w:r>
          </w:p>
        </w:tc>
        <w:tc>
          <w:tcPr>
            <w:tcW w:w="142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37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70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/api/financeiro/rentabilidade/gastos-grupo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67" w:name="__RefHeading___Toc15505_706905635"/>
      <w:bookmarkEnd w:id="67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447"/>
        <w:gridCol w:w="1371"/>
        <w:gridCol w:w="2547"/>
        <w:gridCol w:w="1304"/>
        <w:gridCol w:w="2110"/>
        <w:gridCol w:w="1953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547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0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211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953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+ Lançamento Manual</w:t>
            </w:r>
          </w:p>
        </w:tc>
        <w:tc>
          <w:tcPr>
            <w:tcW w:w="25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Cria um lançamento financeiro manual (fora do fluxo automático)</w:t>
            </w:r>
          </w:p>
        </w:tc>
        <w:tc>
          <w:tcPr>
            <w:tcW w:w="130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21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autorizado</w:t>
            </w:r>
          </w:p>
        </w:tc>
        <w:tc>
          <w:tcPr>
            <w:tcW w:w="195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Origem = MANUAL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Filtrar por Período</w:t>
            </w:r>
          </w:p>
        </w:tc>
        <w:tc>
          <w:tcPr>
            <w:tcW w:w="25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Define a data de início e fim para todos os dados da aba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21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início ≤ data de fim</w:t>
            </w:r>
          </w:p>
        </w:tc>
        <w:tc>
          <w:tcPr>
            <w:tcW w:w="195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Refaz as quatro consultas da aba ao mudar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4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Exportar CSV</w:t>
            </w:r>
          </w:p>
        </w:tc>
        <w:tc>
          <w:tcPr>
            <w:tcW w:w="2547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um arquivo CSV com as contas a pagar e receber por parceiro do período</w:t>
            </w:r>
          </w:p>
        </w:tc>
        <w:tc>
          <w:tcPr>
            <w:tcW w:w="130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Exportação</w:t>
            </w:r>
          </w:p>
        </w:tc>
        <w:tc>
          <w:tcPr>
            <w:tcW w:w="211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953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no navegador, a partir dos dados já carregados</w:t>
            </w:r>
          </w:p>
        </w:tc>
      </w:tr>
      <w:tr>
        <w:trPr>
          <w:cantSplit/>
        </w:trPr>
        <w:tc>
          <w:tcPr>
            <w:tcW w:w="4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Exportar PDF</w:t>
            </w:r>
          </w:p>
        </w:tc>
        <w:tc>
          <w:tcPr>
            <w:tcW w:w="2547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um relatório em PDF com as três seções (contas por parceiro, produtos mais vendidos e maiores gastos) do período</w:t>
            </w:r>
          </w:p>
        </w:tc>
        <w:tc>
          <w:tcPr>
            <w:tcW w:w="130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Exportação</w:t>
            </w:r>
          </w:p>
        </w:tc>
        <w:tc>
          <w:tcPr>
            <w:tcW w:w="211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953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/api/financeiro/rentabilidade/pdf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aba Rentabilidade consolida o resultado financeiro do período selecionado (DRE), somando automaticamente todos os lançamentos gerados pelos demais módulos (compras, folha de pagamento, consumo de estoque, vendas e perdas de alimentação), além de permitir lançamentos manuais para casos não cobertos pelos fluxos automáticos. Abaixo do resumo, a tela também mostra as contas a pagar e receber resumidas por parceiro, os produtos mais vendidos no período (raças de animal e leite) e os maiores grupos de gasto — todos dentro do mesmo filtro de período, exportáveis em CSV ou PDF.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 e autorizado a acessar o módulo financeiro (ADMINISTRADOR, GERENTE ou FINANCEIRO).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1"/>
        </w:numPr>
        <w:rPr/>
      </w:pPr>
      <w:r>
        <w:rPr/>
        <w:t>O usuário acessa Financeiro → Rentabilidade e ajusta o filtro de período (data de início e fim).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 resumo do período (entradas, saídas, resultado), o gráfico de evolução mensal, as contas a pagar e receber por parceiro, os produtos mais vendidos e os maiores gastos por grupo.</w:t>
      </w:r>
    </w:p>
    <w:p>
      <w:pPr>
        <w:pStyle w:val="NoSpacing"/>
        <w:numPr>
          <w:ilvl w:val="0"/>
          <w:numId w:val="3"/>
        </w:numPr>
        <w:rPr/>
      </w:pPr>
      <w:r>
        <w:rPr/>
        <w:t>O usuário pode lançar um registro manual (fora do fluxo automático).</w:t>
      </w:r>
    </w:p>
    <w:p>
      <w:pPr>
        <w:pStyle w:val="NoSpacing"/>
        <w:numPr>
          <w:ilvl w:val="0"/>
          <w:numId w:val="3"/>
        </w:numPr>
        <w:rPr/>
      </w:pPr>
      <w:r>
        <w:rPr>
          <w:b w:val="false"/>
        </w:rPr>
        <w:t>O usuário exporta os dados em CSV (contas por parceiro) ou PDF (relatório completo), respeitando o período selecionado.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Lançamento virtual</w:t>
      </w:r>
      <w:r>
        <w:rPr/>
        <w:t xml:space="preserve"> — Alguns lançamentos são marcados como virtual (projeção, não efetivado); a aba Rentabilidade deve diferenciá-los dos lançamentos reais.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 xml:space="preserve">SF02: Nenhuma conta com vencimento no período — </w:t>
      </w:r>
      <w:r>
        <w:rPr>
          <w:b w:val="false"/>
        </w:rPr>
        <w:t>A lista de Contas a Pagar e Receber por Parceiro é exibida vazia, sem impedir a consulta das demais seções (DRE, produtos mais vendidos, maiores gastos).</w:t>
      </w:r>
      <w:r>
        <w:br w:type="page"/>
      </w:r>
    </w:p>
    <w:p>
      <w:pPr>
        <w:pStyle w:val="Heading2"/>
        <w:rPr/>
      </w:pPr>
      <w:bookmarkStart w:id="68" w:name="__RefHeading___Toc15507_706905635"/>
      <w:bookmarkStart w:id="69" w:name="_PraxisV3_1026"/>
      <w:bookmarkEnd w:id="68"/>
      <w:r>
        <w:rPr/>
        <w:t>Especificação do caso de uso UC18: Perfil</w:t>
      </w:r>
      <w:bookmarkEnd w:id="69"/>
    </w:p>
    <w:p>
      <w:pPr>
        <w:pStyle w:val="Heading3"/>
        <w:rPr/>
      </w:pPr>
      <w:r>
        <w:rPr/>
        <w:t>Interface de Usuário: Perfil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7" name="uc18-perfil" descr="Captura desktop da interface atual — uc18-perfil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uc18-perfil" descr="Captura desktop da interface atual — uc18-perfil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Exibe os dados da conta autenticada. O antigo widget de "Tarefas Diárias" foi promovido a um módulo de tela próprio (UC19).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991"/>
        <w:gridCol w:w="2340"/>
        <w:gridCol w:w="1620"/>
        <w:gridCol w:w="1530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9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do usuário autenticado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conta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do usuário autenticado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conta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de acesso do usuário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conta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ADMINISTRADOR, GERENTE, CUIDADOR, CUIDADOR_CHEFE ou FINANCEIRO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70" w:name="__RefHeading___Toc15509_706905635"/>
      <w:bookmarkEnd w:id="70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080"/>
        <w:gridCol w:w="349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08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4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08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Sair</w:t>
            </w:r>
          </w:p>
        </w:tc>
        <w:tc>
          <w:tcPr>
            <w:tcW w:w="34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Encerra a sessão do usuário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Sessão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autenticado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Invalida o token no cliente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visualizar os dados da conta autenticada e encerrar a sessão.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2"/>
        </w:numPr>
        <w:rPr/>
      </w:pPr>
      <w:r>
        <w:rPr/>
        <w:t>O usuário acessa Perfil.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os dados da sessão ativa.</w:t>
      </w:r>
    </w:p>
    <w:p>
      <w:pPr>
        <w:pStyle w:val="NoSpacing"/>
        <w:numPr>
          <w:ilvl w:val="0"/>
          <w:numId w:val="3"/>
        </w:numPr>
        <w:rPr/>
      </w:pPr>
      <w:r>
        <w:rPr/>
        <w:t>O usuário seleciona Sair.</w:t>
      </w:r>
    </w:p>
    <w:p>
      <w:pPr>
        <w:pStyle w:val="NoSpacing"/>
        <w:numPr>
          <w:ilvl w:val="0"/>
          <w:numId w:val="3"/>
        </w:numPr>
        <w:rPr/>
      </w:pPr>
      <w:r>
        <w:rPr/>
        <w:t>O sistema encerra a sessão e redireciona para a tela de login.</w:t>
      </w:r>
    </w:p>
    <w:p>
      <w:pPr>
        <w:pStyle w:val="Heading4"/>
        <w:rPr/>
      </w:pPr>
      <w:r>
        <w:rPr/>
        <w:t>Subfluxo</w:t>
      </w:r>
    </w:p>
    <w:p>
      <w:pPr>
        <w:pStyle w:val="Normal"/>
        <w:rPr/>
      </w:pPr>
      <w:r>
        <w:rPr/>
        <w:t>Não aplicável.</w:t>
      </w:r>
      <w:r>
        <w:br w:type="page"/>
      </w:r>
    </w:p>
    <w:p>
      <w:pPr>
        <w:pStyle w:val="Heading2"/>
        <w:rPr/>
      </w:pPr>
      <w:bookmarkStart w:id="71" w:name="__RefHeading___Toc15511_706905635"/>
      <w:bookmarkStart w:id="72" w:name="_PraxisV3_1027"/>
      <w:bookmarkEnd w:id="71"/>
      <w:r>
        <w:rPr/>
        <w:t>Especificação do caso de uso UC19: Tarefas</w:t>
      </w:r>
      <w:bookmarkEnd w:id="72"/>
    </w:p>
    <w:p>
      <w:pPr>
        <w:pStyle w:val="Heading3"/>
        <w:rPr/>
      </w:pPr>
      <w:r>
        <w:rPr/>
        <w:t>Interface de Usuário: Tarefas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8" name="uc19-tarefas" descr="Captura desktop da interface atual — uc19-tarefas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uc19-tarefas" descr="Captura desktop da interface atual — uc19-tarefas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Cada usuário tem uma lista de tarefas própria (listas_tarefas, 1:1 com usuario). Qualquer usuário pode atribuir uma tarefa a qualquer outro usuário; quem atribui a tarefa também pode acompanhar sua conclusão e excluí-la, mesmo sem ser o dono da lista.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991"/>
        <w:gridCol w:w="2340"/>
        <w:gridCol w:w="1620"/>
        <w:gridCol w:w="1530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9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Descrição da tarefa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tarefa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Limite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Prazo da tarefa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tarefa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válida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Status de Conclusão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 a tarefa foi concluída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tarefa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Sim/Não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 pelo dono da tarefa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Atribuído Por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de quem atribuiu a tarefa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da tarefa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editável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Preenchido automaticamente na atribuição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73" w:name="__RefHeading___Toc15513_706905635"/>
      <w:bookmarkEnd w:id="73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260"/>
        <w:gridCol w:w="331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26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31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26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Atribuir Tarefa</w:t>
            </w:r>
          </w:p>
        </w:tc>
        <w:tc>
          <w:tcPr>
            <w:tcW w:w="331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Cria uma tarefa para si mesmo ou para outro usuário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Usuário de destino existente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 Tarefa</w:t>
            </w:r>
          </w:p>
        </w:tc>
        <w:tc>
          <w:tcPr>
            <w:tcW w:w="33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descrição, prazo ou status de conclusão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Dono da tarefa, ou quem a atribuiu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26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 Tarefa</w:t>
            </w:r>
          </w:p>
        </w:tc>
        <w:tc>
          <w:tcPr>
            <w:tcW w:w="331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Remove a tarefa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Dono da tarefa, ou quem a atribuiu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Minhas Tarefas / Atribuídas por Mim</w:t>
            </w:r>
          </w:p>
        </w:tc>
        <w:tc>
          <w:tcPr>
            <w:tcW w:w="33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Alterna entre a lista de tarefas do próprio usuário e as que ele atribuiu a outros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/api/tarefas e GET /api/tarefas/atribuidas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que qualquer usuário organize suas próprias tarefas e também atribua tarefas a colegas, acompanhando a conclusão das que atribuiu mesmo sem ser o responsável direto por executá-las.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3"/>
        </w:numPr>
        <w:rPr/>
      </w:pPr>
      <w:r>
        <w:rPr/>
        <w:t>O usuário acessa Tarefas.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a lista de tarefas do usuário.</w:t>
      </w:r>
    </w:p>
    <w:p>
      <w:pPr>
        <w:pStyle w:val="NoSpacing"/>
        <w:numPr>
          <w:ilvl w:val="0"/>
          <w:numId w:val="3"/>
        </w:numPr>
        <w:rPr/>
      </w:pPr>
      <w:r>
        <w:rPr/>
        <w:t>O usuário cadastra uma tarefa para si ou atribui a outro usuário.</w:t>
      </w:r>
    </w:p>
    <w:p>
      <w:pPr>
        <w:pStyle w:val="NoSpacing"/>
        <w:numPr>
          <w:ilvl w:val="0"/>
          <w:numId w:val="3"/>
        </w:numPr>
        <w:rPr/>
      </w:pPr>
      <w:r>
        <w:rPr/>
        <w:t>O responsável marca a tarefa como concluída quando aplicável.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Exclusão por quem atribuiu</w:t>
      </w:r>
      <w:r>
        <w:rPr/>
        <w:t xml:space="preserve"> — Mesmo não sendo o dono da lista, quem atribuiu a tarefa pode excluí-la.</w:t>
      </w:r>
      <w:r>
        <w:br w:type="page"/>
      </w:r>
    </w:p>
    <w:p>
      <w:pPr>
        <w:pStyle w:val="Heading2"/>
        <w:rPr/>
      </w:pPr>
      <w:bookmarkStart w:id="74" w:name="__RefHeading___Toc15515_706905635"/>
      <w:bookmarkStart w:id="75" w:name="_PraxisV3_1028"/>
      <w:bookmarkEnd w:id="74"/>
      <w:r>
        <w:rPr/>
        <w:t>Especificação do caso de uso UC20: Configurações (Usuários)</w:t>
      </w:r>
      <w:bookmarkEnd w:id="75"/>
    </w:p>
    <w:p>
      <w:pPr>
        <w:pStyle w:val="Heading3"/>
        <w:rPr/>
      </w:pPr>
      <w:r>
        <w:rPr/>
        <w:t>Interface de Usuário: Configurações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29" name="uc20-equipe" descr="Captura desktop da interface atual — uc20-equipe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uc20-equipe" descr="Captura desktop da interface atual — uc20-equipe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>
          <w:b/>
        </w:rPr>
        <w:t>Mudança relevante em relação à v2.0:</w:t>
      </w:r>
      <w:r>
        <w:rPr/>
        <w:t xml:space="preserve"> esta tela deixou de ser apenas um complemento — hoje é a </w:t>
      </w:r>
      <w:r>
        <w:rPr>
          <w:b/>
        </w:rPr>
        <w:t>única forma de criar um novo usuário no sistema</w:t>
      </w:r>
      <w:r>
        <w:rPr/>
        <w:t>, já que não existe mais autoatendimento de "Criar Conta" (ver UC01). Acesso restrito a Administradores (item só aparece no menu lateral quando currentUser.perfil === 'ADMINISTRADOR').</w:t>
      </w:r>
    </w:p>
    <w:p>
      <w:pPr>
        <w:pStyle w:val="Heading4"/>
        <w:rPr/>
      </w:pPr>
      <w:r>
        <w:rPr/>
        <w:t>Campos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991"/>
        <w:gridCol w:w="2340"/>
        <w:gridCol w:w="1620"/>
        <w:gridCol w:w="1530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99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53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Buscar por Nome ou E-mail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Campo de pesquisa de usuários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Pesquisa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livre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Editável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Nome do usuário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usuário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do usuário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E-mail válido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99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Senha / Confirmar Senha</w:t>
            </w:r>
          </w:p>
        </w:tc>
        <w:tc>
          <w:tcPr>
            <w:tcW w:w="23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Senha de acesso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53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Texto, com confirmação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 no cadastro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Armazenada com hash BCrypt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99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</w:t>
            </w:r>
          </w:p>
        </w:tc>
        <w:tc>
          <w:tcPr>
            <w:tcW w:w="23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de acesso atribuído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de acesso</w:t>
            </w:r>
          </w:p>
        </w:tc>
        <w:tc>
          <w:tcPr>
            <w:tcW w:w="153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ADMINISTRADOR, GERENTE, CUIDADOR, CUIDADOR_CHEFE ou FINANCEIRO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Obrigatório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Só um Administrador pode alterar o perfil de outro usuário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76" w:name="__RefHeading___Toc15517_706905635"/>
      <w:bookmarkEnd w:id="76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260"/>
        <w:gridCol w:w="3311"/>
        <w:gridCol w:w="1245"/>
        <w:gridCol w:w="1934"/>
        <w:gridCol w:w="158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26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331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24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93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158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26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Buscar</w:t>
            </w:r>
          </w:p>
        </w:tc>
        <w:tc>
          <w:tcPr>
            <w:tcW w:w="331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Pesquisa usuários por nome/e-mail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Adicionar Usuário (+)</w:t>
            </w:r>
          </w:p>
        </w:tc>
        <w:tc>
          <w:tcPr>
            <w:tcW w:w="33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Cadastra um novo usuário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Cadastro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Administrador; e-mail não duplicado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Único ponto de criação de contas no sistema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26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Editar</w:t>
            </w:r>
          </w:p>
        </w:tc>
        <w:tc>
          <w:tcPr>
            <w:tcW w:w="331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 os dados de um usuário existente</w:t>
            </w:r>
          </w:p>
        </w:tc>
        <w:tc>
          <w:tcPr>
            <w:tcW w:w="124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Manutenção</w:t>
            </w:r>
          </w:p>
        </w:tc>
        <w:tc>
          <w:tcPr>
            <w:tcW w:w="193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Administrador</w:t>
            </w:r>
          </w:p>
        </w:tc>
        <w:tc>
          <w:tcPr>
            <w:tcW w:w="158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Alterar o campo Perfil exige Administrador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26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Excluir</w:t>
            </w:r>
          </w:p>
        </w:tc>
        <w:tc>
          <w:tcPr>
            <w:tcW w:w="331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Inativa um usuário</w:t>
            </w:r>
          </w:p>
        </w:tc>
        <w:tc>
          <w:tcPr>
            <w:tcW w:w="124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Exclusão</w:t>
            </w:r>
          </w:p>
        </w:tc>
        <w:tc>
          <w:tcPr>
            <w:tcW w:w="193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Perfil Administrador</w:t>
            </w:r>
          </w:p>
        </w:tc>
        <w:tc>
          <w:tcPr>
            <w:tcW w:w="158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A tela permite que um Administrador pesquise, cadastre, edite e inative usuários do sistema — sendo hoje o único ponto de entrada para novas contas, já que a v2.0 previa autoatendimento e essa possibilidade não existe mais no código atual.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 com perfil Administrador.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4"/>
        </w:numPr>
        <w:rPr/>
      </w:pPr>
      <w:r>
        <w:rPr/>
        <w:t>O Administrador acessa Configurações.</w:t>
      </w:r>
    </w:p>
    <w:p>
      <w:pPr>
        <w:pStyle w:val="NoSpacing"/>
        <w:numPr>
          <w:ilvl w:val="0"/>
          <w:numId w:val="3"/>
        </w:numPr>
        <w:rPr/>
      </w:pPr>
      <w:r>
        <w:rPr/>
        <w:t>O sistema exibe os usuários cadastrados.</w:t>
      </w:r>
    </w:p>
    <w:p>
      <w:pPr>
        <w:pStyle w:val="NoSpacing"/>
        <w:numPr>
          <w:ilvl w:val="0"/>
          <w:numId w:val="3"/>
        </w:numPr>
        <w:rPr/>
      </w:pPr>
      <w:r>
        <w:rPr/>
        <w:t>O Administrador cadastra um novo usuário, definindo nome, e-mail, senha e perfil.</w:t>
      </w:r>
    </w:p>
    <w:p>
      <w:pPr>
        <w:pStyle w:val="NoSpacing"/>
        <w:numPr>
          <w:ilvl w:val="0"/>
          <w:numId w:val="3"/>
        </w:numPr>
        <w:rPr/>
      </w:pPr>
      <w:r>
        <w:rPr/>
        <w:t>O sistema registra o usuário.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E-mail já cadastrado</w:t>
      </w:r>
      <w:r>
        <w:rPr/>
        <w:t xml:space="preserve"> — O sistema rejeita o cadastro e exibe mensagem de erro.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Alteração de perfil por não Administrador</w:t>
      </w:r>
      <w:r>
        <w:rPr/>
        <w:t xml:space="preserve"> — O backend rejeita explicitamente ("Apenas administradores podem alterar o perfil de um usuário.").</w:t>
      </w:r>
      <w:r>
        <w:br w:type="page"/>
      </w:r>
    </w:p>
    <w:p>
      <w:pPr>
        <w:pStyle w:val="Heading2"/>
        <w:rPr/>
      </w:pPr>
      <w:bookmarkStart w:id="77" w:name="__RefHeading___Toc15519_706905635"/>
      <w:bookmarkStart w:id="78" w:name="_PraxisV3_1029"/>
      <w:bookmarkEnd w:id="77"/>
      <w:r>
        <w:rPr/>
        <w:t>Especificação do caso de uso UC21: Custo de Vida do Animal</w:t>
      </w:r>
      <w:bookmarkEnd w:id="78"/>
    </w:p>
    <w:p>
      <w:pPr>
        <w:pStyle w:val="Heading3"/>
        <w:rPr/>
      </w:pPr>
      <w:r>
        <w:rPr/>
        <w:t>Interface de Usuário: Animais → Detalhes do Animal (seção "Custo de vida") e Lotes → Detalhes do Lote (seção "Custo total do lote")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30955"/>
            <wp:effectExtent l="0" t="0" r="0" b="0"/>
            <wp:docPr id="30" name="uc21-custo-vida" descr="Captura desktop da interface atual — uc21-custo-vida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uc21-custo-vida" descr="Captura desktop da interface atual — uc21-custo-vida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30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Gera automaticamente, a partir de "Manter Animais e Raças" (UC03), "Alimentar Setores e Sobra de Alimentação" (UC08) e "Vacinar Animais" (UC10), um lançamento de custo (custo_animal) vinculado ao animal, com o valor fotografado no momento do evento (preço do insumo ou valor de aquisição). O lançamento pertence ao animal, não ao lote: ao ser transferido entre lotes (UC04), o animal leva seu histórico de custo consigo, e o total do novo lote passa a somá-lo. Não gera lançamento financeiro no DRE (mesmo comportamento de "Alimentar Setores" e "Vacinar Animais").</w:t>
      </w:r>
    </w:p>
    <w:p>
      <w:pPr>
        <w:pStyle w:val="Heading4"/>
        <w:rPr/>
      </w:pPr>
      <w:r>
        <w:rPr/>
        <w:t>Campos — Lançamento de Custo (gerado automaticamente, não editável pelo usuário)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Tipo de Custo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 do lançamento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lançamento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Aquisição, Alimentação ou Vacinação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automaticamente a partir do evento de origem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fotografado no momento do evento (preço do insumo ou valor de aquisição)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lançamento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Não é recalculado se o preço do insumo mudar depois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Quantidade consumida ou aplicada que originou o valor (ração, dose)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lançamento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Nulo para lançamentos de aquisição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do Evento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 em que o custo ocorreu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lançamento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Data/hora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descritivo do evento (ex.: nome do insumo e setor, ou da vacina)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lançamento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—</w:t>
            </w:r>
          </w:p>
        </w:tc>
      </w:tr>
    </w:tbl>
    <w:p>
      <w:pPr>
        <w:pStyle w:val="Heading4"/>
        <w:rPr/>
      </w:pPr>
      <w:r>
        <w:rPr/>
        <w:t>Campos — Aquisição do Animal (informados no cadastro do animal, UC03)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Valor de Aquisição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Preço pago na compra do animal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animal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Número decimal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 o lançamento de custo do tipo Aquisição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de Aquisição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 da compra do animal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do animal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Data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Opcional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Usada como data do evento de aquisição; se vazia, usa a data do cadastro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79" w:name="__RefHeading___Toc15521_706905635"/>
      <w:bookmarkEnd w:id="79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51"/>
        <w:gridCol w:w="2700"/>
        <w:gridCol w:w="1349"/>
        <w:gridCol w:w="1890"/>
        <w:gridCol w:w="204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7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89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04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Consultar Custo de Vida do Animal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Retorna os totais por categoria e o histórico de eventos de um animal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Animal existente e ativo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/animais/{id}/custo-vida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Consultar Custo Total do Lote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Retorna os totais por categoria somando o ledger dos animais atualmente alocados ao lote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Lote existente e ativo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GET /lotes/{id}/custo-total — soma o ledger de cada animal atualmente no lote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Custo de Alimentação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automaticamente ao registrar ou editar um consumo em Alimentar Setores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Automático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Consumo com rateio por animal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Reemitido (estornado e recriado) ao editar o consumo de origem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Registrar Custo de Vacinação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Gerado automaticamente ao registrar uma aplicação em Vacinar Animais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Automático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Item de vacinação por animal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Estornado ao cancelar ou editar a aplicação de origem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No cadastro do animal, o usuário pode informar (opcionalmente) o valor e a data de aquisição — campos deixados em branco quando o animal nasceu na própria fazenda. A partir daí, cada alimentação e vacinação aplicada ao animal gera um novo lançamento de custo com o preço do insumo fotografado naquele momento. O usuário consulta o total acumulado e o histórico de eventos na tela de detalhes do animal, e o total agregado dos animais atualmente alocados na tela de detalhes do lote.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o animal (ou lote) consultado deve existir e estar ativo.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5"/>
        </w:numPr>
        <w:rPr/>
      </w:pPr>
      <w:r>
        <w:rPr/>
        <w:t>O usuário cadastra um animal, informando opcionalmente o valor e a data de aquisição (UC03).</w:t>
      </w:r>
    </w:p>
    <w:p>
      <w:pPr>
        <w:pStyle w:val="NoSpacing"/>
        <w:numPr>
          <w:ilvl w:val="0"/>
          <w:numId w:val="3"/>
        </w:numPr>
        <w:rPr/>
      </w:pPr>
      <w:r>
        <w:rPr/>
        <w:t>A cada "Alimentar Setores" (UC08) ou "Vacinar Animais" (UC10) aplicado ao animal, o sistema fotografa o preço do insumo no momento e grava um lançamento de custo vinculado a ele.</w:t>
      </w:r>
    </w:p>
    <w:p>
      <w:pPr>
        <w:pStyle w:val="NoSpacing"/>
        <w:numPr>
          <w:ilvl w:val="0"/>
          <w:numId w:val="3"/>
        </w:numPr>
        <w:rPr/>
      </w:pPr>
      <w:r>
        <w:rPr/>
        <w:t>O usuário abre Animais → Detalhes do Animal e consulta a seção "Custo de vida", com os totais por categoria (Aquisição, Alimentação, Vacinação) e a lista de eventos.</w:t>
      </w:r>
    </w:p>
    <w:p>
      <w:pPr>
        <w:pStyle w:val="NoSpacing"/>
        <w:numPr>
          <w:ilvl w:val="0"/>
          <w:numId w:val="3"/>
        </w:numPr>
        <w:rPr/>
      </w:pPr>
      <w:r>
        <w:rPr/>
        <w:t>O usuário abre Lotes → Detalhes do Lote e consulta a seção "Custo total do lote", somando o ledger de cada animal atualmente alocado.</w:t>
      </w:r>
    </w:p>
    <w:p>
      <w:pPr>
        <w:pStyle w:val="NoSpacing"/>
        <w:numPr>
          <w:ilvl w:val="0"/>
          <w:numId w:val="3"/>
        </w:numPr>
        <w:rPr/>
      </w:pPr>
      <w:r>
        <w:rPr/>
        <w:t>Ao transferir o animal para outro lote (UC04), seu histórico de custo continua associado a ele e passa a contar no total do novo lote.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Animal sem valor de aquisição informado</w:t>
      </w:r>
      <w:r>
        <w:rPr/>
        <w:t xml:space="preserve"> — Nenhum lançamento de Aquisição é gerado; o animal é tratado como nascido na própria fazenda.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Edição de um consumo ou de uma aplicação já registrada</w:t>
      </w:r>
      <w:r>
        <w:rPr/>
        <w:t xml:space="preserve"> — O sistema remove o(s) lançamento(s) de custo anteriores daquela origem e recria com os novos valores, sem duplicar.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Cancelamento de uma aplicação de vacina</w:t>
      </w:r>
      <w:r>
        <w:rPr/>
        <w:t xml:space="preserve"> — O sistema remove o lançamento de custo de vacinação correspondente.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SF04: Eventos anteriores à implantação desta funcionalidade</w:t>
      </w:r>
      <w:r>
        <w:rPr/>
        <w:t xml:space="preserve"> — Não possuem lançamento de custo retroativo, pois o preço pago na época não ficou registrado nos lançamentos antigos de consumo/vacinação.</w:t>
      </w:r>
      <w:r>
        <w:br w:type="page"/>
      </w:r>
    </w:p>
    <w:p>
      <w:pPr>
        <w:pStyle w:val="Heading2"/>
        <w:rPr/>
      </w:pPr>
      <w:bookmarkStart w:id="80" w:name="__RefHeading___Toc15523_706905635"/>
      <w:bookmarkStart w:id="81" w:name="_PraxisV3_1030"/>
      <w:bookmarkEnd w:id="80"/>
      <w:r>
        <w:rPr/>
        <w:t>Especificação do caso de uso UC22: Gráficos de Ocupação e Distribuição</w:t>
      </w:r>
      <w:bookmarkEnd w:id="81"/>
    </w:p>
    <w:p>
      <w:pPr>
        <w:pStyle w:val="Heading3"/>
        <w:rPr/>
      </w:pPr>
      <w:r>
        <w:rPr/>
        <w:t>Interface de Usuário: Setores → topo da listagem ("Ocupação dos setores"); Animais → aba Animais ("Animais por raça"); Insumos → aba Catálogo de Produtos ("Insumos por grupo de produto")</w:t>
      </w:r>
    </w:p>
    <w:p>
      <w:pPr>
        <w:pStyle w:val="Heading4"/>
        <w:rPr/>
      </w:pPr>
      <w:r>
        <w:rPr/>
        <w:t>Layout Sugerido</w:t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29050"/>
            <wp:effectExtent l="0" t="0" r="0" b="0"/>
            <wp:docPr id="31" name="uc22-ocupacao" descr="Captura desktop da interface atual — uc22-ocupaca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uc22-ocupacao" descr="Captura desktop da interface atual — uc22-ocupaca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290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Spacing"/>
        <w:spacing w:before="120" w:after="120"/>
        <w:ind w:hanging="0"/>
        <w:jc w:val="center"/>
        <w:rPr/>
      </w:pPr>
      <w:r>
        <w:rPr/>
        <w:drawing>
          <wp:inline distT="0" distB="0" distL="0" distR="0">
            <wp:extent cx="6126480" cy="3830955"/>
            <wp:effectExtent l="0" t="0" r="0" b="0"/>
            <wp:docPr id="32" name="uc22-distribuicao" descr="Captura desktop da interface atual — uc22-distribuicao, dados de demonstraçã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uc22-distribuicao" descr="Captura desktop da interface atual — uc22-distribuicao, dados de demonstração"/>
                    <pic:cNvPicPr>
                      <a:picLocks noChangeAspect="1" noChangeArrowheads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8309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Heading4"/>
        <w:rPr/>
      </w:pPr>
      <w:r>
        <w:rPr/>
        <w:t>Relacionamento com outras interfaces</w:t>
      </w:r>
    </w:p>
    <w:p>
      <w:pPr>
        <w:pStyle w:val="Normal"/>
        <w:rPr/>
      </w:pPr>
      <w:r>
        <w:rPr/>
        <w:t>Três visualizações que resumem dados já existentes nas telas de Setores (UC05), Animais (UC03) e Insumos (UC07): uma barra de ocupação por setor (um segmento colorido por lote alocado, mais um trecho neutro representando a capacidade livre) e dois gráficos de barras horizontais (quantidade de animais por raça; quantidade de produtos por grupo, excluindo o grupo Animais). Clicar em uma barra ou segmento filtra a lista da própria tela por aquela categoria (raça, grupo de produto ou setor); clicar de novo remove o filtro. Não introduz nenhuma tabela nova — usa os mesmos dados já carregados para cada listagem.</w:t>
      </w:r>
    </w:p>
    <w:p>
      <w:pPr>
        <w:pStyle w:val="Heading4"/>
        <w:rPr/>
      </w:pPr>
      <w:r>
        <w:rPr/>
        <w:t>Campos — Gráficos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Ocupação do Setor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Barra com a capacidade do setor (fundo neutro) e um segmento colorido por lote alocado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Setores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 por lote convertidos em % da capacidade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Clique no segmento filtra a tabela de setores por aquele setor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 por Raça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Barra horizontal com a quantidade de animais ATIVO/OBSERVACAO de cada raça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Animais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a partir da lista de animais já carregada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Clique na barra filtra a tabela de animais por aquela raça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Insumos por Grupo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Barra horizontal com a quantidade de produtos cadastrados em cada grupo (exceto Animais)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Insumos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a partir do catálogo de produtos já carregado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Clique na barra filtra o catálogo por aquele grupo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 da Categoria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 atribuída a cada lote, raça ou grupo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Visual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Paleta fixa de 8 tons, escolhida por hash do nome/id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Estável entre renderizações; pode repetir após a 8ª categoria simultânea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5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Filtro Ativo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Indicação de qual categoria está filtrando a lista abaixo do gráfico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Visual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Texto "Filtrando por: X" com botão de limpar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Clicar de novo na mesma barra remove o filtro</w:t>
            </w:r>
          </w:p>
        </w:tc>
      </w:tr>
    </w:tbl>
    <w:p>
      <w:pPr>
        <w:pStyle w:val="Heading4"/>
        <w:rPr/>
      </w:pPr>
      <w:r>
        <w:rPr/>
        <w:t>Campos — Paleta de Cores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620"/>
        <w:gridCol w:w="2071"/>
        <w:gridCol w:w="1349"/>
        <w:gridCol w:w="1441"/>
        <w:gridCol w:w="1440"/>
        <w:gridCol w:w="1415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62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07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44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Conteúdo</w:t>
            </w:r>
          </w:p>
        </w:tc>
        <w:tc>
          <w:tcPr>
            <w:tcW w:w="144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Edição</w:t>
            </w:r>
          </w:p>
        </w:tc>
        <w:tc>
          <w:tcPr>
            <w:tcW w:w="1415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62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Ramp Clara</w:t>
            </w:r>
          </w:p>
        </w:tc>
        <w:tc>
          <w:tcPr>
            <w:tcW w:w="207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 tons validados para o tema claro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Paleta</w:t>
            </w:r>
          </w:p>
        </w:tc>
        <w:tc>
          <w:tcPr>
            <w:tcW w:w="144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Hex fixo</w:t>
            </w:r>
          </w:p>
        </w:tc>
        <w:tc>
          <w:tcPr>
            <w:tcW w:w="144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Cores e contraste validados por script (ver skill de visualização de dados)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62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Ramp Escura</w:t>
            </w:r>
          </w:p>
        </w:tc>
        <w:tc>
          <w:tcPr>
            <w:tcW w:w="207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8 tons validados para o tema escuro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Paleta</w:t>
            </w:r>
          </w:p>
        </w:tc>
        <w:tc>
          <w:tcPr>
            <w:tcW w:w="144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Hex fixo</w:t>
            </w:r>
          </w:p>
        </w:tc>
        <w:tc>
          <w:tcPr>
            <w:tcW w:w="144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Somente leitura</w:t>
            </w:r>
          </w:p>
        </w:tc>
        <w:tc>
          <w:tcPr>
            <w:tcW w:w="1415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Passos diferentes da ramp clara — não é apenas a cor clara invertida</w:t>
            </w:r>
          </w:p>
        </w:tc>
      </w:tr>
    </w:tbl>
    <w:p>
      <w:pPr>
        <w:pStyle w:val="Normal"/>
        <w:keepNext w:val="true"/>
        <w:keepLines/>
        <w:widowControl w:val="false"/>
        <w:numPr>
          <w:ilvl w:val="3"/>
          <w:numId w:val="1"/>
        </w:numPr>
        <w:spacing w:before="240" w:after="240"/>
        <w:rPr>
          <w:rFonts w:eastAsia="Liberation Serif" w:cs="Liberation Serif"/>
          <w:sz w:val="24"/>
          <w:szCs w:val="24"/>
        </w:rPr>
      </w:pPr>
      <w:bookmarkStart w:id="82" w:name="__RefHeading___Toc15525_706905635"/>
      <w:bookmarkEnd w:id="82"/>
      <w:r>
        <w:rPr>
          <w:rFonts w:eastAsia="Liberation Serif" w:cs="Liberation Serif"/>
          <w:b/>
          <w:bCs/>
          <w:sz w:val="24"/>
          <w:szCs w:val="24"/>
        </w:rPr>
        <w:t>Comandos</w:t>
      </w:r>
    </w:p>
    <w:tbl>
      <w:tblPr>
        <w:tblStyle w:val="Estilo1"/>
        <w:tblW w:w="9865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529"/>
        <w:gridCol w:w="1351"/>
        <w:gridCol w:w="2700"/>
        <w:gridCol w:w="1349"/>
        <w:gridCol w:w="1890"/>
        <w:gridCol w:w="2046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Nº</w:t>
            </w:r>
          </w:p>
        </w:tc>
        <w:tc>
          <w:tcPr>
            <w:tcW w:w="1351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Nome</w:t>
            </w:r>
          </w:p>
        </w:tc>
        <w:tc>
          <w:tcPr>
            <w:tcW w:w="270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Descrição</w:t>
            </w:r>
          </w:p>
        </w:tc>
        <w:tc>
          <w:tcPr>
            <w:tcW w:w="1349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Grupo</w:t>
            </w:r>
          </w:p>
        </w:tc>
        <w:tc>
          <w:tcPr>
            <w:tcW w:w="1890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de Validade</w:t>
            </w:r>
          </w:p>
        </w:tc>
        <w:tc>
          <w:tcPr>
            <w:tcW w:w="2046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  <w:t>Requisitos Diversos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1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Consultar Ocupação dos Setores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uma barra por setor com os lotes que o ocupam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setores carregada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Dados vêm de GET /setores, já usados pela tabela de setores</w:t>
            </w:r>
          </w:p>
        </w:tc>
      </w:tr>
      <w:tr>
        <w:trPr>
          <w:cantSplit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2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Consultar Animais por Raça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a contagem de animais por raça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Lista de animais carregada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no frontend a partir de GET /animais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52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3</w:t>
            </w:r>
          </w:p>
        </w:tc>
        <w:tc>
          <w:tcPr>
            <w:tcW w:w="1351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Consultar Insumos por Grupo</w:t>
            </w:r>
          </w:p>
        </w:tc>
        <w:tc>
          <w:tcPr>
            <w:tcW w:w="270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Exibe a contagem de produtos por grupo</w:t>
            </w:r>
          </w:p>
        </w:tc>
        <w:tc>
          <w:tcPr>
            <w:tcW w:w="1349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Consulta</w:t>
            </w:r>
          </w:p>
        </w:tc>
        <w:tc>
          <w:tcPr>
            <w:tcW w:w="1890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Catálogo de produtos carregado</w:t>
            </w:r>
          </w:p>
        </w:tc>
        <w:tc>
          <w:tcPr>
            <w:tcW w:w="2046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Calculado no frontend a partir de GET /insumos/estoque; exclui tipo ANIMAL</w:t>
            </w:r>
          </w:p>
        </w:tc>
      </w:tr>
      <w:tr>
        <w:trPr>
          <w:cantSplit/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tcW w:w="52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4</w:t>
            </w:r>
          </w:p>
        </w:tc>
        <w:tc>
          <w:tcPr>
            <w:tcW w:w="1351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Filtrar por Clique na Barra</w:t>
            </w:r>
          </w:p>
        </w:tc>
        <w:tc>
          <w:tcPr>
            <w:tcW w:w="270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Aplica um filtro local à lista da mesma tela ao clicar numa barra ou segmento</w:t>
            </w:r>
          </w:p>
        </w:tc>
        <w:tc>
          <w:tcPr>
            <w:tcW w:w="1349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Interação</w:t>
            </w:r>
          </w:p>
        </w:tc>
        <w:tc>
          <w:tcPr>
            <w:tcW w:w="1890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color w:val="000000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Gráfico com dados carregados</w:t>
            </w:r>
          </w:p>
        </w:tc>
        <w:tc>
          <w:tcPr>
            <w:tcW w:w="2046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Filtro é limpo clicando de novo na mesma barra ou no botão "✕"</w:t>
            </w:r>
          </w:p>
        </w:tc>
      </w:tr>
    </w:tbl>
    <w:p>
      <w:pPr>
        <w:pStyle w:val="Heading4"/>
        <w:rPr/>
      </w:pPr>
      <w:r>
        <w:rPr/>
        <w:t>Cenário</w:t>
      </w:r>
    </w:p>
    <w:p>
      <w:pPr>
        <w:pStyle w:val="Normal"/>
        <w:rPr/>
      </w:pPr>
      <w:r>
        <w:rPr/>
        <w:t>O usuário abre Setores, Animais ou Insumos e vê, no topo da tela, um resumo visual dos dados já cadastrados: quantos animais de cada lote ocupam cada setor, quantos animais existem de cada raça, e quantos produtos existem em cada grupo (exceto Animais, já coberto pelo gráfico de raças). Ao clicar numa barra ou segmento, a lista abaixo é filtrada para mostrar apenas os itens daquela categoria, sem precisar digitar na busca.</w:t>
      </w:r>
    </w:p>
    <w:p>
      <w:pPr>
        <w:pStyle w:val="Heading4"/>
        <w:rPr/>
      </w:pPr>
      <w:r>
        <w:rPr/>
        <w:t>Pré-condições</w:t>
      </w:r>
    </w:p>
    <w:p>
      <w:pPr>
        <w:pStyle w:val="Normal"/>
        <w:rPr/>
      </w:pPr>
      <w:r>
        <w:rPr/>
        <w:t>O usuário deve estar autenticado; a tela correspondente (Setores, Animais ou Insumos) deve ter pelo menos um registro para exibir algo além de um gráfico vazio.</w:t>
      </w:r>
    </w:p>
    <w:p>
      <w:pPr>
        <w:pStyle w:val="Heading4"/>
        <w:rPr/>
      </w:pPr>
      <w:r>
        <w:rPr/>
        <w:t>Fluxo Principal</w:t>
      </w:r>
    </w:p>
    <w:p>
      <w:pPr>
        <w:pStyle w:val="NoSpacing"/>
        <w:numPr>
          <w:ilvl w:val="0"/>
          <w:numId w:val="46"/>
        </w:numPr>
        <w:rPr/>
      </w:pPr>
      <w:r>
        <w:rPr/>
        <w:t>O usuário abre a tela de Setores, Animais ou Insumos.</w:t>
      </w:r>
    </w:p>
    <w:p>
      <w:pPr>
        <w:pStyle w:val="NoSpacing"/>
        <w:numPr>
          <w:ilvl w:val="0"/>
          <w:numId w:val="3"/>
        </w:numPr>
        <w:rPr/>
      </w:pPr>
      <w:r>
        <w:rPr/>
        <w:t>O sistema calcula a distribuição (ocupação por setor, animais por raça, ou produtos por grupo) a partir dos dados já carregados para a listagem da própria tela, sem nenhuma chamada adicional à API.</w:t>
      </w:r>
    </w:p>
    <w:p>
      <w:pPr>
        <w:pStyle w:val="NoSpacing"/>
        <w:numPr>
          <w:ilvl w:val="0"/>
          <w:numId w:val="3"/>
        </w:numPr>
        <w:rPr/>
      </w:pPr>
      <w:r>
        <w:rPr/>
        <w:t>O sistema atribui uma cor estável a cada categoria (lote, raça ou grupo) com base no nome/id, reaproveitando a mesma paleta de 8 tons nas três telas.</w:t>
      </w:r>
    </w:p>
    <w:p>
      <w:pPr>
        <w:pStyle w:val="NoSpacing"/>
        <w:numPr>
          <w:ilvl w:val="0"/>
          <w:numId w:val="3"/>
        </w:numPr>
        <w:rPr/>
      </w:pPr>
      <w:r>
        <w:rPr/>
        <w:t>O usuário clica numa barra (ou num segmento, no caso de Setores) para filtrar a lista abaixo por aquela categoria.</w:t>
      </w:r>
    </w:p>
    <w:p>
      <w:pPr>
        <w:pStyle w:val="NoSpacing"/>
        <w:numPr>
          <w:ilvl w:val="0"/>
          <w:numId w:val="3"/>
        </w:numPr>
        <w:rPr/>
      </w:pPr>
      <w:r>
        <w:rPr/>
        <w:t>O usuário clica de novo na mesma barra, ou no botão "✕" do indicador de filtro, para voltar a ver a lista completa.</w:t>
      </w:r>
    </w:p>
    <w:p>
      <w:pPr>
        <w:pStyle w:val="Heading4"/>
        <w:rPr/>
      </w:pPr>
      <w:r>
        <w:rPr/>
        <w:t>Subfluxo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SF01: Mais de 8 categorias simultâneas no mesmo gráfico</w:t>
      </w:r>
      <w:r>
        <w:rPr/>
        <w:t xml:space="preserve"> — Duas categorias podem coincidir na mesma cor (a paleta tem 8 tons fixos); o rótulo direto ao lado de cada barra continua garantindo a identificação, mesmo com a cor repetida.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SF02: Setor sem capacidade máxima cadastrada (0)</w:t>
      </w:r>
      <w:r>
        <w:rPr/>
        <w:t xml:space="preserve"> — A barra trata a ocupação atual como o próprio limite, sem erro de divisão por zero.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SF03: Nenhum lote alocado a um setor</w:t>
      </w:r>
      <w:r>
        <w:rPr/>
        <w:t xml:space="preserve"> — A barra é exibida inteiramente neutra, sem segmentos coloridos.</w:t>
      </w:r>
    </w:p>
    <w:p>
      <w:pPr>
        <w:pStyle w:val="NoSpacing"/>
        <w:numPr>
          <w:ilvl w:val="0"/>
          <w:numId w:val="2"/>
        </w:numPr>
        <w:rPr/>
      </w:pPr>
      <w:r>
        <w:rPr>
          <w:b/>
        </w:rPr>
        <w:t>SF04: Lote inativado (excluído) ainda alocado a um setor</w:t>
      </w:r>
      <w:r>
        <w:rPr/>
        <w:t xml:space="preserve"> — A alocação é ignorada na ocupação exibida (ver correção em SSetor.toDto).</w:t>
      </w:r>
      <w:r>
        <w:br w:type="page"/>
      </w:r>
    </w:p>
    <w:p>
      <w:pPr>
        <w:pStyle w:val="Heading1"/>
        <w:rPr/>
      </w:pPr>
      <w:bookmarkStart w:id="83" w:name="__RefHeading___Toc15527_706905635"/>
      <w:bookmarkStart w:id="84" w:name="_PraxisV3_1031"/>
      <w:bookmarkEnd w:id="83"/>
      <w:r>
        <w:rPr/>
        <w:t>Diagrama Entidade Relacionamento</w:t>
      </w:r>
      <w:bookmarkEnd w:id="84"/>
    </w:p>
    <w:p>
      <w:pPr>
        <w:pStyle w:val="Heading2"/>
        <w:rPr/>
      </w:pPr>
      <w:bookmarkStart w:id="85" w:name="__RefHeading___Toc15529_706905635"/>
      <w:bookmarkStart w:id="86" w:name="_PraxisV3_1032"/>
      <w:bookmarkEnd w:id="85"/>
      <w:r>
        <w:rPr/>
        <w:t>Tabelas de Acesso e Sistema</w:t>
      </w:r>
      <w:bookmarkEnd w:id="86"/>
    </w:p>
    <w:p>
      <w:pPr>
        <w:pStyle w:val="Heading3"/>
        <w:rPr/>
      </w:pPr>
      <w:r>
        <w:rPr/>
        <w:t>Tabela: `usuario`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</w:t>
      </w:r>
    </w:p>
    <w:p>
      <w:pPr>
        <w:pStyle w:val="NoSpacing"/>
        <w:numPr>
          <w:ilvl w:val="0"/>
          <w:numId w:val="2"/>
        </w:numPr>
        <w:rPr/>
      </w:pPr>
      <w:r>
        <w:rPr/>
        <w:t>ENUM perfil: ADMINISTRADOR, GERENTE, CUIDADOR, CUIDADOR_CHEFE, FINANCEIRO</w:t>
      </w:r>
    </w:p>
    <w:p>
      <w:pPr>
        <w:pStyle w:val="NoSpacing"/>
        <w:numPr>
          <w:ilvl w:val="0"/>
          <w:numId w:val="2"/>
        </w:numPr>
        <w:rPr/>
      </w:pPr>
      <w:r>
        <w:rPr/>
        <w:t>ENUM status: A, I</w:t>
      </w:r>
    </w:p>
    <w:p>
      <w:pPr>
        <w:pStyle w:val="Heading3"/>
        <w:rPr/>
      </w:pPr>
      <w:r>
        <w:rPr/>
        <w:t>Tabela: `listas_tarefas`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usuario_id → usuario(id) (única — cada usuário tem no máximo uma lista)</w:t>
      </w:r>
    </w:p>
    <w:p>
      <w:pPr>
        <w:pStyle w:val="Heading3"/>
        <w:rPr/>
      </w:pPr>
      <w:r>
        <w:rPr/>
        <w:t>Tabela: `tarefa`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lista_tarefa_id → listas_tarefas(id)</w:t>
      </w:r>
    </w:p>
    <w:p>
      <w:pPr>
        <w:pStyle w:val="NoSpacing"/>
        <w:numPr>
          <w:ilvl w:val="0"/>
          <w:numId w:val="2"/>
        </w:numPr>
        <w:rPr/>
      </w:pPr>
      <w:r>
        <w:rPr/>
        <w:t>Coluna adicional: atribuido_por_email (quem atribuiu a tarefa)</w:t>
      </w:r>
    </w:p>
    <w:p>
      <w:pPr>
        <w:pStyle w:val="Heading2"/>
        <w:rPr/>
      </w:pPr>
      <w:bookmarkStart w:id="87" w:name="__RefHeading___Toc15531_706905635"/>
      <w:bookmarkStart w:id="88" w:name="_PraxisV3_1033"/>
      <w:bookmarkEnd w:id="87"/>
      <w:r>
        <w:rPr/>
        <w:t>Módulo de Cadastros Gerais (Parceiros)</w:t>
      </w:r>
      <w:bookmarkEnd w:id="88"/>
    </w:p>
    <w:p>
      <w:pPr>
        <w:pStyle w:val="Heading3"/>
        <w:rPr/>
      </w:pPr>
      <w:r>
        <w:rPr/>
        <w:t>Tabela: `parceiro`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</w:t>
      </w:r>
    </w:p>
    <w:p>
      <w:pPr>
        <w:pStyle w:val="NoSpacing"/>
        <w:numPr>
          <w:ilvl w:val="0"/>
          <w:numId w:val="2"/>
        </w:numPr>
        <w:rPr/>
      </w:pPr>
      <w:r>
        <w:rPr/>
        <w:t>ENUM tipo: FORNECEDOR, COMPRADOR, AMBOS</w:t>
      </w:r>
    </w:p>
    <w:p>
      <w:pPr>
        <w:pStyle w:val="NoSpacing"/>
        <w:numPr>
          <w:ilvl w:val="0"/>
          <w:numId w:val="2"/>
        </w:numPr>
        <w:rPr/>
      </w:pPr>
      <w:r>
        <w:rPr/>
        <w:t>Colunas: nome, cpf_cnpj (único), email, endereco, telefone</w:t>
      </w:r>
    </w:p>
    <w:p>
      <w:pPr>
        <w:pStyle w:val="Heading2"/>
        <w:rPr/>
      </w:pPr>
      <w:bookmarkStart w:id="89" w:name="__RefHeading___Toc15533_706905635"/>
      <w:bookmarkStart w:id="90" w:name="_PraxisV3_1034"/>
      <w:bookmarkEnd w:id="89"/>
      <w:r>
        <w:rPr/>
        <w:t>Módulo de Pecuária (Gado e Estrutura)</w:t>
      </w:r>
      <w:bookmarkEnd w:id="90"/>
    </w:p>
    <w:p>
      <w:pPr>
        <w:pStyle w:val="Heading3"/>
        <w:rPr/>
      </w:pPr>
      <w:r>
        <w:rPr/>
        <w:t>Tabela: `setor`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criado_por_id → usuario(id), alterado_por_id → usuario(id)</w:t>
      </w:r>
    </w:p>
    <w:p>
      <w:pPr>
        <w:pStyle w:val="NoSpacing"/>
        <w:numPr>
          <w:ilvl w:val="0"/>
          <w:numId w:val="2"/>
        </w:numPr>
        <w:rPr/>
      </w:pPr>
      <w:r>
        <w:rPr/>
        <w:t>ENUM tipo: PASTO, GALPAO, CONFINAMENTO, PATIO</w:t>
      </w:r>
    </w:p>
    <w:p>
      <w:pPr>
        <w:pStyle w:val="NoSpacing"/>
        <w:numPr>
          <w:ilvl w:val="0"/>
          <w:numId w:val="2"/>
        </w:numPr>
        <w:rPr/>
      </w:pPr>
      <w:r>
        <w:rPr/>
        <w:t>Colunas: nome, capacidade_maxima, meta_texto, meta_producao_leite, meta_arroba_abate</w:t>
      </w:r>
    </w:p>
    <w:p>
      <w:pPr>
        <w:pStyle w:val="Heading3"/>
        <w:rPr/>
      </w:pPr>
      <w:r>
        <w:rPr/>
        <w:t>Tabela: `raca`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produto_id → insumo(id)</w:t>
      </w:r>
    </w:p>
    <w:p>
      <w:pPr>
        <w:pStyle w:val="NoSpacing"/>
        <w:numPr>
          <w:ilvl w:val="0"/>
          <w:numId w:val="2"/>
        </w:numPr>
        <w:rPr/>
      </w:pPr>
      <w:r>
        <w:rPr/>
        <w:t>Colunas: nome (único), sigla (única, até 4 caracteres — usada no código do brinco)</w:t>
      </w:r>
    </w:p>
    <w:p>
      <w:pPr>
        <w:pStyle w:val="Heading3"/>
        <w:rPr/>
      </w:pPr>
      <w:r>
        <w:rPr/>
        <w:t>Tabela: `lote`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criado_por_id → usuario(id), alterado_por_id → usuario(id)</w:t>
      </w:r>
    </w:p>
    <w:p>
      <w:pPr>
        <w:pStyle w:val="NoSpacing"/>
        <w:numPr>
          <w:ilvl w:val="0"/>
          <w:numId w:val="2"/>
        </w:numPr>
        <w:rPr/>
      </w:pPr>
      <w:r>
        <w:rPr/>
        <w:t>Colunas: codigo (único), descricao, raca_predominante, cor_brinco, data_criacao</w:t>
      </w:r>
    </w:p>
    <w:p>
      <w:pPr>
        <w:pStyle w:val="Normal"/>
        <w:rPr/>
      </w:pPr>
      <w:r>
        <w:rPr>
          <w:i/>
        </w:rPr>
        <w:t>(A antiga FK direta `lote.setor_id` foi removida — ver `lote_setor` abaixo.)</w:t>
      </w:r>
    </w:p>
    <w:p>
      <w:pPr>
        <w:pStyle w:val="Heading3"/>
        <w:rPr/>
      </w:pPr>
      <w:r>
        <w:rPr/>
        <w:t>Tabela: `lote_setor` (não existia na v2.0 — substitui a relação simples lote→setor)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lote_id → lote(id), setor_id → setor(id)</w:t>
      </w:r>
    </w:p>
    <w:p>
      <w:pPr>
        <w:pStyle w:val="NoSpacing"/>
        <w:numPr>
          <w:ilvl w:val="0"/>
          <w:numId w:val="2"/>
        </w:numPr>
        <w:rPr/>
      </w:pPr>
      <w:r>
        <w:rPr/>
        <w:t>Único: (lote_id, setor_id) — um lote pode ter várias alocações, uma por setor</w:t>
      </w:r>
    </w:p>
    <w:p>
      <w:pPr>
        <w:pStyle w:val="Heading3"/>
        <w:rPr/>
      </w:pPr>
      <w:r>
        <w:rPr/>
        <w:t>Tabela: `lote_setor_animal`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 composta: (lote_setor_id, animal_id) — FK: lote_setor_id → lote_setor(id), animal_id → animal(id)</w:t>
      </w:r>
    </w:p>
    <w:p>
      <w:pPr>
        <w:pStyle w:val="Heading3"/>
        <w:rPr/>
      </w:pPr>
      <w:r>
        <w:rPr/>
        <w:t>Tabela: `animal`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raca_id → raca(id), pessoa_id → usuario(id)</w:t>
      </w:r>
    </w:p>
    <w:p>
      <w:pPr>
        <w:pStyle w:val="NoSpacing"/>
        <w:numPr>
          <w:ilvl w:val="0"/>
          <w:numId w:val="2"/>
        </w:numPr>
        <w:rPr/>
      </w:pPr>
      <w:r>
        <w:rPr/>
        <w:t>ENUM sexo: M, F</w:t>
      </w:r>
    </w:p>
    <w:p>
      <w:pPr>
        <w:pStyle w:val="NoSpacing"/>
        <w:numPr>
          <w:ilvl w:val="0"/>
          <w:numId w:val="2"/>
        </w:numPr>
        <w:rPr/>
      </w:pPr>
      <w:r>
        <w:rPr/>
        <w:t>ENUM status_animal: ATIVO, OBSERVACAO, VENDIDO, OBITO, ABATIDO</w:t>
      </w:r>
    </w:p>
    <w:p>
      <w:pPr>
        <w:pStyle w:val="NoSpacing"/>
        <w:numPr>
          <w:ilvl w:val="0"/>
          <w:numId w:val="2"/>
        </w:numPr>
        <w:rPr/>
      </w:pPr>
      <w:r>
        <w:rPr/>
        <w:t>Colunas: codigo_brinco (único, gerado automaticamente), data_nascimento, peso_atual, cor, altura_cernelha, perimetro_toracico, comprimento_corporal, valor_aquisicao, data_aquisicao</w:t>
      </w:r>
    </w:p>
    <w:p>
      <w:pPr>
        <w:pStyle w:val="Normal"/>
        <w:rPr/>
      </w:pPr>
      <w:r>
        <w:rPr>
          <w:i/>
        </w:rPr>
        <w:t>(Removidas em relação à v2.0/schema inicial: `nome` e `raca` em texto livre.)</w:t>
      </w:r>
    </w:p>
    <w:p>
      <w:pPr>
        <w:pStyle w:val="Heading3"/>
        <w:rPr/>
      </w:pPr>
      <w:r>
        <w:rPr/>
        <w:t>Tabela: `custo_animal` (não existia na v2.1 — nova, feature de Custo de Vida do Animal)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animal_id → animal(id)</w:t>
      </w:r>
    </w:p>
    <w:p>
      <w:pPr>
        <w:pStyle w:val="NoSpacing"/>
        <w:numPr>
          <w:ilvl w:val="0"/>
          <w:numId w:val="2"/>
        </w:numPr>
        <w:rPr/>
      </w:pPr>
      <w:r>
        <w:rPr/>
        <w:t>ENUM tipo_custo: AQUISICAO, ALIMENTACAO, VACINACAO</w:t>
      </w:r>
    </w:p>
    <w:p>
      <w:pPr>
        <w:pStyle w:val="NoSpacing"/>
        <w:numPr>
          <w:ilvl w:val="0"/>
          <w:numId w:val="2"/>
        </w:numPr>
        <w:rPr/>
      </w:pPr>
      <w:r>
        <w:rPr/>
        <w:t>Colunas: valor, quantidade, data_evento, origem_tipo, origem_id, descricao, registrado_por_email</w:t>
      </w:r>
    </w:p>
    <w:p>
      <w:pPr>
        <w:pStyle w:val="NoSpacing"/>
        <w:numPr>
          <w:ilvl w:val="0"/>
          <w:numId w:val="2"/>
        </w:numPr>
        <w:rPr/>
      </w:pPr>
      <w:r>
        <w:rPr/>
        <w:t>Índices: (origem_tipo, origem_id) para permitir estorno/recálculo idempotente quando a origem é editada ou cancelada; animal_id para consultar o histórico de um animal.</w:t>
      </w:r>
    </w:p>
    <w:p>
      <w:pPr>
        <w:pStyle w:val="Normal"/>
        <w:rPr/>
      </w:pPr>
      <w:r>
        <w:rPr>
          <w:i/>
        </w:rPr>
        <w:t>(origem_tipo identifica o registro de origem do lançamento: consumo_insumo, vacinacao_animal_item ou o próprio animal, no caso de aquisição.)</w:t>
      </w:r>
    </w:p>
    <w:p>
      <w:pPr>
        <w:pStyle w:val="Heading3"/>
        <w:rPr/>
      </w:pPr>
      <w:r>
        <w:rPr/>
        <w:t>Tabela: `ocorrencia_animal`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id_animal_id → animal(id)</w:t>
      </w:r>
    </w:p>
    <w:p>
      <w:pPr>
        <w:pStyle w:val="NoSpacing"/>
        <w:numPr>
          <w:ilvl w:val="0"/>
          <w:numId w:val="2"/>
        </w:numPr>
        <w:rPr/>
      </w:pPr>
      <w:r>
        <w:rPr/>
        <w:t>ENUM tipo_ocorrencia: NASCIMENTO, OBITO, DOENCA, VACINACAO, PESAGEM</w:t>
      </w:r>
    </w:p>
    <w:p>
      <w:pPr>
        <w:pStyle w:val="Heading3"/>
        <w:rPr/>
      </w:pPr>
      <w:r>
        <w:rPr/>
        <w:t>Tabela: `meta_setor`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setor_id → setor(id)</w:t>
      </w:r>
    </w:p>
    <w:p>
      <w:pPr>
        <w:pStyle w:val="NoSpacing"/>
        <w:numPr>
          <w:ilvl w:val="0"/>
          <w:numId w:val="2"/>
        </w:numPr>
        <w:rPr/>
      </w:pPr>
      <w:r>
        <w:rPr/>
        <w:t>ENUM tipo_meta: LEITE, ARROBA</w:t>
      </w:r>
    </w:p>
    <w:p>
      <w:pPr>
        <w:pStyle w:val="NoSpacing"/>
        <w:numPr>
          <w:ilvl w:val="0"/>
          <w:numId w:val="2"/>
        </w:numPr>
        <w:rPr/>
      </w:pPr>
      <w:r>
        <w:rPr/>
        <w:t>Colunas: data_inicial, data_final, quantidade_esperada, preco_medio, tipo_gado</w:t>
      </w:r>
    </w:p>
    <w:p>
      <w:pPr>
        <w:pStyle w:val="Heading3"/>
        <w:rPr/>
      </w:pPr>
      <w:r>
        <w:rPr/>
        <w:t>Tabela: `medicao_meta`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meta_setor_id → meta_setor(id), lote_id → lote(id)</w:t>
      </w:r>
    </w:p>
    <w:p>
      <w:pPr>
        <w:pStyle w:val="Heading3"/>
        <w:rPr/>
      </w:pPr>
      <w:r>
        <w:rPr/>
        <w:t>Tabela: `venda_meta_lote`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meta_setor_id → meta_setor(id), lote_id → lote(id)</w:t>
      </w:r>
    </w:p>
    <w:p>
      <w:pPr>
        <w:pStyle w:val="Heading2"/>
        <w:rPr/>
      </w:pPr>
      <w:bookmarkStart w:id="91" w:name="__RefHeading___Toc15535_706905635"/>
      <w:bookmarkStart w:id="92" w:name="_PraxisV3_1035"/>
      <w:bookmarkEnd w:id="91"/>
      <w:r>
        <w:rPr/>
        <w:t>Módulo de Estoque e Insumos</w:t>
      </w:r>
      <w:bookmarkEnd w:id="92"/>
    </w:p>
    <w:p>
      <w:pPr>
        <w:pStyle w:val="Heading3"/>
        <w:rPr/>
      </w:pPr>
      <w:r>
        <w:rPr/>
        <w:t>Tabela: `grupo_produto`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</w:t>
      </w:r>
    </w:p>
    <w:p>
      <w:pPr>
        <w:pStyle w:val="NoSpacing"/>
        <w:numPr>
          <w:ilvl w:val="0"/>
          <w:numId w:val="2"/>
        </w:numPr>
        <w:rPr/>
      </w:pPr>
      <w:r>
        <w:rPr/>
        <w:t>Colunas: nome, codigo_prefixo (único, 2 dígitos), categoria_grupo, natureza_financeira</w:t>
      </w:r>
    </w:p>
    <w:p>
      <w:pPr>
        <w:pStyle w:val="NoSpacing"/>
        <w:numPr>
          <w:ilvl w:val="0"/>
          <w:numId w:val="2"/>
        </w:numPr>
        <w:rPr/>
      </w:pPr>
      <w:r>
        <w:rPr/>
        <w:t>ENUM categoria_grupo (EnTipoInsumo): RACAO, VACINA, MEDICAMENTO, OUTROS, ANIMAL</w:t>
      </w:r>
    </w:p>
    <w:p>
      <w:pPr>
        <w:pStyle w:val="NoSpacing"/>
        <w:numPr>
          <w:ilvl w:val="0"/>
          <w:numId w:val="2"/>
        </w:numPr>
        <w:rPr/>
      </w:pPr>
      <w:r>
        <w:rPr/>
        <w:t>ENUM natureza_financeira: CUSTO, GASTO</w:t>
      </w:r>
    </w:p>
    <w:p>
      <w:pPr>
        <w:pStyle w:val="Heading3"/>
        <w:rPr/>
      </w:pPr>
      <w:r>
        <w:rPr/>
        <w:t>Tabela: `unidade_medida`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 — Coluna: unidade</w:t>
      </w:r>
    </w:p>
    <w:p>
      <w:pPr>
        <w:pStyle w:val="Heading3"/>
        <w:rPr/>
      </w:pPr>
      <w:r>
        <w:rPr/>
        <w:t>Tabela: `insumo`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parceiro_id → parceiro(id), grupo_produto_id → grupo_produto(id), unidade_medida_primaria_id → unidade_medida(id), unidade_medida_secundaria_id → unidade_medida(id)</w:t>
      </w:r>
    </w:p>
    <w:p>
      <w:pPr>
        <w:pStyle w:val="NoSpacing"/>
        <w:numPr>
          <w:ilvl w:val="0"/>
          <w:numId w:val="2"/>
        </w:numPr>
        <w:rPr/>
      </w:pPr>
      <w:r>
        <w:rPr/>
        <w:t>ENUM tipo: RACAO, VACINA, MEDICAMENTO, OUTROS, ANIMAL</w:t>
      </w:r>
    </w:p>
    <w:p>
      <w:pPr>
        <w:pStyle w:val="NoSpacing"/>
        <w:numPr>
          <w:ilvl w:val="0"/>
          <w:numId w:val="2"/>
        </w:numPr>
        <w:rPr/>
      </w:pPr>
      <w:r>
        <w:rPr/>
        <w:t>Colunas: codigo_produto (único, 8 dígitos), estoque_minimo, saldo_atual, fator_conversao, preco_compra_medio, preco_ultima_compra, numero_nf, chave_acesso_nf, pendente</w:t>
      </w:r>
    </w:p>
    <w:p>
      <w:pPr>
        <w:pStyle w:val="Heading3"/>
        <w:rPr/>
      </w:pPr>
      <w:r>
        <w:rPr/>
        <w:t>Tabela: `movimentacao_estoque`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lote_id → lote(id), setor_id_id → setor(id), parceiro_id_id → parceiro(id), insumo_id_id → insumo(id), animal_id_id → animal(id)</w:t>
      </w:r>
    </w:p>
    <w:p>
      <w:pPr>
        <w:pStyle w:val="NoSpacing"/>
        <w:numPr>
          <w:ilvl w:val="0"/>
          <w:numId w:val="2"/>
        </w:numPr>
        <w:rPr/>
      </w:pPr>
      <w:r>
        <w:rPr/>
        <w:t>ENUM en_tipo_movimentacao_estoque: ENTRADA, SAIDA, APLICACAO, PERDA</w:t>
      </w:r>
    </w:p>
    <w:p>
      <w:pPr>
        <w:pStyle w:val="Heading3"/>
        <w:rPr/>
      </w:pPr>
      <w:r>
        <w:rPr/>
        <w:t>Tabela: `consumo_insumo` ("Alimentar Setores" — 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insumo_id → insumo(id), setor_id → setor(id), unidade_registro_id → unidade_medida(id)</w:t>
      </w:r>
    </w:p>
    <w:p>
      <w:pPr>
        <w:pStyle w:val="NoSpacing"/>
        <w:numPr>
          <w:ilvl w:val="0"/>
          <w:numId w:val="2"/>
        </w:numPr>
        <w:rPr/>
      </w:pPr>
      <w:r>
        <w:rPr/>
        <w:t>Colunas: quantidade_registrada, quantidade_baixa_unidade_primaria, total_animais_setor, consumo_por_animal, data_consumo, registrado_por_email</w:t>
      </w:r>
    </w:p>
    <w:p>
      <w:pPr>
        <w:pStyle w:val="Heading3"/>
        <w:rPr/>
      </w:pPr>
      <w:r>
        <w:rPr/>
        <w:t>Tabela: `sobra_alimentacao` (não existia na v2.0 — adicionada nesta revisão do sistema)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consumo_insumo_id → consumo_insumo(id) (único — uma sobra por consumo), unidade_registro_id → unidade_medida(id)</w:t>
      </w:r>
    </w:p>
    <w:p>
      <w:pPr>
        <w:pStyle w:val="NoSpacing"/>
        <w:numPr>
          <w:ilvl w:val="0"/>
          <w:numId w:val="2"/>
        </w:numPr>
        <w:rPr/>
      </w:pPr>
      <w:r>
        <w:rPr/>
        <w:t>ENUM status_faixa (EnStatusSobra): OK, ABAIXO, ACIMA, PERDA</w:t>
      </w:r>
    </w:p>
    <w:p>
      <w:pPr>
        <w:pStyle w:val="NoSpacing"/>
        <w:numPr>
          <w:ilvl w:val="0"/>
          <w:numId w:val="2"/>
        </w:numPr>
        <w:rPr/>
      </w:pPr>
      <w:r>
        <w:rPr/>
        <w:t>Colunas: quantidade_sobra_registrada, quantidade_sobra_unidade_primaria, percentual_sobra, reaproveitado, quantidade_ajuste_recomendada, mensagem</w:t>
      </w:r>
    </w:p>
    <w:p>
      <w:pPr>
        <w:pStyle w:val="Heading3"/>
        <w:rPr/>
      </w:pPr>
      <w:r>
        <w:rPr/>
        <w:t>Tabela: `consumo_estoque`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 direta</w:t>
      </w:r>
    </w:p>
    <w:p>
      <w:pPr>
        <w:pStyle w:val="NoSpacing"/>
        <w:numPr>
          <w:ilvl w:val="0"/>
          <w:numId w:val="2"/>
        </w:numPr>
        <w:rPr/>
      </w:pPr>
      <w:r>
        <w:rPr/>
        <w:t>Colunas: motivo, data_consumo, criado_por_email, cancelado, motivo_cancelamento, cancelado_por_email, cancelado_em</w:t>
      </w:r>
    </w:p>
    <w:p>
      <w:pPr>
        <w:pStyle w:val="Heading3"/>
        <w:rPr/>
      </w:pPr>
      <w:r>
        <w:rPr/>
        <w:t>Tabela: `consumo_estoque_item`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consumo_estoque_id → consumo_estoque(id), insumo_id → insumo(id), unidade_registro_id → unidade_medida(id)</w:t>
      </w:r>
    </w:p>
    <w:p>
      <w:pPr>
        <w:pStyle w:val="Heading3"/>
        <w:rPr/>
      </w:pPr>
      <w:r>
        <w:rPr/>
        <w:t>Tabela: `vacinacao_animal` (não existia na v2.0 — mais completa que a antiga `vacinacao`)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insumo_id → insumo(id), unidade_registro_id → unidade_medida(id), lote_id → lote(id)</w:t>
      </w:r>
    </w:p>
    <w:p>
      <w:pPr>
        <w:pStyle w:val="NoSpacing"/>
        <w:numPr>
          <w:ilvl w:val="0"/>
          <w:numId w:val="2"/>
        </w:numPr>
        <w:rPr/>
      </w:pPr>
      <w:r>
        <w:rPr/>
        <w:t>Colunas: quantidade_por_animal, quantidade_baixa_por_animal_unidade_primaria, quantidade_total_baixa_unidade_primaria, data_aplicacao, cancelado, motivo_cancelamento</w:t>
      </w:r>
    </w:p>
    <w:p>
      <w:pPr>
        <w:pStyle w:val="Heading3"/>
        <w:rPr/>
      </w:pPr>
      <w:r>
        <w:rPr/>
        <w:t>Tabela: `vacinacao_animal_item`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vacinacao_id → vacinacao_animal(id), animal_id → animal(id)</w:t>
      </w:r>
    </w:p>
    <w:p>
      <w:pPr>
        <w:pStyle w:val="Heading2"/>
        <w:rPr/>
      </w:pPr>
      <w:bookmarkStart w:id="93" w:name="__RefHeading___Toc15537_706905635"/>
      <w:bookmarkStart w:id="94" w:name="_PraxisV3_1036"/>
      <w:bookmarkEnd w:id="93"/>
      <w:r>
        <w:rPr/>
        <w:t>Módulo Financeiro</w:t>
      </w:r>
      <w:bookmarkEnd w:id="94"/>
    </w:p>
    <w:p>
      <w:pPr>
        <w:pStyle w:val="Heading3"/>
        <w:rPr/>
      </w:pPr>
      <w:r>
        <w:rPr/>
        <w:t>Tabela: `documento_entrada`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fornecedor_id → parceiro(id)</w:t>
      </w:r>
    </w:p>
    <w:p>
      <w:pPr>
        <w:pStyle w:val="NoSpacing"/>
        <w:numPr>
          <w:ilvl w:val="0"/>
          <w:numId w:val="2"/>
        </w:numPr>
        <w:rPr/>
      </w:pPr>
      <w:r>
        <w:rPr/>
        <w:t>ENUM tipo_documento: NF_E, RECIBO_SIMPLES</w:t>
      </w:r>
    </w:p>
    <w:p>
      <w:pPr>
        <w:pStyle w:val="NoSpacing"/>
        <w:numPr>
          <w:ilvl w:val="0"/>
          <w:numId w:val="2"/>
        </w:numPr>
        <w:rPr/>
      </w:pPr>
      <w:r>
        <w:rPr/>
        <w:t>ENUM status_aprovacao: APROVADO, PENDENTE_APROVACAO, RECUSADO</w:t>
      </w:r>
    </w:p>
    <w:p>
      <w:pPr>
        <w:pStyle w:val="NoSpacing"/>
        <w:numPr>
          <w:ilvl w:val="0"/>
          <w:numId w:val="2"/>
        </w:numPr>
        <w:rPr/>
      </w:pPr>
      <w:r>
        <w:rPr/>
        <w:t>Colunas: numero_documento, serie, chave_acesso_nfe (único), data_emissao, data_entrada, valor_total, xml_original, justificativa_recusa</w:t>
      </w:r>
    </w:p>
    <w:p>
      <w:pPr>
        <w:pStyle w:val="Heading3"/>
        <w:rPr/>
      </w:pPr>
      <w:r>
        <w:rPr/>
        <w:t>Tabela: `documento_entrada_item`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documento_entrada_id → documento_entrada(id), produto_id → insumo(id)</w:t>
      </w:r>
    </w:p>
    <w:p>
      <w:pPr>
        <w:pStyle w:val="NoSpacing"/>
        <w:numPr>
          <w:ilvl w:val="0"/>
          <w:numId w:val="2"/>
        </w:numPr>
        <w:rPr/>
      </w:pPr>
      <w:r>
        <w:rPr/>
        <w:t>Colunas: descricao_xml, codigo_xml, quantidade, valor_unitario, valor_total, vinculado, natureza_financeira, entrada_estoque_aplicada</w:t>
      </w:r>
    </w:p>
    <w:p>
      <w:pPr>
        <w:pStyle w:val="Heading3"/>
        <w:rPr/>
      </w:pPr>
      <w:r>
        <w:rPr/>
        <w:t>Tabela: `documento_saida`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comprador_id → parceiro(id)</w:t>
      </w:r>
    </w:p>
    <w:p>
      <w:pPr>
        <w:pStyle w:val="NoSpacing"/>
        <w:numPr>
          <w:ilvl w:val="0"/>
          <w:numId w:val="2"/>
        </w:numPr>
        <w:rPr/>
      </w:pPr>
      <w:r>
        <w:rPr/>
        <w:t>ENUM tipo_documento: VENDA_LEITE, VENDA_ANIMAL</w:t>
      </w:r>
    </w:p>
    <w:p>
      <w:pPr>
        <w:pStyle w:val="NoSpacing"/>
        <w:numPr>
          <w:ilvl w:val="0"/>
          <w:numId w:val="2"/>
        </w:numPr>
        <w:rPr/>
      </w:pPr>
      <w:r>
        <w:rPr/>
        <w:t>Colunas: numero_documento, chave_acesso, data_emissao, valor_total</w:t>
      </w:r>
    </w:p>
    <w:p>
      <w:pPr>
        <w:pStyle w:val="Heading3"/>
        <w:rPr/>
      </w:pPr>
      <w:r>
        <w:rPr/>
        <w:t>Tabela: `venda_leite_item`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documento_saida_id → documento_saida(id), lote_id → lote(id)</w:t>
      </w:r>
    </w:p>
    <w:p>
      <w:pPr>
        <w:pStyle w:val="Heading3"/>
        <w:rPr/>
      </w:pPr>
      <w:r>
        <w:rPr/>
        <w:t>Tabela: `venda_animal_item`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documento_saida_id → documento_saida(id), animal_id → animal(id), produto_id → insumo(id)</w:t>
      </w:r>
    </w:p>
    <w:p>
      <w:pPr>
        <w:pStyle w:val="NoSpacing"/>
        <w:numPr>
          <w:ilvl w:val="0"/>
          <w:numId w:val="2"/>
        </w:numPr>
        <w:rPr/>
      </w:pPr>
      <w:r>
        <w:rPr/>
        <w:t>ENUM destino: definido em texto (ex.: venda, abate)</w:t>
      </w:r>
    </w:p>
    <w:p>
      <w:pPr>
        <w:pStyle w:val="Heading3"/>
        <w:rPr/>
      </w:pPr>
      <w:r>
        <w:rPr/>
        <w:t>Tabela: `funcionario`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usuario_id → usuario(id) (único)</w:t>
      </w:r>
    </w:p>
    <w:p>
      <w:pPr>
        <w:pStyle w:val="NoSpacing"/>
        <w:numPr>
          <w:ilvl w:val="0"/>
          <w:numId w:val="2"/>
        </w:numPr>
        <w:rPr/>
      </w:pPr>
      <w:r>
        <w:rPr/>
        <w:t>Colunas: nome_completo, cpf (único), cargo, data_admissao, data_demissao, salario_base, percentual_inss, percentual_fgts, valor_vale_transporte, valor_vale_alimentacao, valor_plano_saude, natureza_financeira</w:t>
      </w:r>
    </w:p>
    <w:p>
      <w:pPr>
        <w:pStyle w:val="Heading3"/>
        <w:rPr/>
      </w:pPr>
      <w:r>
        <w:rPr/>
        <w:t>Tabela: `pagamento_funcionario` (não existia na v2.0)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funcionario_id → funcionario(id)</w:t>
      </w:r>
    </w:p>
    <w:p>
      <w:pPr>
        <w:pStyle w:val="NoSpacing"/>
        <w:numPr>
          <w:ilvl w:val="0"/>
          <w:numId w:val="2"/>
        </w:numPr>
        <w:rPr/>
      </w:pPr>
      <w:r>
        <w:rPr/>
        <w:t>Colunas: ano_referencia, mes_referencia, data_pagamento, status_pagamento, valor_bruto, desconto_inss, desconto_outros, encargo_fgts, valor_beneficios, valor_bonus, valor_liquido, natureza_financeira_snapshot, estornado, motivo_estorno</w:t>
      </w:r>
    </w:p>
    <w:p>
      <w:pPr>
        <w:pStyle w:val="Heading3"/>
        <w:rPr/>
      </w:pPr>
      <w:r>
        <w:rPr/>
        <w:t>Tabela: `lancamento_financeiro` (não existia na v2.0 — substitui o antigo `registro_financeiro`)</w:t>
      </w:r>
    </w:p>
    <w:p>
      <w:pPr>
        <w:pStyle w:val="NoSpacing"/>
        <w:numPr>
          <w:ilvl w:val="0"/>
          <w:numId w:val="2"/>
        </w:numPr>
        <w:rPr/>
      </w:pPr>
      <w:r>
        <w:rPr/>
        <w:t>PK: id — FK: nenhuma direta (referência polimórfica via origem + origem_id)</w:t>
      </w:r>
    </w:p>
    <w:p>
      <w:pPr>
        <w:pStyle w:val="NoSpacing"/>
        <w:numPr>
          <w:ilvl w:val="0"/>
          <w:numId w:val="2"/>
        </w:numPr>
        <w:rPr/>
      </w:pPr>
      <w:r>
        <w:rPr/>
        <w:t>ENUM tipo_movimento: ENTRADA, SAIDA</w:t>
      </w:r>
    </w:p>
    <w:p>
      <w:pPr>
        <w:pStyle w:val="NoSpacing"/>
        <w:numPr>
          <w:ilvl w:val="0"/>
          <w:numId w:val="2"/>
        </w:numPr>
        <w:rPr/>
      </w:pPr>
      <w:r>
        <w:rPr/>
        <w:t>ENUM origem (EnOrigemLancamentoFinanceiro): DOCUMENTO_ENTRADA, FOLHA_PAGAMENTO, CONSUMO_ESTOQUE, VENDA, MANUAL, PERDA_ALIMENTACAO</w:t>
      </w:r>
    </w:p>
    <w:p>
      <w:pPr>
        <w:pStyle w:val="NoSpacing"/>
        <w:numPr>
          <w:ilvl w:val="0"/>
          <w:numId w:val="2"/>
        </w:numPr>
        <w:rPr/>
      </w:pPr>
      <w:r>
        <w:rPr/>
        <w:t>Colunas: natureza_financeira, descricao, valor, data_competencia, ano_competencia, mes_competencia, virtual, criado_por_email</w:t>
      </w:r>
    </w:p>
    <w:p>
      <w:pPr>
        <w:pStyle w:val="NoSpacing"/>
        <w:numPr>
          <w:ilvl w:val="0"/>
          <w:numId w:val="2"/>
        </w:numPr>
        <w:rPr/>
      </w:pPr>
      <w:r>
        <w:rPr/>
        <w:t>Índices: (ano_competencia, mes_competencia) e (origem, origem_id)</w:t>
      </w:r>
    </w:p>
    <w:p>
      <w:pPr>
        <w:pStyle w:val="Heading2"/>
        <w:rPr/>
      </w:pPr>
      <w:bookmarkStart w:id="95" w:name="__RefHeading___Toc15539_706905635"/>
      <w:bookmarkStart w:id="96" w:name="_PraxisV3_1037"/>
      <w:bookmarkEnd w:id="95"/>
      <w:r>
        <w:rPr/>
        <w:t>Módulo Agrícola (Plantio) — não implementado</w:t>
      </w:r>
      <w:bookmarkEnd w:id="96"/>
    </w:p>
    <w:p>
      <w:pPr>
        <w:pStyle w:val="Normal"/>
        <w:rPr/>
      </w:pPr>
      <w:r>
        <w:rPr/>
        <w:t>Nenhuma tabela talhao, ciclo_cultura ou etapa_agricola existe nas migrations atuais. O módulo de plantio permanece fora do escopo do produto, como já indicavam os "Limites do produto" da v2.0, e nenhuma modelagem de dados foi feita para ele até esta revisão.</w:t>
      </w:r>
    </w:p>
    <w:p>
      <w:pPr>
        <w:pStyle w:val="Heading2"/>
        <w:rPr/>
      </w:pPr>
      <w:bookmarkStart w:id="97" w:name="__RefHeading___Toc15541_706905635"/>
      <w:bookmarkStart w:id="98" w:name="_PraxisV3_1038"/>
      <w:bookmarkEnd w:id="97"/>
      <w:r>
        <w:rPr/>
        <w:t>Módulo de Maquinário — não implementado</w:t>
      </w:r>
      <w:bookmarkEnd w:id="98"/>
    </w:p>
    <w:p>
      <w:pPr>
        <w:pStyle w:val="Normal"/>
        <w:rPr/>
      </w:pPr>
      <w:r>
        <w:rPr/>
        <w:t>Nenhuma tabela maquinario, manutencao ou manutencao_insumo existe nas migrations atuais. Diferente do DER da v2.0 (que já as modelava, mesmo fora do escopo de produto declarado), este módulo não chegou a ser iniciado no banco real.</w:t>
      </w:r>
    </w:p>
    <w:p>
      <w:pPr>
        <w:pStyle w:val="Heading2"/>
        <w:rPr/>
      </w:pPr>
      <w:bookmarkStart w:id="99" w:name="__RefHeading___Toc15543_706905635"/>
      <w:bookmarkStart w:id="100" w:name="_PraxisV3_1039"/>
      <w:bookmarkEnd w:id="99"/>
      <w:r>
        <w:rPr/>
        <w:t>Tabelas legadas sem tela ativa</w:t>
      </w:r>
      <w:bookmarkEnd w:id="100"/>
    </w:p>
    <w:p>
      <w:pPr>
        <w:pStyle w:val="Normal"/>
        <w:rPr/>
      </w:pPr>
      <w:r>
        <w:rPr/>
        <w:t>As tabelas a seguir existem no schema (criadas pela migration inicial V2) mas não são mais referenciadas por nenhuma tela do frontend atual — foram substituídas por módulos mais novos e parecem remanescentes da primeira versão do schema:</w:t>
      </w:r>
    </w:p>
    <w:tbl>
      <w:tblPr>
        <w:tblStyle w:val="Estilo1"/>
        <w:tblW w:w="9732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noVBand="0" w:firstColumn="0" w:lastRow="0" w:lastColumn="0" w:firstRow="1" w:val="0020"/>
      </w:tblPr>
      <w:tblGrid>
        <w:gridCol w:w="3244"/>
        <w:gridCol w:w="3244"/>
        <w:gridCol w:w="3244"/>
      </w:tblGrid>
      <w:tr>
        <w:trPr>
          <w:tblHeader w:val="true"/>
          <w:cantSplit/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324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Tabela legada</w:t>
            </w:r>
          </w:p>
        </w:tc>
        <w:tc>
          <w:tcPr>
            <w:tcW w:w="324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Situação</w:t>
            </w:r>
          </w:p>
        </w:tc>
        <w:tc>
          <w:tcPr>
            <w:tcW w:w="3244" w:type="dxa"/>
            <w:tcBorders/>
            <w:shd w:color="auto" w:fill="262626" w:themeFill="text1" w:themeFillTint="d9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b/>
                <w:color w:themeColor="background1" w:val="FFFFFF"/>
                <w:kern w:val="0"/>
                <w:szCs w:val="20"/>
                <w:lang w:val="pt-BR" w:eastAsia="pt-BR" w:bidi="ar-SA"/>
              </w:rPr>
            </w:pPr>
            <w:r>
              <w:rPr>
                <w:rFonts w:eastAsia="Liberation Serif" w:cs="Times New Roman"/>
                <w:b/>
                <w:bCs/>
                <w:color w:themeColor="background1" w:val="FFFFFF"/>
                <w:kern w:val="0"/>
                <w:szCs w:val="20"/>
                <w:lang w:val="pt-BR" w:eastAsia="pt-BR" w:bidi="ar-SA"/>
              </w:rPr>
              <w:t>Substituída por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categoria</w:t>
            </w:r>
          </w:p>
        </w:tc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Sem tela; CCategoria/ICategoria seguem no backend mas não são chamados pelo frontend</w:t>
            </w:r>
          </w:p>
        </w:tc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grupo_produto (UC07)</w:t>
            </w:r>
          </w:p>
        </w:tc>
      </w:tr>
      <w:tr>
        <w:trPr>
          <w:cantSplit/>
        </w:trPr>
        <w:tc>
          <w:tcPr>
            <w:tcW w:w="3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registro_financeiro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Sem tela</w:t>
            </w:r>
          </w:p>
        </w:tc>
        <w:tc>
          <w:tcPr>
            <w:tcW w:w="3244" w:type="dxa"/>
            <w:tcBorders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lancamento_financeiro (UC17)</w:t>
            </w:r>
          </w:p>
        </w:tc>
      </w:tr>
      <w:tr>
        <w:trPr>
          <w:cantSplit/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bCs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transacao</w:t>
            </w:r>
          </w:p>
        </w:tc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Sem tela</w:t>
            </w:r>
          </w:p>
        </w:tc>
        <w:tc>
          <w:tcPr>
            <w:tcW w:w="3244" w:type="dxa"/>
            <w:tcBorders/>
            <w:shd w:color="auto" w:fill="F2F2F2" w:themeFill="background1" w:themeFillShade="f2" w:val="clear"/>
            <w:vAlign w:val="center"/>
          </w:tcPr>
          <w:p>
            <w:pPr>
              <w:pStyle w:val="NoSpacing"/>
              <w:widowControl/>
              <w:spacing w:before="0" w:after="0"/>
              <w:ind w:hanging="0"/>
              <w:jc w:val="center"/>
              <w:rPr>
                <w:rFonts w:eastAsia="Liberation Serif"/>
                <w:szCs w:val="22"/>
              </w:rPr>
            </w:pPr>
            <w:r>
              <w:rPr>
                <w:rFonts w:eastAsia="Times New Roman" w:cs="Times New Roman"/>
                <w:kern w:val="0"/>
                <w:szCs w:val="20"/>
                <w:lang w:val="pt-BR" w:eastAsia="pt-BR" w:bidi="ar-SA"/>
              </w:rPr>
              <w:t>documento_entrada / documento_saida / lancamento_financeiro</w:t>
            </w:r>
          </w:p>
        </w:tc>
      </w:tr>
    </w:tbl>
    <w:p>
      <w:pPr>
        <w:pStyle w:val="Normal"/>
        <w:rPr/>
      </w:pPr>
      <w:r>
        <w:rPr/>
        <w:t>Recomenda-se, em uma próxima limpeza técnica, avaliar a remoção definitiva dessas tabelas e dos controllers/repositórios correspondentes, caso se confirme que não há plano de reaproveitá-las.</w:t>
      </w:r>
    </w:p>
    <w:sectPr>
      <w:headerReference w:type="even" r:id="rId36"/>
      <w:headerReference w:type="default" r:id="rId37"/>
      <w:headerReference w:type="first" r:id="rId38"/>
      <w:footerReference w:type="even" r:id="rId39"/>
      <w:footerReference w:type="default" r:id="rId40"/>
      <w:footerReference w:type="first" r:id="rId41"/>
      <w:type w:val="nextPage"/>
      <w:pgSz w:w="11906" w:h="16838"/>
      <w:pgMar w:left="1077" w:right="1077" w:gutter="0" w:header="0" w:top="1440" w:footer="1134" w:bottom="1440"/>
      <w:pgNumType w:fmt="decimal"/>
      <w:formProt w:val="false"/>
      <w:textDirection w:val="lrTb"/>
      <w:docGrid w:type="default" w:linePitch="272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libri">
    <w:charset w:val="01" w:characterSet="utf-8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32" behindDoc="1" locked="0" layoutInCell="0" allowOverlap="1" wp14:anchorId="67B57029">
              <wp:simplePos x="0" y="0"/>
              <wp:positionH relativeFrom="page">
                <wp:posOffset>6064885</wp:posOffset>
              </wp:positionH>
              <wp:positionV relativeFrom="page">
                <wp:posOffset>9483090</wp:posOffset>
              </wp:positionV>
              <wp:extent cx="1485900" cy="1264285"/>
              <wp:effectExtent l="0" t="1270" r="635" b="0"/>
              <wp:wrapNone/>
              <wp:docPr id="2" name="Triângulo isósceles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86080" cy="12643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548123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ind w:hanging="0"/>
                            <w:rPr>
                              <w:sz w:val="52"/>
                              <w:szCs w:val="52"/>
                            </w:rPr>
                          </w:pPr>
                          <w:r>
                            <w:rPr>
                              <w:sz w:val="52"/>
                              <w:szCs w:val="52"/>
                            </w:rPr>
                            <w:fldChar w:fldCharType="begin"/>
                          </w:r>
                          <w:r>
                            <w:rPr>
                              <w:sz w:val="52"/>
                              <w:szCs w:val="52"/>
                            </w:rPr>
                            <w:instrText xml:space="preserve"> PAGE </w:instrTex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separate"/>
                          </w:r>
                          <w:r>
                            <w:rPr>
                              <w:sz w:val="52"/>
                              <w:szCs w:val="52"/>
                            </w:rPr>
                            <w:t>2</w: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5" coordsize="21600,21600" o:spt="5" adj="10800" path="m,21600l@0,l21600,21600xe">
              <v:stroke joinstyle="miter"/>
              <v:formulas>
                <v:f eqn="val #0"/>
                <v:f eqn="prod 1 @0 2"/>
                <v:f eqn="sum @1 10800 0"/>
              </v:formulas>
              <v:path gradientshapeok="t" o:connecttype="rect" textboxrect="@1,10800,@2,21600"/>
              <v:handles>
                <v:h position="@0,0"/>
              </v:handles>
            </v:shapetype>
            <v:shape id="shape_0" fillcolor="#548123" stroked="f" o:allowincell="f" style="position:absolute;margin-left:477.55pt;margin-top:746.7pt;width:116.95pt;height:99.5pt;mso-wrap-style:square;v-text-anchor:top;mso-position-horizontal-relative:page;mso-position-vertical-relative:page" wp14:anchorId="67B57029" type="_x0000_t5" path="l-2147483641,0l-2147483635,-2147483636xe">
              <v:fill o:detectmouseclick="t" type="solid" color2="#ab7edc"/>
              <v:stroke color="#3465a4" joinstyle="round" endcap="flat"/>
              <v:textbox>
                <w:txbxContent>
                  <w:p>
                    <w:pPr>
                      <w:pStyle w:val="Contedodoquadro"/>
                      <w:ind w:hanging="0"/>
                      <w:rPr>
                        <w:sz w:val="52"/>
                        <w:szCs w:val="52"/>
                      </w:rPr>
                    </w:pPr>
                    <w:r>
                      <w:rPr>
                        <w:sz w:val="52"/>
                        <w:szCs w:val="52"/>
                      </w:rPr>
                      <w:fldChar w:fldCharType="begin"/>
                    </w:r>
                    <w:r>
                      <w:rPr>
                        <w:sz w:val="52"/>
                        <w:szCs w:val="52"/>
                      </w:rPr>
                      <w:instrText xml:space="preserve"> PAGE </w:instrText>
                    </w:r>
                    <w:r>
                      <w:rPr>
                        <w:sz w:val="52"/>
                        <w:szCs w:val="52"/>
                      </w:rPr>
                      <w:fldChar w:fldCharType="separate"/>
                    </w:r>
                    <w:r>
                      <w:rPr>
                        <w:sz w:val="52"/>
                        <w:szCs w:val="52"/>
                      </w:rPr>
                      <w:t>2</w:t>
                    </w:r>
                    <w:r>
                      <w:rPr>
                        <w:sz w:val="52"/>
                        <w:szCs w:val="5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Lines/>
      <w:pBdr/>
      <w:tabs>
        <w:tab w:val="clear" w:pos="720"/>
        <w:tab w:val="center" w:pos="4320" w:leader="none"/>
        <w:tab w:val="right" w:pos="8640" w:leader="none"/>
      </w:tabs>
      <w:jc w:val="end"/>
      <w:rPr>
        <w:color w:val="000000"/>
      </w:rPr>
    </w:pPr>
    <w:bookmarkStart w:id="0" w:name="_heading=h.iuuhpbw6cuok"/>
    <w:bookmarkEnd w:id="0"/>
    <w:r>
      <w:rPr>
        <w:rFonts w:ascii="Times New Roman" w:hAnsi="Times New Roman"/>
        <w:color w:val="000000"/>
      </w:rPr>
      <w:t>Fábrica de Software Acadêmica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s">
          <w:drawing>
            <wp:anchor distT="0" distB="0" distL="0" distR="0" simplePos="0" relativeHeight="205" behindDoc="1" locked="0" layoutInCell="0" allowOverlap="1" wp14:anchorId="67B57029">
              <wp:simplePos x="0" y="0"/>
              <wp:positionH relativeFrom="page">
                <wp:posOffset>6064885</wp:posOffset>
              </wp:positionH>
              <wp:positionV relativeFrom="page">
                <wp:posOffset>9483090</wp:posOffset>
              </wp:positionV>
              <wp:extent cx="1485900" cy="1264285"/>
              <wp:effectExtent l="0" t="1270" r="635" b="0"/>
              <wp:wrapNone/>
              <wp:docPr id="34" name="Triângulo isósceles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86080" cy="12643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548123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ind w:hanging="0"/>
                            <w:rPr>
                              <w:sz w:val="52"/>
                              <w:szCs w:val="52"/>
                            </w:rPr>
                          </w:pPr>
                          <w:r>
                            <w:rPr>
                              <w:sz w:val="52"/>
                              <w:szCs w:val="52"/>
                            </w:rPr>
                            <w:fldChar w:fldCharType="begin"/>
                          </w:r>
                          <w:r>
                            <w:rPr>
                              <w:sz w:val="52"/>
                              <w:szCs w:val="52"/>
                            </w:rPr>
                            <w:instrText xml:space="preserve"> PAGE </w:instrTex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separate"/>
                          </w:r>
                          <w:r>
                            <w:rPr>
                              <w:sz w:val="52"/>
                              <w:szCs w:val="52"/>
                            </w:rPr>
                            <w:t>70</w: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fillcolor="#548123" stroked="f" o:allowincell="f" style="position:absolute;margin-left:477.55pt;margin-top:746.7pt;width:116.95pt;height:99.5pt;mso-wrap-style:square;v-text-anchor:top;mso-position-horizontal-relative:page;mso-position-vertical-relative:page" wp14:anchorId="67B57029" type="_x0000_t5" path="l-2147483641,0l-2147483635,-2147483636xe">
              <v:fill o:detectmouseclick="t" type="solid" color2="#ab7edc"/>
              <v:stroke color="#3465a4" joinstyle="round" endcap="flat"/>
              <v:textbox>
                <w:txbxContent>
                  <w:p>
                    <w:pPr>
                      <w:pStyle w:val="Contedodoquadro"/>
                      <w:ind w:hanging="0"/>
                      <w:rPr>
                        <w:sz w:val="52"/>
                        <w:szCs w:val="52"/>
                      </w:rPr>
                    </w:pPr>
                    <w:r>
                      <w:rPr>
                        <w:sz w:val="52"/>
                        <w:szCs w:val="52"/>
                      </w:rPr>
                      <w:fldChar w:fldCharType="begin"/>
                    </w:r>
                    <w:r>
                      <w:rPr>
                        <w:sz w:val="52"/>
                        <w:szCs w:val="52"/>
                      </w:rPr>
                      <w:instrText xml:space="preserve"> PAGE </w:instrText>
                    </w:r>
                    <w:r>
                      <w:rPr>
                        <w:sz w:val="52"/>
                        <w:szCs w:val="52"/>
                      </w:rPr>
                      <w:fldChar w:fldCharType="separate"/>
                    </w:r>
                    <w:r>
                      <w:rPr>
                        <w:sz w:val="52"/>
                        <w:szCs w:val="52"/>
                      </w:rPr>
                      <w:t>70</w:t>
                    </w:r>
                    <w:r>
                      <w:rPr>
                        <w:sz w:val="52"/>
                        <w:szCs w:val="5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keepLines/>
      <w:pBdr/>
      <w:tabs>
        <w:tab w:val="clear" w:pos="720"/>
        <w:tab w:val="center" w:pos="4320" w:leader="none"/>
        <w:tab w:val="right" w:pos="8640" w:leader="none"/>
      </w:tabs>
      <w:jc w:val="center"/>
      <w:rPr>
        <w:color w:val="000000"/>
      </w:rPr>
    </w:pPr>
    <w:r>
      <w:rPr>
        <w:color w:val="000000"/>
      </w:rPr>
      <mc:AlternateContent>
        <mc:Choice Requires="wps">
          <w:drawing>
            <wp:anchor distT="0" distB="0" distL="0" distR="0" simplePos="0" relativeHeight="100" behindDoc="1" locked="0" layoutInCell="0" allowOverlap="1" wp14:anchorId="4B74CEEE">
              <wp:simplePos x="0" y="0"/>
              <wp:positionH relativeFrom="page">
                <wp:posOffset>-4445</wp:posOffset>
              </wp:positionH>
              <wp:positionV relativeFrom="page">
                <wp:posOffset>9483090</wp:posOffset>
              </wp:positionV>
              <wp:extent cx="1600200" cy="1264285"/>
              <wp:effectExtent l="0" t="0" r="0" b="0"/>
              <wp:wrapNone/>
              <wp:docPr id="35" name="Triângulo isósceles 1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 flipH="1">
                        <a:off x="0" y="0"/>
                        <a:ext cx="1600200" cy="1264320"/>
                      </a:xfrm>
                      <a:prstGeom prst="triangle">
                        <a:avLst>
                          <a:gd name="adj" fmla="val 100000"/>
                        </a:avLst>
                      </a:prstGeom>
                      <a:solidFill>
                        <a:srgbClr val="548123"/>
                      </a:solidFill>
                      <a:ln w="0">
                        <a:noFill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txbx>
                      <w:txbxContent>
                        <w:p>
                          <w:pPr>
                            <w:pStyle w:val="Contedodoquadro"/>
                            <w:ind w:hanging="0"/>
                            <w:rPr>
                              <w:sz w:val="52"/>
                              <w:szCs w:val="52"/>
                            </w:rPr>
                          </w:pPr>
                          <w:r>
                            <w:rPr>
                              <w:sz w:val="52"/>
                              <w:szCs w:val="52"/>
                            </w:rPr>
                            <w:fldChar w:fldCharType="begin"/>
                          </w:r>
                          <w:r>
                            <w:rPr>
                              <w:sz w:val="52"/>
                              <w:szCs w:val="52"/>
                            </w:rPr>
                            <w:instrText xml:space="preserve"> PAGE </w:instrTex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separate"/>
                          </w:r>
                          <w:r>
                            <w:rPr>
                              <w:sz w:val="52"/>
                              <w:szCs w:val="52"/>
                            </w:rPr>
                            <w:t>71</w:t>
                          </w:r>
                          <w:r>
                            <w:rPr>
                              <w:sz w:val="52"/>
                              <w:szCs w:val="52"/>
                            </w:rPr>
                            <w:fldChar w:fldCharType="end"/>
                          </w:r>
                        </w:p>
                      </w:txbxContent>
                    </wps:txbx>
                    <wps:bodyPr anchor="t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shape_0" fillcolor="#548123" stroked="f" o:allowincell="f" style="position:absolute;margin-left:-0.35pt;margin-top:746.7pt;width:125.95pt;height:99.5pt;flip:x;mso-wrap-style:square;v-text-anchor:top;mso-position-horizontal-relative:page;mso-position-vertical-relative:page" wp14:anchorId="4B74CEEE" type="_x0000_t5" path="l-2147483641,0l-2147483635,-2147483636xe">
              <v:fill o:detectmouseclick="t" type="solid" color2="#ab7edc"/>
              <v:stroke color="#3465a4" joinstyle="round" endcap="flat"/>
              <v:textbox>
                <w:txbxContent>
                  <w:p>
                    <w:pPr>
                      <w:pStyle w:val="Contedodoquadro"/>
                      <w:ind w:hanging="0"/>
                      <w:rPr>
                        <w:sz w:val="52"/>
                        <w:szCs w:val="52"/>
                      </w:rPr>
                    </w:pPr>
                    <w:r>
                      <w:rPr>
                        <w:sz w:val="52"/>
                        <w:szCs w:val="52"/>
                      </w:rPr>
                      <w:fldChar w:fldCharType="begin"/>
                    </w:r>
                    <w:r>
                      <w:rPr>
                        <w:sz w:val="52"/>
                        <w:szCs w:val="52"/>
                      </w:rPr>
                      <w:instrText xml:space="preserve"> PAGE </w:instrText>
                    </w:r>
                    <w:r>
                      <w:rPr>
                        <w:sz w:val="52"/>
                        <w:szCs w:val="52"/>
                      </w:rPr>
                      <w:fldChar w:fldCharType="separate"/>
                    </w:r>
                    <w:r>
                      <w:rPr>
                        <w:sz w:val="52"/>
                        <w:szCs w:val="52"/>
                      </w:rPr>
                      <w:t>71</w:t>
                    </w:r>
                    <w:r>
                      <w:rPr>
                        <w:sz w:val="52"/>
                        <w:szCs w:val="52"/>
                      </w:rPr>
                      <w:fldChar w:fldCharType="end"/>
                    </w:r>
                  </w:p>
                </w:txbxContent>
              </v:textbox>
              <w10:wrap type="none"/>
            </v:shape>
          </w:pict>
        </mc:Fallback>
      </mc:AlternateContent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id w:val="-363052961"/>
      <w:docPartObj>
        <w:docPartGallery w:val="Table of Contents"/>
        <w:docPartUnique w:val="true"/>
      </w:docPartObj>
    </w:sdtPr>
    <w:sdtContent>
      <w:p>
        <w:pPr>
          <w:pStyle w:val="Normal"/>
          <w:pBdr/>
          <w:tabs>
            <w:tab w:val="clear" w:pos="720"/>
            <w:tab w:val="center" w:pos="4419" w:leader="none"/>
            <w:tab w:val="right" w:pos="8838" w:leader="none"/>
          </w:tabs>
          <w:jc w:val="end"/>
          <w:rPr/>
        </w:pPr>
        <w:r>
          <w:rPr/>
          <w:drawing>
            <wp:anchor distT="0" distB="0" distL="0" distR="0" simplePos="0" relativeHeight="3" behindDoc="1" locked="0" layoutInCell="0" allowOverlap="1">
              <wp:simplePos x="0" y="0"/>
              <wp:positionH relativeFrom="margin">
                <wp:posOffset>-259080</wp:posOffset>
              </wp:positionH>
              <wp:positionV relativeFrom="paragraph">
                <wp:posOffset>65405</wp:posOffset>
              </wp:positionV>
              <wp:extent cx="1969770" cy="660400"/>
              <wp:effectExtent l="0" t="0" r="0" b="0"/>
              <wp:wrapSquare wrapText="bothSides"/>
              <wp:docPr id="1" name="image17.png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image17.png"/>
                      <pic:cNvPicPr>
                        <a:picLocks noChangeAspect="1" noChangeArrowheads="1"/>
                      </pic:cNvPicPr>
                    </pic:nvPicPr>
                    <pic:blipFill>
                      <a:blip r:embed="rId1"/>
                      <a:srcRect l="-88" t="-273" r="-88" b="-273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969770" cy="660400"/>
                      </a:xfrm>
                      <a:prstGeom prst="rect">
                        <a:avLst/>
                      </a:prstGeom>
                      <a:noFill/>
                    </pic:spPr>
                  </pic:pic>
                </a:graphicData>
              </a:graphic>
            </wp:anchor>
          </w:drawing>
        </w:r>
      </w:p>
      <w:p>
        <w:pPr>
          <w:pStyle w:val="Normal"/>
          <w:pBdr/>
          <w:tabs>
            <w:tab w:val="clear" w:pos="720"/>
            <w:tab w:val="center" w:pos="4419" w:leader="none"/>
            <w:tab w:val="right" w:pos="8838" w:leader="none"/>
          </w:tabs>
          <w:jc w:val="end"/>
          <w:rPr/>
        </w:pPr>
        <w:r>
          <w:rPr/>
        </w:r>
      </w:p>
      <w:p>
        <w:pPr>
          <w:pStyle w:val="Normal"/>
          <w:pBdr/>
          <w:tabs>
            <w:tab w:val="clear" w:pos="720"/>
            <w:tab w:val="center" w:pos="4419" w:leader="none"/>
            <w:tab w:val="right" w:pos="8838" w:leader="none"/>
          </w:tabs>
          <w:jc w:val="end"/>
          <w:rPr/>
        </w:pPr>
        <w:r>
          <w:rPr/>
        </w:r>
      </w:p>
      <w:p>
        <w:pPr>
          <w:pStyle w:val="Normal"/>
          <w:pBdr/>
          <w:tabs>
            <w:tab w:val="clear" w:pos="720"/>
            <w:tab w:val="center" w:pos="4419" w:leader="none"/>
            <w:tab w:val="right" w:pos="8838" w:leader="none"/>
          </w:tabs>
          <w:jc w:val="end"/>
          <w:rPr>
            <w:color w:val="000000"/>
          </w:rPr>
        </w:pPr>
        <w:r>
          <w:rPr>
            <w:rFonts w:ascii="Times New Roman" w:hAnsi="Times New Roman"/>
            <w:color w:val="000000"/>
          </w:rPr>
          <w:t>Especificação dos Requisitos do Software</w:t>
        </w:r>
      </w:p>
    </w:sdtContent>
  </w:sdt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pBdr/>
      <w:tabs>
        <w:tab w:val="clear" w:pos="720"/>
        <w:tab w:val="center" w:pos="4419" w:leader="none"/>
        <w:tab w:val="right" w:pos="8838" w:leader="none"/>
      </w:tabs>
      <w:jc w:val="end"/>
      <w:rPr/>
    </w:pPr>
    <w:r>
      <w:rPr/>
      <w:drawing>
        <wp:anchor distT="0" distB="0" distL="0" distR="0" simplePos="0" relativeHeight="137" behindDoc="1" locked="0" layoutInCell="0" allowOverlap="1">
          <wp:simplePos x="0" y="0"/>
          <wp:positionH relativeFrom="margin">
            <wp:posOffset>-259080</wp:posOffset>
          </wp:positionH>
          <wp:positionV relativeFrom="paragraph">
            <wp:posOffset>65405</wp:posOffset>
          </wp:positionV>
          <wp:extent cx="1969770" cy="660400"/>
          <wp:effectExtent l="0" t="0" r="0" b="0"/>
          <wp:wrapSquare wrapText="bothSides"/>
          <wp:docPr id="33" name="Figura2 Copia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3" name="Figura2 Copia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 l="-88" t="-273" r="-88" b="-273"/>
                  <a:stretch>
                    <a:fillRect/>
                  </a:stretch>
                </pic:blipFill>
                <pic:spPr bwMode="auto">
                  <a:xfrm>
                    <a:off x="0" y="0"/>
                    <a:ext cx="1969770" cy="660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>
    <w:pPr>
      <w:pStyle w:val="Normal"/>
      <w:pBdr/>
      <w:tabs>
        <w:tab w:val="clear" w:pos="720"/>
        <w:tab w:val="center" w:pos="4419" w:leader="none"/>
        <w:tab w:val="right" w:pos="8838" w:leader="none"/>
      </w:tabs>
      <w:jc w:val="end"/>
      <w:rPr/>
    </w:pPr>
    <w:r>
      <w:rPr/>
    </w:r>
  </w:p>
  <w:p>
    <w:pPr>
      <w:pStyle w:val="Normal"/>
      <w:pBdr/>
      <w:tabs>
        <w:tab w:val="clear" w:pos="720"/>
        <w:tab w:val="center" w:pos="4419" w:leader="none"/>
        <w:tab w:val="right" w:pos="8838" w:leader="none"/>
      </w:tabs>
      <w:jc w:val="end"/>
      <w:rPr/>
    </w:pPr>
    <w:r>
      <w:rPr/>
    </w:r>
  </w:p>
  <w:p>
    <w:pPr>
      <w:pStyle w:val="Normal"/>
      <w:pBdr/>
      <w:tabs>
        <w:tab w:val="clear" w:pos="720"/>
        <w:tab w:val="center" w:pos="4419" w:leader="none"/>
        <w:tab w:val="right" w:pos="8838" w:leader="none"/>
      </w:tabs>
      <w:jc w:val="end"/>
      <w:rPr>
        <w:color w:val="000000"/>
      </w:rPr>
    </w:pPr>
    <w:r>
      <w:rPr>
        <w:rFonts w:ascii="Times New Roman" w:hAnsi="Times New Roman"/>
        <w:color w:val="000000"/>
      </w:rPr>
      <w:t>Especificação dos Requisitos do Software</w:t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pStyle w:val="Heading1"/>
      <w:lvlText w:val="%1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1">
      <w:start w:val="1"/>
      <w:numFmt w:val="decimal"/>
      <w:pStyle w:val="Heading2"/>
      <w:lvlText w:val="%1.%2.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decimal"/>
      <w:pStyle w:val="Heading3"/>
      <w:lvlText w:val="%1.%2.%3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3">
      <w:start w:val="1"/>
      <w:numFmt w:val="decimal"/>
      <w:pStyle w:val="Heading4"/>
      <w:lvlText w:val="%1.%2.%3.%4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4">
      <w:start w:val="1"/>
      <w:numFmt w:val="decimal"/>
      <w:lvlText w:val="%1.%2.%3.%4.%5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5">
      <w:start w:val="1"/>
      <w:numFmt w:val="decimal"/>
      <w:lvlText w:val="%1.%2.%3.%4.%5.%6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6">
      <w:start w:val="1"/>
      <w:numFmt w:val="decimal"/>
      <w:lvlText w:val="%1.%2.%3.%4.%5.%6.%7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7">
      <w:start w:val="1"/>
      <w:numFmt w:val="decimal"/>
      <w:lvlText w:val="%1.%2.%3.%4.%5.%6.%7.%8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  <w:lvl w:ilvl="8">
      <w:start w:val="1"/>
      <w:numFmt w:val="decimal"/>
      <w:lvlText w:val="%1.%2.%3.%4.%5.%6.%7.%8.%9."/>
      <w:lvlJc w:val="start"/>
      <w:pPr>
        <w:tabs>
          <w:tab w:val="num" w:pos="0"/>
        </w:tabs>
        <w:ind w:start="0" w:hanging="0"/>
      </w:pPr>
      <w:rPr>
        <w:b/>
        <w:bCs/>
        <w:i w:val="false"/>
        <w:iCs w:val="false"/>
        <w:u w:val="none"/>
      </w:r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start"/>
      <w:pPr>
        <w:tabs>
          <w:tab w:val="num" w:pos="0"/>
        </w:tabs>
        <w:ind w:star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start"/>
      <w:pPr>
        <w:tabs>
          <w:tab w:val="num" w:pos="0"/>
        </w:tabs>
        <w:ind w:star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start"/>
      <w:pPr>
        <w:tabs>
          <w:tab w:val="num" w:pos="0"/>
        </w:tabs>
        <w:ind w:star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start"/>
      <w:pPr>
        <w:tabs>
          <w:tab w:val="num" w:pos="0"/>
        </w:tabs>
        <w:ind w:star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start"/>
      <w:pPr>
        <w:tabs>
          <w:tab w:val="num" w:pos="0"/>
        </w:tabs>
        <w:ind w:star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start"/>
      <w:pPr>
        <w:tabs>
          <w:tab w:val="num" w:pos="0"/>
        </w:tabs>
        <w:ind w:star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start"/>
      <w:pPr>
        <w:tabs>
          <w:tab w:val="num" w:pos="0"/>
        </w:tabs>
        <w:ind w:star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start"/>
      <w:pPr>
        <w:tabs>
          <w:tab w:val="num" w:pos="0"/>
        </w:tabs>
        <w:ind w:start="6480" w:hanging="360"/>
      </w:pPr>
      <w:rPr>
        <w:rFonts w:ascii="Wingdings" w:hAnsi="Wingdings" w:cs="Wingdings" w:hint="default"/>
      </w:rPr>
    </w:lvl>
  </w:abstractNum>
  <w:abstractNum w:abstractNumId="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5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6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7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8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19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0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1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2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3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abstractNum w:abstractNumId="24">
    <w:lvl w:ilvl="0">
      <w:start w:val="1"/>
      <w:numFmt w:val="decimal"/>
      <w:lvlText w:val="%1."/>
      <w:lvlJc w:val="start"/>
      <w:pPr>
        <w:tabs>
          <w:tab w:val="num" w:pos="0"/>
        </w:tabs>
        <w:ind w:start="720" w:hanging="360"/>
      </w:pPr>
      <w:rPr/>
    </w:lvl>
    <w:lvl w:ilvl="1">
      <w:start w:val="1"/>
      <w:numFmt w:val="lowerLetter"/>
      <w:lvlText w:val="%2."/>
      <w:lvlJc w:val="start"/>
      <w:pPr>
        <w:tabs>
          <w:tab w:val="num" w:pos="0"/>
        </w:tabs>
        <w:ind w:start="1440" w:hanging="360"/>
      </w:pPr>
      <w:rPr/>
    </w:lvl>
    <w:lvl w:ilvl="2">
      <w:start w:val="1"/>
      <w:numFmt w:val="lowerRoman"/>
      <w:lvlText w:val="%3."/>
      <w:lvlJc w:val="end"/>
      <w:pPr>
        <w:tabs>
          <w:tab w:val="num" w:pos="0"/>
        </w:tabs>
        <w:ind w:start="2160" w:hanging="180"/>
      </w:pPr>
      <w:rPr/>
    </w:lvl>
    <w:lvl w:ilvl="3">
      <w:start w:val="1"/>
      <w:numFmt w:val="decimal"/>
      <w:lvlText w:val="%4."/>
      <w:lvlJc w:val="start"/>
      <w:pPr>
        <w:tabs>
          <w:tab w:val="num" w:pos="0"/>
        </w:tabs>
        <w:ind w:start="2880" w:hanging="360"/>
      </w:pPr>
      <w:rPr/>
    </w:lvl>
    <w:lvl w:ilvl="4">
      <w:start w:val="1"/>
      <w:numFmt w:val="lowerLetter"/>
      <w:lvlText w:val="%5."/>
      <w:lvlJc w:val="start"/>
      <w:pPr>
        <w:tabs>
          <w:tab w:val="num" w:pos="0"/>
        </w:tabs>
        <w:ind w:start="3600" w:hanging="360"/>
      </w:pPr>
      <w:rPr/>
    </w:lvl>
    <w:lvl w:ilvl="5">
      <w:start w:val="1"/>
      <w:numFmt w:val="lowerRoman"/>
      <w:lvlText w:val="%6."/>
      <w:lvlJc w:val="end"/>
      <w:pPr>
        <w:tabs>
          <w:tab w:val="num" w:pos="0"/>
        </w:tabs>
        <w:ind w:start="4320" w:hanging="180"/>
      </w:pPr>
      <w:rPr/>
    </w:lvl>
    <w:lvl w:ilvl="6">
      <w:start w:val="1"/>
      <w:numFmt w:val="decimal"/>
      <w:lvlText w:val="%7."/>
      <w:lvlJc w:val="start"/>
      <w:pPr>
        <w:tabs>
          <w:tab w:val="num" w:pos="0"/>
        </w:tabs>
        <w:ind w:start="5040" w:hanging="360"/>
      </w:pPr>
      <w:rPr/>
    </w:lvl>
    <w:lvl w:ilvl="7">
      <w:start w:val="1"/>
      <w:numFmt w:val="lowerLetter"/>
      <w:lvlText w:val="%8."/>
      <w:lvlJc w:val="start"/>
      <w:pPr>
        <w:tabs>
          <w:tab w:val="num" w:pos="0"/>
        </w:tabs>
        <w:ind w:start="5760" w:hanging="360"/>
      </w:pPr>
      <w:rPr/>
    </w:lvl>
    <w:lvl w:ilvl="8">
      <w:start w:val="1"/>
      <w:numFmt w:val="lowerRoman"/>
      <w:lvlText w:val="%9."/>
      <w:lvlJc w:val="end"/>
      <w:pPr>
        <w:tabs>
          <w:tab w:val="num" w:pos="0"/>
        </w:tabs>
        <w:ind w:start="6480" w:hanging="180"/>
      </w:pPr>
      <w:rPr/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3"/>
    <w:lvlOverride w:ilvl="0">
      <w:startOverride w:val="1"/>
    </w:lvlOverride>
  </w:num>
  <w:num w:numId="26">
    <w:abstractNumId w:val="3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3"/>
    <w:lvlOverride w:ilvl="0">
      <w:startOverride w:val="1"/>
    </w:lvlOverride>
  </w:num>
  <w:num w:numId="29">
    <w:abstractNumId w:val="3"/>
    <w:lvlOverride w:ilvl="0">
      <w:startOverride w:val="1"/>
    </w:lvlOverride>
  </w:num>
  <w:num w:numId="30">
    <w:abstractNumId w:val="3"/>
    <w:lvlOverride w:ilvl="0">
      <w:startOverride w:val="1"/>
    </w:lvlOverride>
  </w:num>
  <w:num w:numId="31">
    <w:abstractNumId w:val="3"/>
    <w:lvlOverride w:ilvl="0">
      <w:startOverride w:val="1"/>
    </w:lvlOverride>
  </w:num>
  <w:num w:numId="32">
    <w:abstractNumId w:val="3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3"/>
    <w:lvlOverride w:ilvl="0">
      <w:startOverride w:val="1"/>
    </w:lvlOverride>
  </w:num>
  <w:num w:numId="35">
    <w:abstractNumId w:val="3"/>
    <w:lvlOverride w:ilvl="0">
      <w:startOverride w:val="1"/>
    </w:lvlOverride>
  </w:num>
  <w:num w:numId="36">
    <w:abstractNumId w:val="3"/>
    <w:lvlOverride w:ilvl="0">
      <w:startOverride w:val="1"/>
    </w:lvlOverride>
  </w:num>
  <w:num w:numId="37">
    <w:abstractNumId w:val="3"/>
    <w:lvlOverride w:ilvl="0">
      <w:startOverride w:val="1"/>
    </w:lvlOverride>
  </w:num>
  <w:num w:numId="38">
    <w:abstractNumId w:val="3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3"/>
    <w:lvlOverride w:ilvl="0">
      <w:startOverride w:val="1"/>
    </w:lvlOverride>
  </w:num>
  <w:num w:numId="41">
    <w:abstractNumId w:val="3"/>
    <w:lvlOverride w:ilvl="0">
      <w:startOverride w:val="1"/>
    </w:lvlOverride>
  </w:num>
  <w:num w:numId="42">
    <w:abstractNumId w:val="3"/>
    <w:lvlOverride w:ilvl="0">
      <w:startOverride w:val="1"/>
    </w:lvlOverride>
  </w:num>
  <w:num w:numId="43">
    <w:abstractNumId w:val="3"/>
    <w:lvlOverride w:ilvl="0">
      <w:startOverride w:val="1"/>
    </w:lvlOverride>
  </w:num>
  <w:num w:numId="44">
    <w:abstractNumId w:val="3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3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80"/>
  <w:embedTrueTypeFonts/>
  <w:defaultTabStop w:val="720"/>
  <w:autoHyphenation w:val="true"/>
  <w:hyphenationZone w:val="0"/>
  <w:evenAndOddHeaders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pt-BR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pt-BR" w:eastAsia="pt-BR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4b57f9"/>
    <w:pPr>
      <w:widowControl/>
      <w:bidi w:val="0"/>
      <w:spacing w:before="0" w:after="0"/>
      <w:ind w:firstLine="720"/>
      <w:jc w:val="start"/>
    </w:pPr>
    <w:rPr>
      <w:rFonts w:ascii="Liberation Serif" w:hAnsi="Liberation Serif" w:eastAsia="Times New Roman" w:cs="Times New Roman"/>
      <w:color w:val="auto"/>
      <w:kern w:val="0"/>
      <w:sz w:val="22"/>
      <w:szCs w:val="20"/>
      <w:lang w:val="pt-BR" w:eastAsia="pt-BR" w:bidi="ar-SA"/>
    </w:rPr>
  </w:style>
  <w:style w:type="paragraph" w:styleId="Heading1">
    <w:name w:val="heading 1"/>
    <w:basedOn w:val="Normal"/>
    <w:next w:val="Normal"/>
    <w:uiPriority w:val="9"/>
    <w:qFormat/>
    <w:rsid w:val="00e8026c"/>
    <w:pPr>
      <w:keepNext w:val="true"/>
      <w:keepLines/>
      <w:widowControl w:val="false"/>
      <w:numPr>
        <w:ilvl w:val="0"/>
        <w:numId w:val="1"/>
      </w:numPr>
      <w:pBdr>
        <w:bottom w:val="single" w:sz="18" w:space="1" w:color="262626" w:themeColor="dark1" w:themeTint="d9"/>
      </w:pBdr>
      <w:spacing w:before="240" w:after="240"/>
      <w:outlineLvl w:val="0"/>
    </w:pPr>
    <w:rPr>
      <w:rFonts w:eastAsia="Liberation Serif" w:cs="Liberation Serif"/>
      <w:b/>
      <w:bCs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6ba0"/>
    <w:pPr>
      <w:keepNext w:val="true"/>
      <w:keepLines/>
      <w:widowControl w:val="false"/>
      <w:numPr>
        <w:ilvl w:val="1"/>
        <w:numId w:val="1"/>
      </w:numPr>
      <w:pBdr>
        <w:bottom w:val="single" w:sz="4" w:space="1" w:color="000000"/>
      </w:pBdr>
      <w:spacing w:before="240" w:after="240"/>
      <w:outlineLvl w:val="1"/>
    </w:pPr>
    <w:rPr>
      <w:rFonts w:eastAsia="Liberation Serif" w:cs="Liberation Serif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c09b6"/>
    <w:pPr>
      <w:keepNext w:val="true"/>
      <w:numPr>
        <w:ilvl w:val="2"/>
        <w:numId w:val="1"/>
      </w:numPr>
      <w:spacing w:before="240" w:after="120"/>
      <w:outlineLvl w:val="2"/>
    </w:pPr>
    <w:rPr>
      <w:rFonts w:eastAsia="Liberation Serif" w:cs="Liberation Serif"/>
      <w:b/>
      <w:bCs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a3798"/>
    <w:pPr>
      <w:keepNext w:val="true"/>
      <w:keepLines/>
      <w:widowControl w:val="false"/>
      <w:numPr>
        <w:ilvl w:val="3"/>
        <w:numId w:val="1"/>
      </w:numPr>
      <w:tabs>
        <w:tab w:val="clear" w:pos="720"/>
        <w:tab w:val="left" w:pos="0" w:leader="none"/>
      </w:tabs>
      <w:spacing w:lineRule="auto" w:line="276" w:before="240" w:after="0"/>
      <w:outlineLvl w:val="3"/>
    </w:pPr>
    <w:rPr>
      <w:rFonts w:eastAsia="Liberation Serif" w:cs="Liberation Serif"/>
      <w:b/>
      <w:bCs/>
      <w:i/>
      <w:i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 w:val="true"/>
      <w:spacing w:before="120" w:after="80"/>
      <w:ind w:firstLine="3" w:start="284"/>
      <w:outlineLvl w:val="4"/>
    </w:pPr>
    <w:rPr>
      <w:rFonts w:ascii="Arial" w:hAnsi="Arial" w:eastAsia="Arial" w:cs="Arial"/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 w:val="true"/>
      <w:spacing w:before="80" w:after="80"/>
      <w:ind w:firstLine="3" w:start="284"/>
      <w:outlineLvl w:val="5"/>
    </w:pPr>
    <w:rPr>
      <w:rFonts w:ascii="Arial" w:hAnsi="Arial" w:eastAsia="Arial" w:cs="Arial"/>
      <w:b/>
      <w:bCs/>
      <w:i/>
      <w:iCs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eaderChar" w:customStyle="1">
    <w:name w:val="Header Char"/>
    <w:basedOn w:val="DefaultParagraphFont"/>
    <w:uiPriority w:val="99"/>
    <w:qFormat/>
    <w:rsid w:val="004108b3"/>
    <w:rPr/>
  </w:style>
  <w:style w:type="character" w:styleId="FooterChar" w:customStyle="1">
    <w:name w:val="Footer Char"/>
    <w:basedOn w:val="DefaultParagraphFont"/>
    <w:uiPriority w:val="99"/>
    <w:qFormat/>
    <w:rsid w:val="004108b3"/>
    <w:rPr/>
  </w:style>
  <w:style w:type="character" w:styleId="Hyperlink">
    <w:name w:val="Hyperlink"/>
    <w:basedOn w:val="DefaultParagraphFont"/>
    <w:uiPriority w:val="99"/>
    <w:unhideWhenUsed/>
    <w:rsid w:val="00b73019"/>
    <w:rPr>
      <w:color w:themeColor="hyperlink" w:val="0000FF"/>
      <w:u w:val="single"/>
    </w:rPr>
  </w:style>
  <w:style w:type="character" w:styleId="Heading2Char" w:customStyle="1">
    <w:name w:val="Heading 2 Char"/>
    <w:basedOn w:val="DefaultParagraphFont"/>
    <w:uiPriority w:val="9"/>
    <w:qFormat/>
    <w:rsid w:val="00cc6ba0"/>
    <w:rPr>
      <w:rFonts w:ascii="Liberation Serif" w:hAnsi="Liberation Serif" w:eastAsia="Liberation Serif" w:cs="Liberation Serif"/>
      <w:b/>
      <w:bCs/>
      <w:sz w:val="28"/>
      <w:szCs w:val="28"/>
    </w:rPr>
  </w:style>
  <w:style w:type="character" w:styleId="Heading3Char" w:customStyle="1">
    <w:name w:val="Heading 3 Char"/>
    <w:basedOn w:val="DefaultParagraphFont"/>
    <w:uiPriority w:val="9"/>
    <w:qFormat/>
    <w:rsid w:val="009c09b6"/>
    <w:rPr>
      <w:rFonts w:ascii="Liberation Serif" w:hAnsi="Liberation Serif" w:eastAsia="Liberation Serif" w:cs="Liberation Serif"/>
      <w:b/>
      <w:bCs/>
      <w:sz w:val="24"/>
      <w:szCs w:val="24"/>
    </w:rPr>
  </w:style>
  <w:style w:type="character" w:styleId="Heading4Char" w:customStyle="1">
    <w:name w:val="Heading 4 Char"/>
    <w:basedOn w:val="DefaultParagraphFont"/>
    <w:uiPriority w:val="9"/>
    <w:qFormat/>
    <w:rsid w:val="00c6495d"/>
    <w:rPr>
      <w:rFonts w:ascii="Liberation Serif" w:hAnsi="Liberation Serif" w:eastAsia="Liberation Serif" w:cs="Liberation Serif"/>
      <w:b/>
      <w:bCs/>
      <w:i/>
      <w:iCs/>
      <w:sz w:val="24"/>
      <w:szCs w:val="24"/>
    </w:rPr>
  </w:style>
  <w:style w:type="character" w:styleId="Strong">
    <w:name w:val="Strong"/>
    <w:basedOn w:val="DefaultParagraphFont"/>
    <w:uiPriority w:val="22"/>
    <w:qFormat/>
    <w:rsid w:val="00fa23e2"/>
    <w:rPr>
      <w:b/>
      <w:bCs/>
    </w:rPr>
  </w:style>
  <w:style w:type="character" w:styleId="Vnculodendice">
    <w:name w:val="Vínculo de índice"/>
    <w:qFormat/>
    <w:rPr/>
  </w:style>
  <w:style w:type="paragraph" w:styleId="Ttulo">
    <w:name w:val="Títu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ndice">
    <w:name w:val="Índice"/>
    <w:basedOn w:val="Normal"/>
    <w:qFormat/>
    <w:pPr>
      <w:suppressLineNumbers/>
    </w:pPr>
    <w:rPr>
      <w:rFonts w:cs="Noto Sans Devanagari"/>
    </w:rPr>
  </w:style>
  <w:style w:type="paragraph" w:styleId="Title">
    <w:name w:val="Title"/>
    <w:basedOn w:val="Normal"/>
    <w:next w:val="Normal"/>
    <w:uiPriority w:val="10"/>
    <w:qFormat/>
    <w:pPr>
      <w:keepNext w:val="true"/>
      <w:keepLines/>
      <w:pageBreakBefore/>
      <w:spacing w:before="360" w:after="160"/>
      <w:jc w:val="center"/>
    </w:pPr>
    <w:rPr>
      <w:rFonts w:ascii="Arial" w:hAnsi="Arial" w:eastAsia="Arial" w:cs="Arial"/>
      <w:b/>
      <w:bCs/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 w:val="true"/>
      <w:keepLines/>
      <w:spacing w:before="240" w:after="240"/>
    </w:pPr>
    <w:rPr>
      <w:rFonts w:eastAsia="Liberation Serif" w:cs="Liberation Serif"/>
      <w:b/>
      <w:bCs/>
      <w:sz w:val="24"/>
      <w:szCs w:val="24"/>
    </w:rPr>
  </w:style>
  <w:style w:type="paragraph" w:styleId="Cabealhoerodap">
    <w:name w:val="Cabeçalho e rodapé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4108b3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Footer">
    <w:name w:val="footer"/>
    <w:basedOn w:val="Normal"/>
    <w:link w:val="FooterChar"/>
    <w:uiPriority w:val="99"/>
    <w:unhideWhenUsed/>
    <w:rsid w:val="004108b3"/>
    <w:pPr>
      <w:tabs>
        <w:tab w:val="clear" w:pos="720"/>
        <w:tab w:val="center" w:pos="4252" w:leader="none"/>
        <w:tab w:val="right" w:pos="8504" w:leader="none"/>
      </w:tabs>
    </w:pPr>
    <w:rPr/>
  </w:style>
  <w:style w:type="paragraph" w:styleId="IndexHeading">
    <w:name w:val="index heading"/>
    <w:basedOn w:val="Ttulo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e8026c"/>
    <w:pPr>
      <w:numPr>
        <w:ilvl w:val="0"/>
        <w:numId w:val="1"/>
      </w:numPr>
      <w:spacing w:lineRule="auto" w:line="259" w:before="0" w:after="240"/>
      <w:outlineLvl w:val="9"/>
    </w:pPr>
    <w:rPr>
      <w:rFonts w:ascii="Calibri" w:hAnsi="Calibri" w:eastAsia="" w:cs="" w:asciiTheme="majorHAnsi" w:cstheme="majorBidi" w:eastAsiaTheme="majorEastAsia" w:hAnsiTheme="majorHAnsi"/>
      <w:color w:themeColor="text1" w:val="000000"/>
      <w:sz w:val="44"/>
      <w:szCs w:val="44"/>
    </w:rPr>
  </w:style>
  <w:style w:type="paragraph" w:styleId="TOC1">
    <w:name w:val="toc 1"/>
    <w:next w:val="NoSpacing"/>
    <w:autoRedefine/>
    <w:uiPriority w:val="39"/>
    <w:unhideWhenUsed/>
    <w:rsid w:val="00dd5073"/>
    <w:pPr>
      <w:widowControl/>
      <w:tabs>
        <w:tab w:val="clear" w:pos="720"/>
        <w:tab w:val="left" w:pos="576" w:leader="none"/>
        <w:tab w:val="right" w:pos="10456" w:leader="dot"/>
      </w:tabs>
      <w:bidi w:val="0"/>
      <w:spacing w:before="0" w:after="100"/>
      <w:jc w:val="start"/>
    </w:pPr>
    <w:rPr>
      <w:rFonts w:ascii="Liberation Serif" w:hAnsi="Liberation Serif" w:eastAsia="Times New Roman" w:cs="Times New Roman"/>
      <w:b/>
      <w:bCs/>
      <w:color w:val="auto"/>
      <w:kern w:val="0"/>
      <w:sz w:val="20"/>
      <w:szCs w:val="20"/>
      <w:lang w:val="pt-BR" w:eastAsia="pt-BR" w:bidi="ar-SA"/>
    </w:rPr>
  </w:style>
  <w:style w:type="paragraph" w:styleId="TOC2">
    <w:name w:val="toc 2"/>
    <w:next w:val="Normal"/>
    <w:autoRedefine/>
    <w:uiPriority w:val="39"/>
    <w:unhideWhenUsed/>
    <w:rsid w:val="000c19d0"/>
    <w:pPr>
      <w:widowControl/>
      <w:tabs>
        <w:tab w:val="clear" w:pos="720"/>
        <w:tab w:val="left" w:pos="864" w:leader="none"/>
        <w:tab w:val="right" w:pos="9736" w:leader="dot"/>
      </w:tabs>
      <w:bidi w:val="0"/>
      <w:spacing w:before="0" w:after="100"/>
      <w:ind w:start="144"/>
      <w:jc w:val="start"/>
    </w:pPr>
    <w:rPr>
      <w:rFonts w:ascii="Liberation Serif" w:hAnsi="Liberation Serif" w:eastAsia="Times New Roman" w:cs="Times New Roman"/>
      <w:color w:val="auto"/>
      <w:kern w:val="0"/>
      <w:sz w:val="20"/>
      <w:szCs w:val="20"/>
      <w:lang w:val="pt-BR" w:eastAsia="pt-BR" w:bidi="ar-SA"/>
    </w:rPr>
  </w:style>
  <w:style w:type="paragraph" w:styleId="TOC3">
    <w:name w:val="toc 3"/>
    <w:next w:val="Normal"/>
    <w:autoRedefine/>
    <w:uiPriority w:val="39"/>
    <w:unhideWhenUsed/>
    <w:rsid w:val="000c19d0"/>
    <w:pPr>
      <w:widowControl/>
      <w:tabs>
        <w:tab w:val="clear" w:pos="720"/>
        <w:tab w:val="left" w:pos="1200" w:leader="none"/>
        <w:tab w:val="right" w:pos="10456" w:leader="dot"/>
      </w:tabs>
      <w:bidi w:val="0"/>
      <w:spacing w:before="0" w:after="100"/>
      <w:ind w:start="403"/>
      <w:jc w:val="start"/>
    </w:pPr>
    <w:rPr>
      <w:rFonts w:ascii="Liberation Serif" w:hAnsi="Liberation Serif" w:eastAsia="Times New Roman" w:cs="Times New Roman"/>
      <w:i/>
      <w:iCs/>
      <w:color w:val="auto"/>
      <w:kern w:val="0"/>
      <w:sz w:val="20"/>
      <w:szCs w:val="20"/>
      <w:lang w:val="pt-BR" w:eastAsia="pt-BR" w:bidi="ar-SA"/>
    </w:rPr>
  </w:style>
  <w:style w:type="paragraph" w:styleId="ListParagraph">
    <w:name w:val="List Paragraph"/>
    <w:basedOn w:val="Normal"/>
    <w:uiPriority w:val="34"/>
    <w:qFormat/>
    <w:rsid w:val="00e8026c"/>
    <w:pPr>
      <w:spacing w:before="0" w:after="0"/>
      <w:ind w:hanging="0" w:start="720"/>
      <w:contextualSpacing/>
    </w:pPr>
    <w:rPr/>
  </w:style>
  <w:style w:type="paragraph" w:styleId="NoSpacing">
    <w:name w:val="No Spacing"/>
    <w:uiPriority w:val="1"/>
    <w:qFormat/>
    <w:rsid w:val="0086263e"/>
    <w:pPr>
      <w:widowControl/>
      <w:bidi w:val="0"/>
      <w:spacing w:before="0" w:after="0"/>
      <w:jc w:val="start"/>
    </w:pPr>
    <w:rPr>
      <w:rFonts w:ascii="Liberation Serif" w:hAnsi="Liberation Serif" w:eastAsia="Times New Roman" w:cs="Times New Roman"/>
      <w:color w:val="auto"/>
      <w:kern w:val="0"/>
      <w:sz w:val="22"/>
      <w:szCs w:val="20"/>
      <w:lang w:val="pt-BR" w:eastAsia="pt-BR" w:bidi="ar-SA"/>
    </w:rPr>
  </w:style>
  <w:style w:type="paragraph" w:styleId="Contedodoquadro">
    <w:name w:val="Conteúdo do quadro"/>
    <w:basedOn w:val="Normal"/>
    <w:qFormat/>
    <w:pPr/>
    <w:rPr/>
  </w:style>
  <w:style w:type="paragraph" w:styleId="TOC4">
    <w:name w:val="toc 4"/>
    <w:basedOn w:val="ndice"/>
    <w:pPr/>
    <w:rPr/>
  </w:style>
  <w:style w:type="paragraph" w:styleId="TOC5">
    <w:name w:val="toc 5"/>
    <w:basedOn w:val="ndice"/>
    <w:pPr/>
    <w:rPr/>
  </w:style>
  <w:style w:type="paragraph" w:styleId="TOC6">
    <w:name w:val="toc 6"/>
    <w:basedOn w:val="ndice"/>
    <w:pPr/>
    <w:rPr/>
  </w:style>
  <w:style w:type="paragraph" w:styleId="TOC7">
    <w:name w:val="toc 7"/>
    <w:basedOn w:val="ndice"/>
    <w:pPr/>
    <w:rPr/>
  </w:style>
  <w:style w:type="paragraph" w:styleId="TOC8">
    <w:name w:val="toc 8"/>
    <w:basedOn w:val="ndice"/>
    <w:pPr/>
    <w:rPr/>
  </w:style>
  <w:style w:type="paragraph" w:styleId="TOC9">
    <w:name w:val="toc 9"/>
    <w:basedOn w:val="ndice"/>
    <w:pPr/>
    <w:rPr/>
  </w:style>
  <w:style w:type="paragraph" w:styleId="Cabealhoesquerda">
    <w:name w:val="Cabeçalho à esquerda"/>
    <w:basedOn w:val="Header"/>
    <w:qFormat/>
    <w:pPr/>
    <w:rPr/>
  </w:style>
  <w:style w:type="numbering" w:styleId="Semlista" w:default="1">
    <w:name w:val="Sem lista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elaPadro1">
    <w:name w:val="Tabela Padrão 1"/>
    <w:basedOn w:val="TableNormal"/>
    <w:uiPriority w:val="99"/>
    <w:rsid w:val="004108b3"/>
    <w:tblPr>
      <w:tblStyleRowBandSize w:val="1"/>
      <w:tblBorders>
        <w:top w:val="single" w:color="BFBFBF" w:themeColor="background1" w:themeShade="bf" w:sz="8" w:space="0"/>
        <w:left w:val="single" w:color="BFBFBF" w:themeColor="background1" w:themeShade="bf" w:sz="8" w:space="0"/>
        <w:bottom w:val="single" w:color="BFBFBF" w:themeColor="background1" w:themeShade="bf" w:sz="8" w:space="0"/>
        <w:right w:val="single" w:color="BFBFBF" w:themeColor="background1" w:themeShade="bf" w:sz="8" w:space="0"/>
        <w:insideH w:val="single" w:color="BFBFBF" w:themeColor="background1" w:themeShade="bf" w:sz="8" w:space="0"/>
        <w:insideV w:val="single" w:color="BFBFBF" w:themeColor="background1" w:themeShade="bf" w:sz="8" w:space="0"/>
      </w:tblBorders>
    </w:tblPr>
    <w:tcPr>
      <w:vAlign w:val="center"/>
    </w:tc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4">
    <w:name w:val="Plain Table 4"/>
    <w:basedOn w:val="TableNormal"/>
    <w:uiPriority w:val="44"/>
    <w:rsid w:val="004108b3"/>
    <w:tblPr>
      <w:tblStyleRowBandSize w:val="1"/>
      <w:tblStyleColBandSize w:val="1"/>
    </w:tblPr>
    <w:tblStylePr w:type="firstRow">
      <w:rPr>
        <w:b/>
        <w:bCs/>
      </w:rPr>
      <w:tblPr/>
    </w:tblStylePr>
    <w:tblStylePr w:type="lastRow">
      <w:rPr>
        <w:b/>
        <w:bCs/>
      </w:rPr>
      <w:tblPr/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GridLight">
    <w:name w:val="Grid Table Light"/>
    <w:basedOn w:val="TableNormal"/>
    <w:uiPriority w:val="40"/>
    <w:rsid w:val="004108b3"/>
    <w:tblPr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</w:style>
  <w:style w:type="table" w:styleId="PlainTable1">
    <w:name w:val="Plain Table 1"/>
    <w:basedOn w:val="TableNormal"/>
    <w:uiPriority w:val="41"/>
    <w:rsid w:val="004108b3"/>
    <w:tblPr>
      <w:tblStyleRowBandSize w:val="1"/>
      <w:tblStyleColBandSize w:val="1"/>
      <w:tblBorders>
        <w:top w:val="single" w:color="BFBFBF" w:themeColor="background1" w:themeShade="bf" w:sz="4" w:space="0"/>
        <w:left w:val="single" w:color="BFBFBF" w:themeColor="background1" w:themeShade="bf" w:sz="4" w:space="0"/>
        <w:bottom w:val="single" w:color="BFBFBF" w:themeColor="background1" w:themeShade="bf" w:sz="4" w:space="0"/>
        <w:right w:val="single" w:color="BFBFBF" w:themeColor="background1" w:themeShade="bf" w:sz="4" w:space="0"/>
        <w:insideH w:val="single" w:color="BFBFBF" w:themeColor="background1" w:themeShade="bf" w:sz="4" w:space="0"/>
        <w:insideV w:val="single" w:color="BFBFBF" w:themeColor="background1" w:themeShade="bf" w:sz="4" w:space="0"/>
      </w:tblBorders>
    </w:tblPr>
    <w:tcPr>
      <w:vAlign w:val="center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double" w:color="BFBFBF" w:themeColor="background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4108b3"/>
    <w:tblPr>
      <w:tblStyleRowBandSize w:val="1"/>
      <w:tblStyleColBandSize w:val="1"/>
      <w:tblBorders>
        <w:top w:val="single" w:color="7F7F7F" w:themeColor="text1" w:themeTint="80" w:sz="4" w:space="0"/>
        <w:bottom w:val="single" w:color="7F7F7F" w:themeColor="text1" w:themeTint="80" w:sz="4" w:space="0"/>
      </w:tblBorders>
    </w:tblPr>
    <w:tblStylePr w:type="firstRow">
      <w:rPr>
        <w:b/>
        <w:bC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</w:rPr>
      <w:tblPr/>
      <w:tcPr>
        <w:tcBorders>
          <w:top w:val="single" w:color="7F7F7F" w:themeColor="text1" w:sz="4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2Vert">
      <w:tblPr/>
      <w:tcPr>
        <w:tcBorders>
          <w:left w:val="single" w:color="7F7F7F" w:themeColor="text1" w:sz="4" w:space="0"/>
          <w:right w:val="single" w:color="7F7F7F" w:themeColor="text1" w:sz="4" w:space="0"/>
        </w:tcBorders>
      </w:tcPr>
    </w:tblStylePr>
    <w:tblStylePr w:type="band1Horz">
      <w:tblPr/>
      <w:tcPr>
        <w:tcBorders>
          <w:top w:val="single" w:color="7F7F7F" w:themeColor="text1" w:sz="4" w:space="0"/>
          <w:bottom w:val="single" w:color="7F7F7F" w:themeColor="text1" w:sz="4" w:space="0"/>
        </w:tcBorders>
      </w:tcPr>
    </w:tblStylePr>
  </w:style>
  <w:style w:type="table" w:styleId="PlainTable3">
    <w:name w:val="Plain Table 3"/>
    <w:basedOn w:val="TableNormal"/>
    <w:uiPriority w:val="43"/>
    <w:rsid w:val="004108b3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color="7F7F7F" w:themeColor="text1" w:sz="4" w:space="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color="7F7F7F" w:themeColor="text1" w:sz="4" w:space="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TableGrid">
    <w:name w:val="Table Grid"/>
    <w:basedOn w:val="TableNormal"/>
    <w:uiPriority w:val="39"/>
    <w:rsid w:val="004108b3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Estilo1">
    <w:name w:val="Estilo1"/>
    <w:basedOn w:val="TabelaPadro1"/>
    <w:uiPriority w:val="99"/>
    <w:rsid w:val="0086263e"/>
    <w:rPr>
      <w:sz w:val="22"/>
    </w:rPr>
    <w:tblStylePr w:type="firstRow">
      <w:rPr>
        <w:b/>
        <w:color w:val="ffffff" w:themeColor="background1"/>
      </w:rPr>
      <w:tblPr/>
      <w:tcPr>
        <w:shd w:val="clear" w:color="auto" w:fill="262626" w:themeFill="text1" w:themeFillTint="d9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image" Target="media/image2.png"/><Relationship Id="rId7" Type="http://schemas.openxmlformats.org/officeDocument/2006/relationships/image" Target="media/image3.png"/><Relationship Id="rId8" Type="http://schemas.openxmlformats.org/officeDocument/2006/relationships/image" Target="media/image4.jpeg"/><Relationship Id="rId9" Type="http://schemas.openxmlformats.org/officeDocument/2006/relationships/image" Target="media/image5.jpeg"/><Relationship Id="rId10" Type="http://schemas.openxmlformats.org/officeDocument/2006/relationships/image" Target="media/image6.jpeg"/><Relationship Id="rId11" Type="http://schemas.openxmlformats.org/officeDocument/2006/relationships/image" Target="media/image7.jpeg"/><Relationship Id="rId12" Type="http://schemas.openxmlformats.org/officeDocument/2006/relationships/image" Target="media/image8.jpeg"/><Relationship Id="rId13" Type="http://schemas.openxmlformats.org/officeDocument/2006/relationships/image" Target="media/image9.jpeg"/><Relationship Id="rId14" Type="http://schemas.openxmlformats.org/officeDocument/2006/relationships/image" Target="media/image10.jpeg"/><Relationship Id="rId15" Type="http://schemas.openxmlformats.org/officeDocument/2006/relationships/image" Target="media/image11.jpeg"/><Relationship Id="rId16" Type="http://schemas.openxmlformats.org/officeDocument/2006/relationships/image" Target="media/image12.jpeg"/><Relationship Id="rId17" Type="http://schemas.openxmlformats.org/officeDocument/2006/relationships/image" Target="media/image13.jpeg"/><Relationship Id="rId18" Type="http://schemas.openxmlformats.org/officeDocument/2006/relationships/image" Target="media/image14.jpeg"/><Relationship Id="rId19" Type="http://schemas.openxmlformats.org/officeDocument/2006/relationships/image" Target="media/image15.jpeg"/><Relationship Id="rId20" Type="http://schemas.openxmlformats.org/officeDocument/2006/relationships/image" Target="media/image16.jpeg"/><Relationship Id="rId21" Type="http://schemas.openxmlformats.org/officeDocument/2006/relationships/image" Target="media/image17.jpeg"/><Relationship Id="rId22" Type="http://schemas.openxmlformats.org/officeDocument/2006/relationships/image" Target="media/image18.jpeg"/><Relationship Id="rId23" Type="http://schemas.openxmlformats.org/officeDocument/2006/relationships/image" Target="media/image19.jpeg"/><Relationship Id="rId24" Type="http://schemas.openxmlformats.org/officeDocument/2006/relationships/image" Target="media/image20.jpeg"/><Relationship Id="rId25" Type="http://schemas.openxmlformats.org/officeDocument/2006/relationships/image" Target="media/image21.jpeg"/><Relationship Id="rId26" Type="http://schemas.openxmlformats.org/officeDocument/2006/relationships/image" Target="media/image22.jpeg"/><Relationship Id="rId27" Type="http://schemas.openxmlformats.org/officeDocument/2006/relationships/image" Target="media/image23.jpeg"/><Relationship Id="rId28" Type="http://schemas.openxmlformats.org/officeDocument/2006/relationships/image" Target="media/image24.jpeg"/><Relationship Id="rId29" Type="http://schemas.openxmlformats.org/officeDocument/2006/relationships/image" Target="media/image25.jpeg"/><Relationship Id="rId30" Type="http://schemas.openxmlformats.org/officeDocument/2006/relationships/image" Target="media/image26.jpeg"/><Relationship Id="rId31" Type="http://schemas.openxmlformats.org/officeDocument/2006/relationships/image" Target="media/image27.jpeg"/><Relationship Id="rId32" Type="http://schemas.openxmlformats.org/officeDocument/2006/relationships/image" Target="media/image28.jpeg"/><Relationship Id="rId33" Type="http://schemas.openxmlformats.org/officeDocument/2006/relationships/image" Target="media/image29.jpeg"/><Relationship Id="rId34" Type="http://schemas.openxmlformats.org/officeDocument/2006/relationships/image" Target="media/image30.jpeg"/><Relationship Id="rId35" Type="http://schemas.openxmlformats.org/officeDocument/2006/relationships/image" Target="media/image31.jpeg"/><Relationship Id="rId36" Type="http://schemas.openxmlformats.org/officeDocument/2006/relationships/header" Target="header3.xml"/><Relationship Id="rId37" Type="http://schemas.openxmlformats.org/officeDocument/2006/relationships/header" Target="header4.xml"/><Relationship Id="rId38" Type="http://schemas.openxmlformats.org/officeDocument/2006/relationships/header" Target="header5.xml"/><Relationship Id="rId39" Type="http://schemas.openxmlformats.org/officeDocument/2006/relationships/footer" Target="footer3.xml"/><Relationship Id="rId40" Type="http://schemas.openxmlformats.org/officeDocument/2006/relationships/footer" Target="footer4.xml"/><Relationship Id="rId41" Type="http://schemas.openxmlformats.org/officeDocument/2006/relationships/footer" Target="footer5.xml"/><Relationship Id="rId42" Type="http://schemas.openxmlformats.org/officeDocument/2006/relationships/numbering" Target="numbering.xml"/><Relationship Id="rId43" Type="http://schemas.openxmlformats.org/officeDocument/2006/relationships/fontTable" Target="fontTable.xml"/><Relationship Id="rId44" Type="http://schemas.openxmlformats.org/officeDocument/2006/relationships/settings" Target="settings.xml"/><Relationship Id="rId45" Type="http://schemas.openxmlformats.org/officeDocument/2006/relationships/theme" Target="theme/theme1.xml"/><Relationship Id="rId46" Type="http://schemas.openxmlformats.org/officeDocument/2006/relationships/customXml" Target="../customXml/item1.xml"/><Relationship Id="rId47" Type="http://schemas.openxmlformats.org/officeDocument/2006/relationships/customXml" Target="../customXml/item2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_rels/header4.xml.rels><?xml version="1.0" encoding="UTF-8"?>
<Relationships xmlns="http://schemas.openxmlformats.org/package/2006/relationships"><Relationship Id="rId1" Type="http://schemas.openxmlformats.org/officeDocument/2006/relationships/image" Target="media/image1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_rels/item2.xml.rels><?xml version="1.0" encoding="UTF-8"?>
<Relationships xmlns="http://schemas.openxmlformats.org/package/2006/relationships"><Relationship Id="rId1" Type="http://schemas.openxmlformats.org/officeDocument/2006/relationships/customXmlProps" Target="itemProps2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go:gDocsCustomXmlDataStorage xmlns:go="http://customooxmlschemas.google.com/" xmlns:r="http://schemas.openxmlformats.org/officeDocument/2006/relationships" uri="GoogleDocsCustomDataVersion2">
  <go:docsCustomData roundtripDataSignature="AMtx7mhfVDiG60hd/UNnkxlIB3HFJZHotQ==">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</go:docsCustomData>
</go:gDocsCustomXmlDataStorage>
</file>

<file path=customXml/itemProps1.xml><?xml version="1.0" encoding="utf-8"?>
<ds:datastoreItem xmlns:ds="http://schemas.openxmlformats.org/officeDocument/2006/customXml" ds:itemID="{6F2ACBFE-BE04-44EF-9C52-59451A6B89A4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673</TotalTime>
  <Application>LibreOffice/26.2.6.3$Linux_X86_64 LibreOffice_project/620$Build-3</Application>
  <AppVersion>15.0000</AppVersion>
  <Pages>71</Pages>
  <Words>13118</Words>
  <Characters>74868</Characters>
  <CharactersWithSpaces>85208</CharactersWithSpaces>
  <Paragraphs>2567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2026-06-03T11:35:00Z</dcterms:created>
  <dc:creator>Inlight Studio</dc:creator>
  <dc:description/>
  <dc:language>pt-BR</dc:language>
  <cp:lastModifiedBy/>
  <dcterms:modified xsi:type="dcterms:W3CDTF">2026-10-19T18:43:29Z</dcterms:modified>
  <cp:revision>102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retainMacros">
    <vt:lpwstr>false</vt:lpwstr>
  </property>
</Properties>
</file>