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Introdução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>A estrutura celular depende de algumas fontes energéticas para a sua sobrevivência e manutenção de funções. Na classe dos carboidratos a glicose e a galactose são alguns dos representantes de fontes energéticas celulares. A fórmula química C</w:t>
      </w:r>
      <w:r>
        <w:rPr>
          <w:rFonts w:cs="Arial" w:ascii="Arial" w:hAnsi="Arial"/>
          <w:sz w:val="24"/>
          <w:szCs w:val="24"/>
          <w:vertAlign w:val="subscript"/>
        </w:rPr>
        <w:t>6</w:t>
      </w:r>
      <w:r>
        <w:rPr>
          <w:rFonts w:cs="Arial" w:ascii="Arial" w:hAnsi="Arial"/>
          <w:sz w:val="24"/>
          <w:szCs w:val="24"/>
        </w:rPr>
        <w:t>H</w:t>
      </w:r>
      <w:r>
        <w:rPr>
          <w:rFonts w:cs="Arial" w:ascii="Arial" w:hAnsi="Arial"/>
          <w:sz w:val="24"/>
          <w:szCs w:val="24"/>
          <w:vertAlign w:val="subscript"/>
        </w:rPr>
        <w:t>12</w:t>
      </w:r>
      <w:r>
        <w:rPr>
          <w:rFonts w:cs="Arial" w:ascii="Arial" w:hAnsi="Arial"/>
          <w:sz w:val="24"/>
          <w:szCs w:val="24"/>
        </w:rPr>
        <w:t>O</w:t>
      </w:r>
      <w:r>
        <w:rPr>
          <w:rFonts w:cs="Arial" w:ascii="Arial" w:hAnsi="Arial"/>
          <w:sz w:val="24"/>
          <w:szCs w:val="24"/>
          <w:vertAlign w:val="subscript"/>
        </w:rPr>
        <w:t>6</w:t>
      </w:r>
      <w:r>
        <w:rPr>
          <w:rFonts w:cs="Arial" w:ascii="Arial" w:hAnsi="Arial"/>
          <w:sz w:val="24"/>
          <w:szCs w:val="24"/>
        </w:rPr>
        <w:t xml:space="preserve"> representa ambas as estruturas, mas diferem nos arranjos atômicos. Deste modo, as estruturas são estereoisômeros químicos, pois possuem uma estrutura tridimensional diferente na hidroxila presente no carbono-4 (</w:t>
      </w:r>
      <w:r>
        <w:rPr>
          <w:rFonts w:cs="Arial" w:ascii="Arial" w:hAnsi="Arial"/>
          <w:sz w:val="24"/>
          <w:szCs w:val="24"/>
          <w:shd w:fill="FFFFFF" w:val="clear"/>
        </w:rPr>
        <w:t>LAI; ELSAS; WIERENGA, 2009)</w:t>
      </w:r>
      <w:r>
        <w:rPr>
          <w:rFonts w:cs="Arial" w:ascii="Arial" w:hAnsi="Arial"/>
          <w:sz w:val="24"/>
          <w:szCs w:val="24"/>
        </w:rPr>
        <w:t xml:space="preserve">. A glicose é uma molécula polar; insolúvel na membrana plasmática e com transporte realizado por difusão facilitada dependente de proteínas transportadoras (GLUTs), provendo ATP em condições aeróbicas e anaeróbicas (MACHADO, 1998). Já a galactose é uma molécula menos solúvel que a glicose e possui inúmeras ligações glicosídicas possíveis, a obtenção desta fonte energética é possível em animais e plantas, mas prioritariamente encontrada em laticínios (ACOSTA; GROSS, 1995).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Objetivos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/>
      </w:r>
    </w:p>
    <w:p>
      <w:pPr>
        <w:pStyle w:val="TextBody"/>
        <w:rPr/>
      </w:pPr>
      <w:r>
        <w:rPr>
          <w:rFonts w:ascii="arial" w:hAnsi="arial"/>
          <w:sz w:val="28"/>
          <w:szCs w:val="28"/>
        </w:rPr>
        <w:t>Calculo semi empirico(pm6, rmi)</w:t>
      </w:r>
    </w:p>
    <w:p>
      <w:pPr>
        <w:pStyle w:val="TextBody"/>
        <w:rPr/>
      </w:pPr>
      <w:r>
        <w:rPr>
          <w:rFonts w:ascii="arial" w:hAnsi="arial"/>
          <w:sz w:val="28"/>
          <w:szCs w:val="28"/>
        </w:rPr>
        <w:t>delta Hf, pka, m, PI, FMO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/>
      </w:r>
    </w:p>
    <w:p>
      <w:pPr>
        <w:pStyle w:val="TextBody"/>
        <w:rPr/>
      </w:pPr>
      <w:r>
        <w:rPr>
          <w:rFonts w:ascii="arial" w:hAnsi="arial"/>
          <w:sz w:val="28"/>
          <w:szCs w:val="28"/>
        </w:rPr>
        <w:t>calculo HF e DFT</w:t>
      </w:r>
    </w:p>
    <w:p>
      <w:pPr>
        <w:pStyle w:val="TextBody"/>
        <w:rPr/>
      </w:pPr>
      <w:r>
        <w:rPr>
          <w:rFonts w:ascii="arial" w:hAnsi="arial"/>
          <w:sz w:val="28"/>
          <w:szCs w:val="28"/>
        </w:rPr>
        <w:t xml:space="preserve">delta E, FMO, M, solvatação. 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>
          <w:rFonts w:ascii="arial" w:hAnsi="arial"/>
          <w:sz w:val="28"/>
          <w:szCs w:val="28"/>
        </w:rPr>
        <w:t>R</w:t>
      </w:r>
      <w:r>
        <w:rPr>
          <w:rFonts w:ascii="arial" w:hAnsi="arial"/>
          <w:sz w:val="28"/>
          <w:szCs w:val="28"/>
        </w:rPr>
        <w:t>esultados e discussões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  <w:szCs w:val="24"/>
        </w:rPr>
        <w:t>Em soluções aquosas em equilíbrio a glicose apresenta pK</w:t>
      </w:r>
      <w:r>
        <w:rPr>
          <w:rFonts w:cs="Arial" w:ascii="Arial" w:hAnsi="Arial"/>
          <w:sz w:val="24"/>
          <w:szCs w:val="24"/>
          <w:vertAlign w:val="subscript"/>
        </w:rPr>
        <w:t xml:space="preserve">a </w:t>
      </w:r>
      <w:r>
        <w:rPr>
          <w:rFonts w:cs="Arial" w:ascii="Arial" w:hAnsi="Arial"/>
          <w:sz w:val="24"/>
          <w:szCs w:val="24"/>
        </w:rPr>
        <w:t>(25ºC) de 12,28 enquanto a galactose apresenta pK</w:t>
      </w:r>
      <w:r>
        <w:rPr>
          <w:rFonts w:cs="Arial" w:ascii="Arial" w:hAnsi="Arial"/>
          <w:sz w:val="24"/>
          <w:szCs w:val="24"/>
          <w:vertAlign w:val="subscript"/>
        </w:rPr>
        <w:t>a</w:t>
      </w:r>
      <w:r>
        <w:rPr>
          <w:rFonts w:cs="Arial" w:ascii="Arial" w:hAnsi="Arial"/>
          <w:sz w:val="24"/>
          <w:szCs w:val="24"/>
        </w:rPr>
        <w:t xml:space="preserve"> (25ºC) de 12,35 (INOUE et.al., 2011).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Segue a tabela de comparação entre as moléculas: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20"/>
        <w:gridCol w:w="4143"/>
        <w:gridCol w:w="2882"/>
      </w:tblGrid>
      <w:tr>
        <w:trPr/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14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Glicose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Galactose</w:t>
            </w:r>
          </w:p>
        </w:tc>
      </w:tr>
      <w:tr>
        <w:trPr/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ascii="Ubuntu" w:hAnsi="Ubuntu"/>
              </w:rPr>
              <w:t>ΔH - pm6</w:t>
            </w:r>
          </w:p>
        </w:tc>
        <w:tc>
          <w:tcPr>
            <w:tcW w:w="414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Liberation Serif" w:hAnsi="Liberation Serif" w:eastAsia="Noto Sans CJK SC" w:cs="Lohit Devanagari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" w:cs="Lohit Devanagari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1150.16207 KJ/MOL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Liberation Serif" w:hAnsi="Liberation Serif" w:eastAsia="Noto Sans CJK SC" w:cs="Lohit Devanagari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" w:cs="Lohit Devanagari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-1143.44269 KJ/MOL</w:t>
            </w:r>
          </w:p>
        </w:tc>
      </w:tr>
      <w:tr>
        <w:trPr/>
        <w:tc>
          <w:tcPr>
            <w:tcW w:w="16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ascii="Ubuntu" w:hAnsi="Ubuntu"/>
              </w:rPr>
              <w:t>ΔH - exp</w:t>
            </w:r>
          </w:p>
        </w:tc>
        <w:tc>
          <w:tcPr>
            <w:tcW w:w="41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</w:r>
          </w:p>
        </w:tc>
        <w:tc>
          <w:tcPr>
            <w:tcW w:w="28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Pka - pm6</w:t>
            </w:r>
          </w:p>
        </w:tc>
        <w:tc>
          <w:tcPr>
            <w:tcW w:w="41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288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Pka - exp</w:t>
            </w:r>
          </w:p>
        </w:tc>
        <w:tc>
          <w:tcPr>
            <w:tcW w:w="414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12,28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12,35</w:t>
            </w:r>
          </w:p>
        </w:tc>
      </w:tr>
      <w:tr>
        <w:trPr/>
        <w:tc>
          <w:tcPr>
            <w:tcW w:w="16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PI - </w:t>
            </w:r>
            <w:r>
              <w:rPr>
                <w:rFonts w:cs="Arial" w:ascii="Arial" w:hAnsi="Arial"/>
                <w:sz w:val="24"/>
                <w:szCs w:val="24"/>
              </w:rPr>
              <w:t>pm6</w:t>
            </w:r>
          </w:p>
        </w:tc>
        <w:tc>
          <w:tcPr>
            <w:tcW w:w="4143" w:type="dxa"/>
            <w:tcBorders>
              <w:top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10.419647 EV</w:t>
            </w:r>
          </w:p>
        </w:tc>
        <w:tc>
          <w:tcPr>
            <w:tcW w:w="2882" w:type="dxa"/>
            <w:tcBorders>
              <w:top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10.467837 EV</w:t>
            </w:r>
          </w:p>
        </w:tc>
      </w:tr>
      <w:tr>
        <w:trPr/>
        <w:tc>
          <w:tcPr>
            <w:tcW w:w="16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PI - </w:t>
            </w:r>
            <w:r>
              <w:rPr>
                <w:rFonts w:cs="Arial" w:ascii="Arial" w:hAnsi="Arial"/>
                <w:sz w:val="24"/>
                <w:szCs w:val="24"/>
              </w:rPr>
              <w:t>exp</w:t>
            </w:r>
          </w:p>
        </w:tc>
        <w:tc>
          <w:tcPr>
            <w:tcW w:w="4143" w:type="dxa"/>
            <w:tcBorders>
              <w:top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2" w:type="dxa"/>
            <w:tcBorders>
              <w:top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M - </w:t>
            </w:r>
            <w:r>
              <w:rPr>
                <w:rFonts w:cs="Arial" w:ascii="Arial" w:hAnsi="Arial"/>
                <w:sz w:val="24"/>
                <w:szCs w:val="24"/>
              </w:rPr>
              <w:t>pm6</w:t>
            </w:r>
          </w:p>
        </w:tc>
        <w:tc>
          <w:tcPr>
            <w:tcW w:w="4143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2.932</w:t>
            </w:r>
          </w:p>
        </w:tc>
        <w:tc>
          <w:tcPr>
            <w:tcW w:w="2882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1.381</w:t>
            </w:r>
          </w:p>
        </w:tc>
      </w:tr>
      <w:tr>
        <w:trPr/>
        <w:tc>
          <w:tcPr>
            <w:tcW w:w="16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M - exp</w:t>
            </w:r>
          </w:p>
        </w:tc>
        <w:tc>
          <w:tcPr>
            <w:tcW w:w="4143" w:type="dxa"/>
            <w:tcBorders>
              <w:top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82" w:type="dxa"/>
            <w:tcBorders>
              <w:top w:val="nil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Foi realizado em conjunto com esses testes o sinal infravermelho das moléculas, e obtemos o seguinte resultado: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5080" distL="0" distR="0">
            <wp:extent cx="4362450" cy="157670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>
          <w:color w:val="auto"/>
        </w:rPr>
        <w:t xml:space="preserve">Figura </w:t>
      </w:r>
      <w:r>
        <w:rPr>
          <w:color w:val="auto"/>
        </w:rPr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auto"/>
        </w:rPr>
        <w:t xml:space="preserve"> - Espectro IR - Glicose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6120130" cy="22117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color w:val="auto"/>
        </w:rPr>
      </w:pPr>
      <w:r>
        <w:rPr>
          <w:color w:val="auto"/>
        </w:rPr>
        <w:t>Figura 2 - Espectro IR – Galactose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fim geramos as imagens d</w:t>
      </w:r>
      <w:r>
        <w:rPr/>
        <w:t>o orbital molecular HOMO</w:t>
      </w:r>
      <w:r>
        <w:rPr/>
        <w:t xml:space="preserve">, segue abaixo a comparação: </w:t>
      </w:r>
    </w:p>
    <w:p>
      <w:pPr>
        <w:pStyle w:val="Normal"/>
        <w:rPr/>
      </w:pPr>
      <w:r>
        <w:rPr/>
        <w:drawing>
          <wp:inline distT="0" distB="0" distL="0" distR="0">
            <wp:extent cx="1886585" cy="2133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536" t="4025" r="39651" b="475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65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>
          <w:color w:val="auto"/>
        </w:rPr>
        <w:t xml:space="preserve">Figura 3 – </w:t>
      </w:r>
      <w:r>
        <w:rPr>
          <w:color w:val="auto"/>
        </w:rPr>
        <w:t>orbital molecular HOMO</w:t>
      </w:r>
      <w:r>
        <w:rPr>
          <w:color w:val="auto"/>
        </w:rPr>
        <w:t xml:space="preserve"> – Glicose</w:t>
      </w:r>
    </w:p>
    <w:p>
      <w:pPr>
        <w:pStyle w:val="Normal"/>
        <w:rPr/>
      </w:pPr>
      <w:r>
        <w:rPr/>
        <w:drawing>
          <wp:inline distT="0" distB="0" distL="0" distR="0">
            <wp:extent cx="2419350" cy="2041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945" t="34747" r="34525" b="18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>
          <w:color w:val="auto"/>
        </w:rPr>
        <w:t xml:space="preserve">Figura 4 – </w:t>
      </w:r>
      <w:r>
        <w:rPr>
          <w:color w:val="auto"/>
        </w:rPr>
        <w:t xml:space="preserve">orbital molecular HOMO </w:t>
      </w:r>
      <w:r>
        <w:rPr>
          <w:color w:val="auto"/>
        </w:rPr>
        <w:t>– Galactose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Enfim, a glicose e a galactose apresentam fórmulas químicas semelhantes, mas diferentes isomerias.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whit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white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  <w:highlight w:val="white"/>
        </w:rPr>
      </w:pPr>
      <w:r>
        <w:rPr/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bCs/>
          <w:sz w:val="24"/>
          <w:szCs w:val="24"/>
          <w:shd w:fill="FFFFFF" w:val="clear"/>
        </w:rPr>
        <w:t xml:space="preserve">Referências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ACOSTA, Phyllis B.; GROSS, Kenneth C. Hidden sources of galactose in the environment. 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>European journal of pediatrics</w:t>
      </w:r>
      <w:r>
        <w:rPr>
          <w:rFonts w:cs="Arial" w:ascii="Arial" w:hAnsi="Arial"/>
          <w:sz w:val="24"/>
          <w:szCs w:val="24"/>
          <w:shd w:fill="FFFFFF" w:val="clear"/>
        </w:rPr>
        <w:t>, v. 154, n. 2, p. S87-S92, 1995.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INOUE, Kadumi et al. HPLC separation of all aldopentoses and aldohexoses on an anion-exchange stationary phase prepared from polystyrene-based copolymer and diamine: The effect of NaOH eluent concentration. Molecules, v. 16, n. 7, p. 5905-5915, 2011.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FF" w:val="clear"/>
        </w:rPr>
        <w:t>LAI, Kent; ELSAS, Louis J .; WIERENGA, Klaas J. Toxicidade por galactose em animais. 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>Vida IUBMB</w:t>
      </w:r>
      <w:r>
        <w:rPr>
          <w:rFonts w:cs="Arial" w:ascii="Arial" w:hAnsi="Arial"/>
          <w:sz w:val="24"/>
          <w:szCs w:val="24"/>
          <w:shd w:fill="FFFFFF" w:val="clear"/>
        </w:rPr>
        <w:t> , v. 61, n. 11, pág. 1063-1074, 2009.</w:t>
      </w:r>
    </w:p>
    <w:p>
      <w:pPr>
        <w:pStyle w:val="Normal"/>
        <w:spacing w:lineRule="auto" w:line="360" w:before="0" w:after="200"/>
        <w:jc w:val="both"/>
        <w:rPr/>
      </w:pPr>
      <w:r>
        <w:rPr>
          <w:rFonts w:cs="Arial" w:ascii="Arial" w:hAnsi="Arial"/>
          <w:sz w:val="24"/>
          <w:szCs w:val="24"/>
          <w:shd w:fill="FFFFFF" w:val="clear"/>
        </w:rPr>
        <w:t>MACHADO, Ubiratan Fabres. Transportadores de glicose. 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>Arquivos Brasileiros de Endocrinologia &amp; Metabologia</w:t>
      </w:r>
      <w:r>
        <w:rPr>
          <w:rFonts w:cs="Arial" w:ascii="Arial" w:hAnsi="Arial"/>
          <w:sz w:val="24"/>
          <w:szCs w:val="24"/>
          <w:shd w:fill="FFFFFF" w:val="clear"/>
        </w:rPr>
        <w:t>, v. 42, n. 6, p. 413-421, 1998.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Ubuntu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lo-L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okChampa" w:asciiTheme="minorHAnsi" w:cstheme="minorBidi" w:eastAsiaTheme="minorHAnsi" w:hAnsiTheme="minorHAnsi"/>
        <w:sz w:val="22"/>
        <w:szCs w:val="22"/>
        <w:lang w:val="pt-BR" w:eastAsia="en-US" w:bidi="lo-L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okChampa" w:asciiTheme="minorHAnsi" w:cstheme="minorBidi" w:eastAsiaTheme="minorHAnsi" w:hAnsiTheme="minorHAnsi"/>
      <w:color w:val="auto"/>
      <w:kern w:val="0"/>
      <w:sz w:val="22"/>
      <w:szCs w:val="22"/>
      <w:lang w:val="pt-BR" w:eastAsia="en-US" w:bidi="lo-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700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51b0"/>
    <w:rPr>
      <w:b/>
      <w:bC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e5d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61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leContents" w:customStyle="1">
    <w:name w:val="Table Contents"/>
    <w:basedOn w:val="Normal"/>
    <w:qFormat/>
    <w:rsid w:val="008e5d28"/>
    <w:pPr>
      <w:suppressLineNumbers/>
      <w:spacing w:lineRule="auto" w:line="240" w:before="0" w:after="0"/>
    </w:pPr>
    <w:rPr>
      <w:rFonts w:ascii="Liberation Serif" w:hAnsi="Liberation Serif" w:eastAsia="Noto Sans CJK SC" w:cs="Lohit Devanagari"/>
      <w:kern w:val="2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e5d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8e5d2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e5d2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14D4A-EC52-445C-9177-E54902AB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Application>LibreOffice/6.0.7.3$Linux_X86_64 LibreOffice_project/00m0$Build-3</Application>
  <Pages>6</Pages>
  <Words>400</Words>
  <Characters>2217</Characters>
  <CharactersWithSpaces>2589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2020-12-06T23:24:00Z</dcterms:created>
  <dc:creator>Beatriz</dc:creator>
  <dc:description/>
  <dc:language>en-US</dc:language>
  <cp:lastModifiedBy/>
  <dcterms:modified xsi:type="dcterms:W3CDTF">2020-12-08T16:51:10Z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