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4"/>
          <w:szCs w:val="24"/>
        </w:rPr>
        <w:t xml:space="preserve">UNIVERSIDADE FEDERAL DO RIO DE JANEIRO</w:t>
      </w:r>
    </w:p>
    <w:p>
      <w:pPr>
        <w:spacing w:after="40"/>
        <w:jc w:val="center"/>
      </w:pPr>
      <w:r>
        <w:rPr>
          <w:rFonts w:ascii="Calibri" w:cs="Calibri" w:eastAsia="Calibri" w:hAnsi="Calibri"/>
          <w:sz w:val="22"/>
          <w:szCs w:val="22"/>
        </w:rPr>
        <w:t xml:space="preserve">INSTITUTO DE MATEMÁTICA — DEPARTAMENTO DE CIÊNCIA DA COMPUTAÇÃO</w:t>
      </w:r>
    </w:p>
    <w:p>
      <w:pPr>
        <w:spacing w:after="800"/>
        <w:jc w:val="center"/>
      </w:pPr>
      <w:r>
        <w:rPr>
          <w:rFonts w:ascii="Calibri" w:cs="Calibri" w:eastAsia="Calibri" w:hAnsi="Calibri"/>
          <w:color w:val="595959"/>
          <w:sz w:val="22"/>
          <w:szCs w:val="22"/>
        </w:rPr>
        <w:t xml:space="preserve">Disciplina: Banco de Dados  —  Prof. Milton</w:t>
      </w:r>
    </w:p>
    <w:p>
      <w:pPr>
        <w:spacing w:after="200" w:before="1400"/>
        <w:jc w:val="center"/>
      </w:pPr>
      <w:r>
        <w:rPr>
          <w:rFonts w:ascii="Calibri" w:cs="Calibri" w:eastAsia="Calibri" w:hAnsi="Calibri"/>
          <w:b/>
          <w:bCs/>
          <w:color w:val="1F3864"/>
          <w:sz w:val="40"/>
          <w:szCs w:val="40"/>
        </w:rPr>
        <w:t xml:space="preserve">CLOUD COMPUTING &amp; CLOUD STORAGES</w:t>
      </w:r>
    </w:p>
    <w:p>
      <w:pPr>
        <w:spacing w:after="1600"/>
        <w:jc w:val="center"/>
      </w:pPr>
      <w:r>
        <w:rPr>
          <w:rFonts w:ascii="Calibri" w:cs="Calibri" w:eastAsia="Calibri" w:hAnsi="Calibri"/>
          <w:i/>
          <w:iCs/>
          <w:color w:val="2E5395"/>
          <w:sz w:val="26"/>
          <w:szCs w:val="26"/>
        </w:rPr>
        <w:t xml:space="preserve">Estudo de Caso: Amazon Web Services (AWS)</w:t>
      </w:r>
    </w:p>
    <w:p>
      <w:pPr>
        <w:spacing w:after="120"/>
        <w:jc w:val="center"/>
      </w:pPr>
      <w:r>
        <w:rPr>
          <w:rFonts w:ascii="Calibri" w:cs="Calibri" w:eastAsia="Calibri" w:hAnsi="Calibri"/>
          <w:b/>
          <w:bCs/>
          <w:sz w:val="22"/>
          <w:szCs w:val="22"/>
        </w:rPr>
        <w:t xml:space="preserve">[GRUPO 3 / GRUPO 7 — substituir pelo número correto]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6800"/>
        <w:gridCol w:w="2200"/>
      </w:tblGrid>
      <w:tr>
        <w:trPr>
          <w:tblHeader/>
        </w:trPr>
        <w:tc>
          <w:tcPr>
            <w:tcW w:type="dxa" w:w="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6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Nome completo</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DRE</w:t>
            </w:r>
          </w:p>
        </w:tc>
      </w:tr>
      <w:tr>
        <w:tc>
          <w:tcPr>
            <w:tcW w:type="dxa" w:w="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6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completo do integrante 1]</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[DRE]</w:t>
            </w:r>
          </w:p>
        </w:tc>
      </w:tr>
      <w:tr>
        <w:tc>
          <w:tcPr>
            <w:tcW w:type="dxa" w:w="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6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completo do integrante 2]</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[DRE]</w:t>
            </w:r>
          </w:p>
        </w:tc>
      </w:tr>
      <w:tr>
        <w:tc>
          <w:tcPr>
            <w:tcW w:type="dxa" w:w="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6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completo do integrante 3]</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[DRE]</w:t>
            </w:r>
          </w:p>
        </w:tc>
      </w:tr>
      <w:tr>
        <w:tc>
          <w:tcPr>
            <w:tcW w:type="dxa" w:w="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6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completo do integrante 4]</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[DRE]</w:t>
            </w:r>
          </w:p>
        </w:tc>
      </w:tr>
      <w:tr>
        <w:tc>
          <w:tcPr>
            <w:tcW w:type="dxa" w:w="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6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completo do integrante 5]</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[DRE]</w:t>
            </w:r>
          </w:p>
        </w:tc>
      </w:tr>
    </w:tbl>
    <w:p>
      <w:pPr>
        <w:spacing w:after="40" w:before="1600"/>
        <w:jc w:val="center"/>
      </w:pPr>
      <w:r>
        <w:rPr>
          <w:rFonts w:ascii="Calibri" w:cs="Calibri" w:eastAsia="Calibri" w:hAnsi="Calibri"/>
          <w:sz w:val="22"/>
          <w:szCs w:val="22"/>
        </w:rPr>
        <w:t xml:space="preserve">Rio de Janeiro</w:t>
      </w:r>
    </w:p>
    <w:p>
      <w:pPr>
        <w:jc w:val="center"/>
      </w:pPr>
      <w:r>
        <w:rPr>
          <w:rFonts w:ascii="Calibri" w:cs="Calibri" w:eastAsia="Calibri" w:hAnsi="Calibri"/>
          <w:sz w:val="22"/>
          <w:szCs w:val="22"/>
        </w:rPr>
        <w:t xml:space="preserve">Agosto/Setembro de 2026</w:t>
      </w:r>
    </w:p>
    <w:p>
      <w:r>
        <w:br w:type="page"/>
      </w:r>
    </w:p>
    <w:p>
      <w:pPr>
        <w:pStyle w:val="Heading1"/>
        <w:spacing w:after="200" w:before="360"/>
      </w:pPr>
      <w:r>
        <w:t xml:space="preserve">Sumário</w:t>
      </w:r>
    </w:p>
    <w:p>
      <w:pPr>
        <w:spacing w:after="120"/>
      </w:pPr>
      <w:r>
        <w:rPr>
          <w:rFonts w:ascii="Calibri" w:cs="Calibri" w:eastAsia="Calibri" w:hAnsi="Calibri"/>
          <w:sz w:val="22"/>
          <w:szCs w:val="22"/>
        </w:rPr>
        <w:t xml:space="preserve">1. Resumo</w:t>
      </w:r>
    </w:p>
    <w:p>
      <w:pPr>
        <w:spacing w:after="120"/>
      </w:pPr>
      <w:r>
        <w:rPr>
          <w:rFonts w:ascii="Calibri" w:cs="Calibri" w:eastAsia="Calibri" w:hAnsi="Calibri"/>
          <w:sz w:val="22"/>
          <w:szCs w:val="22"/>
        </w:rPr>
        <w:t xml:space="preserve">2. Introdução</w:t>
      </w:r>
    </w:p>
    <w:p>
      <w:pPr>
        <w:spacing w:after="120"/>
      </w:pPr>
      <w:r>
        <w:rPr>
          <w:rFonts w:ascii="Calibri" w:cs="Calibri" w:eastAsia="Calibri" w:hAnsi="Calibri"/>
          <w:sz w:val="22"/>
          <w:szCs w:val="22"/>
        </w:rPr>
        <w:t xml:space="preserve">3. Conceito de Cloud Computing e Definição de Cloud Storage</w:t>
      </w:r>
    </w:p>
    <w:p>
      <w:pPr>
        <w:spacing w:after="120"/>
      </w:pPr>
      <w:r>
        <w:rPr>
          <w:rFonts w:ascii="Calibri" w:cs="Calibri" w:eastAsia="Calibri" w:hAnsi="Calibri"/>
          <w:sz w:val="22"/>
          <w:szCs w:val="22"/>
        </w:rPr>
        <w:t xml:space="preserve">4. Modelos de Serviço: IaaS, PaaS, SaaS, DBaaS e DWaaS</w:t>
      </w:r>
    </w:p>
    <w:p>
      <w:pPr>
        <w:spacing w:after="120"/>
      </w:pPr>
      <w:r>
        <w:rPr>
          <w:rFonts w:ascii="Calibri" w:cs="Calibri" w:eastAsia="Calibri" w:hAnsi="Calibri"/>
          <w:sz w:val="22"/>
          <w:szCs w:val="22"/>
        </w:rPr>
        <w:t xml:space="preserve">5. Tipos de Nuvem: Pública, Privada e Híbrida</w:t>
      </w:r>
    </w:p>
    <w:p>
      <w:pPr>
        <w:spacing w:after="120"/>
      </w:pPr>
      <w:r>
        <w:rPr>
          <w:rFonts w:ascii="Calibri" w:cs="Calibri" w:eastAsia="Calibri" w:hAnsi="Calibri"/>
          <w:sz w:val="22"/>
          <w:szCs w:val="22"/>
        </w:rPr>
        <w:t xml:space="preserve">6. Características Fundamentais da Computação em Nuvem</w:t>
      </w:r>
    </w:p>
    <w:p>
      <w:pPr>
        <w:spacing w:after="120"/>
      </w:pPr>
      <w:r>
        <w:rPr>
          <w:rFonts w:ascii="Calibri" w:cs="Calibri" w:eastAsia="Calibri" w:hAnsi="Calibri"/>
          <w:sz w:val="22"/>
          <w:szCs w:val="22"/>
        </w:rPr>
        <w:t xml:space="preserve">7. Estudo de Caso: Amazon Web Services (AWS)</w:t>
      </w:r>
    </w:p>
    <w:p>
      <w:pPr>
        <w:spacing w:after="120"/>
      </w:pPr>
      <w:r>
        <w:rPr>
          <w:rFonts w:ascii="Calibri" w:cs="Calibri" w:eastAsia="Calibri" w:hAnsi="Calibri"/>
          <w:sz w:val="22"/>
          <w:szCs w:val="22"/>
        </w:rPr>
        <w:t xml:space="preserve">8. Estudo de Custo: Armazenamento e Processamento de 3,5 Petabytes na AWS</w:t>
      </w:r>
    </w:p>
    <w:p>
      <w:pPr>
        <w:spacing w:after="120"/>
      </w:pPr>
      <w:r>
        <w:rPr>
          <w:rFonts w:ascii="Calibri" w:cs="Calibri" w:eastAsia="Calibri" w:hAnsi="Calibri"/>
          <w:sz w:val="22"/>
          <w:szCs w:val="22"/>
        </w:rPr>
        <w:t xml:space="preserve">9. Conclusão</w:t>
      </w:r>
    </w:p>
    <w:p>
      <w:pPr>
        <w:spacing w:after="120"/>
      </w:pPr>
      <w:r>
        <w:rPr>
          <w:rFonts w:ascii="Calibri" w:cs="Calibri" w:eastAsia="Calibri" w:hAnsi="Calibri"/>
          <w:sz w:val="22"/>
          <w:szCs w:val="22"/>
        </w:rPr>
        <w:t xml:space="preserve">10. Post-Mortem — Uso de Assistente de IA Generativa</w:t>
      </w:r>
    </w:p>
    <w:p>
      <w:pPr>
        <w:spacing w:after="120"/>
      </w:pPr>
      <w:r>
        <w:rPr>
          <w:rFonts w:ascii="Calibri" w:cs="Calibri" w:eastAsia="Calibri" w:hAnsi="Calibri"/>
          <w:sz w:val="22"/>
          <w:szCs w:val="22"/>
        </w:rPr>
        <w:t xml:space="preserve">11. Referências Bibliográficas</w:t>
      </w:r>
    </w:p>
    <w:p>
      <w:r>
        <w:br w:type="page"/>
      </w:r>
    </w:p>
    <w:p>
      <w:pPr>
        <w:pStyle w:val="Heading1"/>
        <w:spacing w:after="200" w:before="360"/>
      </w:pPr>
      <w:r>
        <w:t xml:space="preserve">1. Resumo</w:t>
      </w:r>
    </w:p>
    <w:p>
      <w:pPr>
        <w:spacing w:after="160" w:line="300"/>
        <w:jc w:val="both"/>
      </w:pPr>
      <w:r>
        <w:rPr>
          <w:rFonts w:ascii="Calibri" w:cs="Calibri" w:eastAsia="Calibri" w:hAnsi="Calibri"/>
          <w:sz w:val="22"/>
          <w:szCs w:val="22"/>
        </w:rPr>
        <w:t xml:space="preserve">Este trabalho apresenta um estudo sobre Cloud Computing e Cloud Storage, com foco no provedor Amazon Web Services (AWS). São discutidos os conceitos fundamentais de computação em nuvem, os modelos de serviço (IaaS, PaaS, SaaS, DBaaS e DWaaS), os tipos de implantação de nuvem (pública, privada e híbrida) e as características essenciais desse paradigma — acessibilidade, disponibilidade, latência, escalabilidade, confiabilidade, segurança e custo. Em seguida, detalham-se os principais serviços de computação, armazenamento e banco de dados oferecidos pela AWS (EC2; S3, EBS e Glacier; RDS, Aurora, DynamoDB e Redshift). Por fim, é apresentado um estudo de custo estimando o valor de armazenar e processar uma base de dados de 3,5 Petabytes na AWS, discutindo vantagens e desvantagens dessa escolha. O trabalho foi produzido com apoio de um assistente de Inteligência Artificial generativa (Claude, da Anthropic), conforme autorizado pelo enunciado da tarefa, e inclui um relatório Post-Mortem detalhando o uso dessa ferramenta.</w:t>
      </w:r>
    </w:p>
    <w:p>
      <w:pPr>
        <w:pStyle w:val="Heading1"/>
        <w:spacing w:after="200" w:before="360"/>
      </w:pPr>
      <w:r>
        <w:t xml:space="preserve">2. Introdução</w:t>
      </w:r>
    </w:p>
    <w:p>
      <w:pPr>
        <w:spacing w:after="160" w:line="300"/>
        <w:jc w:val="both"/>
      </w:pPr>
      <w:r>
        <w:rPr>
          <w:rFonts w:ascii="Calibri" w:cs="Calibri" w:eastAsia="Calibri" w:hAnsi="Calibri"/>
          <w:sz w:val="22"/>
          <w:szCs w:val="22"/>
        </w:rPr>
        <w:t xml:space="preserve">A computação em nuvem (cloud computing) transformou profundamente a forma como empresas e indivíduos armazenam dados e executam aplicações. Em vez de adquirir e manter infraestrutura física própria — servidores, discos, redes e centros de dados —, é possível contratar sob demanda recursos computacionais oferecidos por terceiros, pagando apenas pelo que é efetivamente utilizado. Esse modelo reduz custos de capital (CAPEX), converte gastos em despesas operacionais (OPEX) e oferece elasticidade praticamente instantânea para lidar com picos de demanda.</w:t>
      </w:r>
    </w:p>
    <w:p>
      <w:pPr>
        <w:spacing w:after="160" w:line="300"/>
        <w:jc w:val="both"/>
      </w:pPr>
      <w:r>
        <w:rPr>
          <w:rFonts w:ascii="Calibri" w:cs="Calibri" w:eastAsia="Calibri" w:hAnsi="Calibri"/>
          <w:sz w:val="22"/>
          <w:szCs w:val="22"/>
        </w:rPr>
        <w:t xml:space="preserve">Do ponto de vista de Sistemas de Banco de Dados, a nuvem é particularmente relevante porque viabiliza o armazenamento e o processamento de volumes de dados que seriam inviáveis — técnica e financeiramente — em infraestrutura local, além de oferecer serviços gerenciados de banco de dados (DBaaS) e de data warehouse (DWaaS) que eliminam grande parte do trabalho operacional de administração (backups, replicação, patching, tuning).</w:t>
      </w:r>
    </w:p>
    <w:p>
      <w:pPr>
        <w:spacing w:after="160" w:line="300"/>
        <w:jc w:val="both"/>
      </w:pPr>
      <w:r>
        <w:rPr>
          <w:rFonts w:ascii="Calibri" w:cs="Calibri" w:eastAsia="Calibri" w:hAnsi="Calibri"/>
          <w:sz w:val="22"/>
          <w:szCs w:val="22"/>
        </w:rPr>
        <w:t xml:space="preserve">Neste trabalho, o grupo optou pelo estudo da Amazon Web Services (AWS), pioneira e uma das líderes do mercado de nuvem pública, para ilustrar de forma concreta os conceitos apresentados. O texto está organizado da seguinte forma: a Seção 3 define Cloud Computing e Cloud Storage; a Seção 4 descreve os modelos de serviço; a Seção 5 trata dos tipos de nuvem; a Seção 6 discute as características fundamentais do paradigma; a Seção 7 apresenta o estudo de caso da AWS; a Seção 8 traz uma análise de custo para uma base de 3,5 PB; a Seção 9 conclui o trabalho; e a Seção 10 apresenta o relatório Post-Mortem sobre o uso de IA generativa exigido pelo enunciado.</w:t>
      </w:r>
    </w:p>
    <w:p>
      <w:pPr>
        <w:pStyle w:val="Heading1"/>
        <w:spacing w:after="200" w:before="360"/>
      </w:pPr>
      <w:r>
        <w:t xml:space="preserve">3. Conceito de Cloud Computing e Definição de Cloud Storage</w:t>
      </w:r>
    </w:p>
    <w:p>
      <w:pPr>
        <w:spacing w:after="160" w:line="300"/>
        <w:jc w:val="both"/>
      </w:pPr>
      <w:r>
        <w:rPr>
          <w:rFonts w:ascii="Calibri" w:cs="Calibri" w:eastAsia="Calibri" w:hAnsi="Calibri"/>
          <w:sz w:val="22"/>
          <w:szCs w:val="22"/>
        </w:rPr>
        <w:t xml:space="preserve">Cloud Computing (computação em nuvem) pode ser definida, segundo o NIST (National Institute of Standards and Technology), como um modelo que permite acesso de rede sob demanda, a um conjunto compartilhado de recursos computacionais configuráveis — como redes, servidores, armazenamento, aplicações e serviços —, que podem ser rapidamente provisionados e liberados com esforço mínimo de gerenciamento ou interação com o provedor. Cinco características costumam ser associadas a esse modelo: autoatendimento sob demanda, amplo acesso via rede, pool de recursos compartilhado (multi-tenant), elasticidade rápida e serviço mensurável (pay-as-you-go).</w:t>
      </w:r>
    </w:p>
    <w:p>
      <w:pPr>
        <w:spacing w:after="160" w:line="300"/>
        <w:jc w:val="both"/>
      </w:pPr>
      <w:r>
        <w:rPr>
          <w:rFonts w:ascii="Calibri" w:cs="Calibri" w:eastAsia="Calibri" w:hAnsi="Calibri"/>
          <w:sz w:val="22"/>
          <w:szCs w:val="22"/>
        </w:rPr>
        <w:t xml:space="preserve">Cloud Storage (armazenamento em nuvem) é o subconjunto da computação em nuvem responsável por armazenar dados em servidores remotos, geralmente replicados em múltiplos discos e, muitas vezes, em múltiplas zonas de disponibilidade ou regiões geográficas, sendo acessados pela Internet por meio de APIs. Diferentemente do armazenamento local (discos e storages on-premises), o armazenamento em nuvem abstrai a infraestrutura física: o cliente não sabe (nem precisa saber) em qual disco físico seus dados residem, apenas contrata uma capacidade e uma classe de serviço com determinadas garantias de durabilidade, disponibilidade e desempenho.</w:t>
      </w:r>
    </w:p>
    <w:p>
      <w:pPr>
        <w:pStyle w:val="Heading1"/>
        <w:spacing w:after="200" w:before="360"/>
      </w:pPr>
      <w:r>
        <w:t xml:space="preserve">4. Modelos de Serviço: IaaS, PaaS, SaaS, DBaaS e DWaaS</w:t>
      </w:r>
    </w:p>
    <w:p>
      <w:pPr>
        <w:spacing w:after="160" w:line="300"/>
        <w:jc w:val="both"/>
      </w:pPr>
      <w:r>
        <w:rPr>
          <w:rFonts w:ascii="Calibri" w:cs="Calibri" w:eastAsia="Calibri" w:hAnsi="Calibri"/>
          <w:sz w:val="22"/>
          <w:szCs w:val="22"/>
        </w:rPr>
        <w:t xml:space="preserve">Os provedores de nuvem oferecem diferentes camadas de abstração, que determinam o quanto da infraestrutura fica sob responsabilidade do cliente e o quanto fica sob responsabilidade do provedor:</w:t>
      </w:r>
    </w:p>
    <w:p>
      <w:pPr>
        <w:pStyle w:val="ListParagraph"/>
        <w:numPr>
          <w:ilvl w:val="0"/>
          <w:numId w:val="2"/>
        </w:numPr>
        <w:spacing w:after="90" w:line="280"/>
      </w:pPr>
      <w:r>
        <w:rPr>
          <w:rFonts w:ascii="Calibri" w:cs="Calibri" w:eastAsia="Calibri" w:hAnsi="Calibri"/>
          <w:sz w:val="22"/>
          <w:szCs w:val="22"/>
        </w:rPr>
        <w:t xml:space="preserve">IaaS (Infrastructure as a Service) — o provedor entrega a infraestrutura básica (máquinas virtuais, redes, discos), e o cliente é responsável por instalar e gerenciar sistema operacional, middleware e aplicações. Exemplo: Amazon EC2.</w:t>
      </w:r>
    </w:p>
    <w:p>
      <w:pPr>
        <w:pStyle w:val="ListParagraph"/>
        <w:numPr>
          <w:ilvl w:val="0"/>
          <w:numId w:val="2"/>
        </w:numPr>
        <w:spacing w:after="90" w:line="280"/>
      </w:pPr>
      <w:r>
        <w:rPr>
          <w:rFonts w:ascii="Calibri" w:cs="Calibri" w:eastAsia="Calibri" w:hAnsi="Calibri"/>
          <w:sz w:val="22"/>
          <w:szCs w:val="22"/>
        </w:rPr>
        <w:t xml:space="preserve">PaaS (Platform as a Service) — o provedor entrega uma plataforma pronta para desenvolvimento e execução de aplicações (runtime, bibliotecas, ferramentas), cabendo ao cliente apenas o código da aplicação. Exemplo: AWS Elastic Beanstalk.</w:t>
      </w:r>
    </w:p>
    <w:p>
      <w:pPr>
        <w:pStyle w:val="ListParagraph"/>
        <w:numPr>
          <w:ilvl w:val="0"/>
          <w:numId w:val="2"/>
        </w:numPr>
        <w:spacing w:after="90" w:line="280"/>
      </w:pPr>
      <w:r>
        <w:rPr>
          <w:rFonts w:ascii="Calibri" w:cs="Calibri" w:eastAsia="Calibri" w:hAnsi="Calibri"/>
          <w:sz w:val="22"/>
          <w:szCs w:val="22"/>
        </w:rPr>
        <w:t xml:space="preserve">SaaS (Software as a Service) — o provedor entrega o software pronto para uso final, via navegador ou aplicativo, sem que o cliente gerencie qualquer camada de infraestrutura. Exemplo: Gmail, Microsoft 365.</w:t>
      </w:r>
    </w:p>
    <w:p>
      <w:pPr>
        <w:pStyle w:val="ListParagraph"/>
        <w:numPr>
          <w:ilvl w:val="0"/>
          <w:numId w:val="2"/>
        </w:numPr>
        <w:spacing w:after="90" w:line="280"/>
      </w:pPr>
      <w:r>
        <w:rPr>
          <w:rFonts w:ascii="Calibri" w:cs="Calibri" w:eastAsia="Calibri" w:hAnsi="Calibri"/>
          <w:sz w:val="22"/>
          <w:szCs w:val="22"/>
        </w:rPr>
        <w:t xml:space="preserve">DBaaS (Database as a Service) — modelo especializado em que o provedor gerencia integralmente a operação de um banco de dados (instalação, backup, replicação, failover, patches), deixando ao cliente apenas o modelo de dados e as consultas. Exemplo: Amazon RDS.</w:t>
      </w:r>
    </w:p>
    <w:p>
      <w:pPr>
        <w:pStyle w:val="ListParagraph"/>
        <w:numPr>
          <w:ilvl w:val="0"/>
          <w:numId w:val="2"/>
        </w:numPr>
        <w:spacing w:after="90" w:line="280"/>
      </w:pPr>
      <w:r>
        <w:rPr>
          <w:rFonts w:ascii="Calibri" w:cs="Calibri" w:eastAsia="Calibri" w:hAnsi="Calibri"/>
          <w:sz w:val="22"/>
          <w:szCs w:val="22"/>
        </w:rPr>
        <w:t xml:space="preserve">DWaaS (Data Warehouse as a Service) — variação do DBaaS voltada para cargas analíticas (OLAP) de grande volume, com armazenamento colunar, processamento massivamente paralelo (MPP) e integração nativa com ferramentas de BI. Exemplo: Amazon Redshift.</w:t>
      </w:r>
    </w:p>
    <w:p>
      <w:pPr>
        <w:spacing w:after="160" w:line="300"/>
        <w:jc w:val="both"/>
      </w:pPr>
      <w:r>
        <w:rPr>
          <w:rFonts w:ascii="Calibri" w:cs="Calibri" w:eastAsia="Calibri" w:hAnsi="Calibri"/>
          <w:sz w:val="22"/>
          <w:szCs w:val="22"/>
        </w:rPr>
        <w:t xml:space="preserve">A Tabela 1 resume a divisão de responsabilidades entre cliente e provedor em cada modelo.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800"/>
        <w:gridCol w:w="2000"/>
      </w:tblGrid>
      <w:tr>
        <w:trPr>
          <w:tblHeader/>
        </w:trPr>
        <w:tc>
          <w:tcPr>
            <w:tcW w:type="dxa" w:w="2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Camada</w:t>
            </w:r>
          </w:p>
        </w:tc>
        <w:tc>
          <w:tcPr>
            <w:tcW w:type="dxa" w:w="1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IaaS</w:t>
            </w:r>
          </w:p>
        </w:tc>
        <w:tc>
          <w:tcPr>
            <w:tcW w:type="dxa" w:w="1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PaaS</w:t>
            </w:r>
          </w:p>
        </w:tc>
        <w:tc>
          <w:tcPr>
            <w:tcW w:type="dxa" w:w="1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SaaS</w:t>
            </w:r>
          </w:p>
        </w:tc>
        <w:tc>
          <w:tcPr>
            <w:tcW w:type="dxa" w:w="20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DBaaS/DWaaS</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Aplicação</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Cliente</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Cliente</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2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Cliente (consultas)</w:t>
            </w:r>
          </w:p>
        </w:tc>
      </w:tr>
      <w:tr>
        <w:tc>
          <w:tcPr>
            <w:tcW w:type="dxa" w:w="26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Dados / Runtime</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Cliente</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2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SO / Middleware</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Cliente</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2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r>
      <w:tr>
        <w:tc>
          <w:tcPr>
            <w:tcW w:type="dxa" w:w="26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Virtualização / Infra</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c>
          <w:tcPr>
            <w:tcW w:type="dxa" w:w="2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Provedor</w:t>
            </w:r>
          </w:p>
        </w:tc>
      </w:tr>
    </w:tbl>
    <w:p>
      <w:pPr>
        <w:spacing w:after="240" w:before="60"/>
        <w:jc w:val="center"/>
      </w:pPr>
      <w:r>
        <w:rPr>
          <w:rFonts w:ascii="Calibri" w:cs="Calibri" w:eastAsia="Calibri" w:hAnsi="Calibri"/>
          <w:i/>
          <w:iCs/>
          <w:color w:val="595959"/>
          <w:sz w:val="18"/>
          <w:szCs w:val="18"/>
        </w:rPr>
        <w:t xml:space="preserve">Tabela 1 — Responsabilidades por modelo de serviço em nuvem.</w:t>
      </w:r>
    </w:p>
    <w:p>
      <w:pPr>
        <w:pStyle w:val="Heading1"/>
        <w:spacing w:after="200" w:before="360"/>
      </w:pPr>
      <w:r>
        <w:t xml:space="preserve">5. Tipos de Nuvem: Pública, Privada e Híbrida</w:t>
      </w:r>
    </w:p>
    <w:p>
      <w:pPr>
        <w:spacing w:after="160" w:line="300"/>
        <w:jc w:val="both"/>
      </w:pPr>
      <w:r>
        <w:rPr>
          <w:rFonts w:ascii="Calibri" w:cs="Calibri" w:eastAsia="Calibri" w:hAnsi="Calibri"/>
          <w:b/>
          <w:bCs/>
          <w:sz w:val="22"/>
          <w:szCs w:val="22"/>
        </w:rPr>
        <w:t xml:space="preserve">Nuvem pública: </w:t>
      </w:r>
      <w:r>
        <w:rPr>
          <w:rFonts w:ascii="Calibri" w:cs="Calibri" w:eastAsia="Calibri" w:hAnsi="Calibri"/>
          <w:sz w:val="22"/>
          <w:szCs w:val="22"/>
        </w:rPr>
        <w:t xml:space="preserve">infraestrutura de propriedade de um provedor terceirizado (ex.: AWS, Azure, GCP), compartilhada entre múltiplos clientes (multi-tenant), acessada via Internet. Vantagens: baixo custo inicial, elasticidade, ampla gama de serviços gerenciados. Desvantagens: menor controle sobre a infraestrutura física e potenciais preocupações de conformidade regulatória em setores sensíveis.</w:t>
      </w:r>
    </w:p>
    <w:p>
      <w:pPr>
        <w:spacing w:after="160" w:line="300"/>
        <w:jc w:val="both"/>
      </w:pPr>
      <w:r>
        <w:rPr>
          <w:rFonts w:ascii="Calibri" w:cs="Calibri" w:eastAsia="Calibri" w:hAnsi="Calibri"/>
          <w:b/>
          <w:bCs/>
          <w:sz w:val="22"/>
          <w:szCs w:val="22"/>
        </w:rPr>
        <w:t xml:space="preserve">Nuvem privada: </w:t>
      </w:r>
      <w:r>
        <w:rPr>
          <w:rFonts w:ascii="Calibri" w:cs="Calibri" w:eastAsia="Calibri" w:hAnsi="Calibri"/>
          <w:sz w:val="22"/>
          <w:szCs w:val="22"/>
        </w:rPr>
        <w:t xml:space="preserve">infraestrutura dedicada a uma única organização, hospedada no próprio data center ou por um provedor terceirizado, mas de uso exclusivo. Vantagens: maior controle, isolamento e customização de segurança. Desvantagens: custo de capital mais alto e menor elasticidade quando comparada à nuvem pública.</w:t>
      </w:r>
    </w:p>
    <w:p>
      <w:pPr>
        <w:spacing w:after="160" w:line="300"/>
        <w:jc w:val="both"/>
      </w:pPr>
      <w:r>
        <w:rPr>
          <w:rFonts w:ascii="Calibri" w:cs="Calibri" w:eastAsia="Calibri" w:hAnsi="Calibri"/>
          <w:b/>
          <w:bCs/>
          <w:sz w:val="22"/>
          <w:szCs w:val="22"/>
        </w:rPr>
        <w:t xml:space="preserve">Nuvem híbrida: </w:t>
      </w:r>
      <w:r>
        <w:rPr>
          <w:rFonts w:ascii="Calibri" w:cs="Calibri" w:eastAsia="Calibri" w:hAnsi="Calibri"/>
          <w:sz w:val="22"/>
          <w:szCs w:val="22"/>
        </w:rPr>
        <w:t xml:space="preserve">combinação de nuvem pública e privada (ou infraestrutura on-premises), com orquestração e portabilidade de dados/aplicações entre os dois ambientes. É comum, por exemplo, manter dados sensíveis em nuvem privada e usar a nuvem pública para picos de processamento (cloud bursting) ou para cargas analíticas menos sensíveis.</w:t>
      </w:r>
    </w:p>
    <w:p>
      <w:pPr>
        <w:pStyle w:val="Heading1"/>
        <w:spacing w:after="200" w:before="360"/>
      </w:pPr>
      <w:r>
        <w:t xml:space="preserve">6. Características Fundamentais da Computação em Nuvem</w:t>
      </w:r>
    </w:p>
    <w:p>
      <w:pPr>
        <w:spacing w:after="160" w:line="300"/>
        <w:jc w:val="both"/>
      </w:pPr>
      <w:r>
        <w:rPr>
          <w:rFonts w:ascii="Calibri" w:cs="Calibri" w:eastAsia="Calibri" w:hAnsi="Calibri"/>
          <w:sz w:val="22"/>
          <w:szCs w:val="22"/>
        </w:rPr>
        <w:t xml:space="preserve">Para avaliar e comparar provedores e serviços de nuvem, alguns atributos são especialmente relevantes:</w:t>
      </w:r>
    </w:p>
    <w:p>
      <w:pPr>
        <w:pStyle w:val="Heading3"/>
        <w:spacing w:after="120" w:before="200"/>
      </w:pPr>
      <w:r>
        <w:t xml:space="preserve">6.1 Acessibilidade e Disponibilidade</w:t>
      </w:r>
    </w:p>
    <w:p>
      <w:pPr>
        <w:spacing w:after="160" w:line="300"/>
        <w:jc w:val="both"/>
      </w:pPr>
      <w:r>
        <w:rPr>
          <w:rFonts w:ascii="Calibri" w:cs="Calibri" w:eastAsia="Calibri" w:hAnsi="Calibri"/>
          <w:sz w:val="22"/>
          <w:szCs w:val="22"/>
        </w:rPr>
        <w:t xml:space="preserve">Acessibilidade refere-se à facilidade de acesso aos recursos a partir de qualquer lugar com conexão à Internet, por meio de APIs, consoles web, linhas de comando e SDKs. Disponibilidade (availability) é medida em porcentagem de tempo em que o serviço permanece operacional, geralmente expressa em SLA (Service Level Agreement) — por exemplo, 99,99% de disponibilidade equivale a pouco mais de 52 minutos de indisponibilidade tolerada por ano.</w:t>
      </w:r>
    </w:p>
    <w:p>
      <w:pPr>
        <w:pStyle w:val="Heading3"/>
        <w:spacing w:after="120" w:before="200"/>
      </w:pPr>
      <w:r>
        <w:t xml:space="preserve">6.2 Latência</w:t>
      </w:r>
    </w:p>
    <w:p>
      <w:pPr>
        <w:spacing w:after="160" w:line="300"/>
        <w:jc w:val="both"/>
      </w:pPr>
      <w:r>
        <w:rPr>
          <w:rFonts w:ascii="Calibri" w:cs="Calibri" w:eastAsia="Calibri" w:hAnsi="Calibri"/>
          <w:sz w:val="22"/>
          <w:szCs w:val="22"/>
        </w:rPr>
        <w:t xml:space="preserve">Latência é o tempo de resposta entre uma requisição e o recebimento dos dados. Depende da distância física até a região/zona de disponibilidade escolhida, do tipo de rede utilizada e da classe de armazenamento (por exemplo, dados em Glacier Deep Archive levam de 12 a 48 horas para serem recuperados, enquanto dados em S3 Standard estão disponíveis em milissegundos).</w:t>
      </w:r>
    </w:p>
    <w:p>
      <w:pPr>
        <w:pStyle w:val="Heading3"/>
        <w:spacing w:after="120" w:before="200"/>
      </w:pPr>
      <w:r>
        <w:t xml:space="preserve">6.3 Escalabilidade</w:t>
      </w:r>
    </w:p>
    <w:p>
      <w:pPr>
        <w:spacing w:after="160" w:line="300"/>
        <w:jc w:val="both"/>
      </w:pPr>
      <w:r>
        <w:rPr>
          <w:rFonts w:ascii="Calibri" w:cs="Calibri" w:eastAsia="Calibri" w:hAnsi="Calibri"/>
          <w:sz w:val="22"/>
          <w:szCs w:val="22"/>
        </w:rPr>
        <w:t xml:space="preserve">Escalabilidade é a capacidade de aumentar (scale up/out) ou reduzir (scale down/in) recursos computacionais de forma dinâmica, de acordo com a demanda, sem interrupção do serviço. Pode ser vertical (aumentar a capacidade de uma máquina) ou horizontal (adicionar mais máquinas).</w:t>
      </w:r>
    </w:p>
    <w:p>
      <w:pPr>
        <w:pStyle w:val="Heading3"/>
        <w:spacing w:after="120" w:before="200"/>
      </w:pPr>
      <w:r>
        <w:t xml:space="preserve">6.4 Confiabilidade e Durabilidade</w:t>
      </w:r>
    </w:p>
    <w:p>
      <w:pPr>
        <w:spacing w:after="160" w:line="300"/>
        <w:jc w:val="both"/>
      </w:pPr>
      <w:r>
        <w:rPr>
          <w:rFonts w:ascii="Calibri" w:cs="Calibri" w:eastAsia="Calibri" w:hAnsi="Calibri"/>
          <w:sz w:val="22"/>
          <w:szCs w:val="22"/>
        </w:rPr>
        <w:t xml:space="preserve">Confiabilidade envolve a capacidade do sistema de operar corretamente e se recuperar de falhas, geralmente por meio de redundância (múltiplas cópias dos dados em diferentes discos, zonas e, eventualmente, regiões). A durabilidade dos dados no Amazon S3 Standard, por exemplo, é de 99,999999999% (11 noves), o que significa uma probabilidade extremamente baixa de perda de um objeto armazenado.</w:t>
      </w:r>
    </w:p>
    <w:p>
      <w:pPr>
        <w:pStyle w:val="Heading3"/>
        <w:spacing w:after="120" w:before="200"/>
      </w:pPr>
      <w:r>
        <w:t xml:space="preserve">6.5 Segurança</w:t>
      </w:r>
    </w:p>
    <w:p>
      <w:pPr>
        <w:spacing w:after="160" w:line="300"/>
        <w:jc w:val="both"/>
      </w:pPr>
      <w:r>
        <w:rPr>
          <w:rFonts w:ascii="Calibri" w:cs="Calibri" w:eastAsia="Calibri" w:hAnsi="Calibri"/>
          <w:sz w:val="22"/>
          <w:szCs w:val="22"/>
        </w:rPr>
        <w:t xml:space="preserve">Segurança em nuvem envolve criptografia de dados em trânsito e em repouso, controle de acesso baseado em identidade (IAM), segmentação de rede (VPCs), auditoria (logs de acesso) e conformidade com normas e regulamentações (LGPD, GDPR, ISO 27001, entre outras). É importante destacar o modelo de responsabilidade compartilhada: o provedor é responsável pela segurança da nuvem (infraestrutura física, virtualização), enquanto o cliente é responsável pela segurança na nuvem (configuração de permissões, criptografia de dados próprios, gestão de credenciais).</w:t>
      </w:r>
    </w:p>
    <w:p>
      <w:pPr>
        <w:pStyle w:val="Heading3"/>
        <w:spacing w:after="120" w:before="200"/>
      </w:pPr>
      <w:r>
        <w:t xml:space="preserve">6.6 Custo</w:t>
      </w:r>
    </w:p>
    <w:p>
      <w:pPr>
        <w:spacing w:after="160" w:line="300"/>
        <w:jc w:val="both"/>
      </w:pPr>
      <w:r>
        <w:rPr>
          <w:rFonts w:ascii="Calibri" w:cs="Calibri" w:eastAsia="Calibri" w:hAnsi="Calibri"/>
          <w:sz w:val="22"/>
          <w:szCs w:val="22"/>
        </w:rPr>
        <w:t xml:space="preserve">O modelo de custo em nuvem é tipicamente pay-as-you-go (paga-se pelo uso), com cobrança granular por diversas dimensões — armazenamento, computação, número de requisições, transferência de dados (egress), entre outras. Isso elimina investimento inicial em hardware, mas exige monitoramento constante (FinOps) para evitar surpresas na fatura, especialmente em cargas de grande volume, como será discutido na Seção 8.</w:t>
      </w:r>
    </w:p>
    <w:p>
      <w:r>
        <w:br w:type="page"/>
      </w:r>
    </w:p>
    <w:p>
      <w:pPr>
        <w:pStyle w:val="Heading1"/>
        <w:spacing w:after="200" w:before="360"/>
      </w:pPr>
      <w:r>
        <w:t xml:space="preserve">7. Estudo de Caso: Amazon Web Services (AWS)</w:t>
      </w:r>
    </w:p>
    <w:p>
      <w:pPr>
        <w:spacing w:after="160" w:line="300"/>
        <w:jc w:val="both"/>
      </w:pPr>
      <w:r>
        <w:rPr>
          <w:rFonts w:ascii="Calibri" w:cs="Calibri" w:eastAsia="Calibri" w:hAnsi="Calibri"/>
          <w:sz w:val="22"/>
          <w:szCs w:val="22"/>
        </w:rPr>
        <w:t xml:space="preserve">A Amazon Web Services (AWS), lançada em 2006, é atualmente uma das maiores e mais completas plataformas de nuvem pública do mundo, oferecendo mais de 200 serviços em áreas como computação, armazenamento, bancos de dados, redes, machine learning, analytics e IoT. A seguir, descrevem-se os serviços indicados no roteiro da tarefa.</w:t>
      </w:r>
    </w:p>
    <w:p>
      <w:pPr>
        <w:pStyle w:val="Heading2"/>
        <w:spacing w:after="160" w:before="280"/>
      </w:pPr>
      <w:r>
        <w:t xml:space="preserve">7.1 Computação — Amazon EC2</w:t>
      </w:r>
    </w:p>
    <w:p>
      <w:pPr>
        <w:spacing w:after="160" w:line="300"/>
        <w:jc w:val="both"/>
      </w:pPr>
      <w:r>
        <w:rPr>
          <w:rFonts w:ascii="Calibri" w:cs="Calibri" w:eastAsia="Calibri" w:hAnsi="Calibri"/>
          <w:sz w:val="22"/>
          <w:szCs w:val="22"/>
        </w:rPr>
        <w:t xml:space="preserve">O Amazon EC2 (Elastic Compute Cloud) é o serviço de IaaS da AWS que fornece capacidade de processamento sob demanda por meio de máquinas virtuais (instâncias). O usuário escolhe o tipo de instância (otimizada para uso geral, computação, memória, GPU, etc.), o sistema operacional e a capacidade de armazenamento associada, podendo escalar horizontalmente (Auto Scaling) e balancear carga entre instâncias (Elastic Load Balancing). Os modelos de contratação incluem instâncias sob demanda (On-Demand), reservadas (Reserved Instances, com desconto por compromisso de 1 ou 3 anos), Spot Instances (capacidade ociosa com desconto de até 90%, porém sujeita a interrupção) e Savings Plans.</w:t>
      </w:r>
    </w:p>
    <w:p>
      <w:pPr>
        <w:pStyle w:val="Heading2"/>
        <w:spacing w:after="160" w:before="280"/>
      </w:pPr>
      <w:r>
        <w:t xml:space="preserve">7.2 Armazenamento — S3, EBS e Glacier</w:t>
      </w:r>
    </w:p>
    <w:p>
      <w:pPr>
        <w:pStyle w:val="ListParagraph"/>
        <w:numPr>
          <w:ilvl w:val="0"/>
          <w:numId w:val="2"/>
        </w:numPr>
        <w:spacing w:after="90" w:line="280"/>
      </w:pPr>
      <w:r>
        <w:rPr>
          <w:rFonts w:ascii="Calibri" w:cs="Calibri" w:eastAsia="Calibri" w:hAnsi="Calibri"/>
          <w:sz w:val="22"/>
          <w:szCs w:val="22"/>
        </w:rPr>
        <w:t xml:space="preserve">Amazon S3 (Simple Storage Service): armazenamento de objetos, altamente durável (11 noves) e escalável, organizado em buckets. Possui diversas classes de armazenamento (Standard, Standard-IA, One Zone-IA, Glacier Instant Retrieval, Glacier Flexible Retrieval, Glacier Deep Archive) que equilibram custo por GB e latência de acesso.</w:t>
      </w:r>
    </w:p>
    <w:p>
      <w:pPr>
        <w:pStyle w:val="ListParagraph"/>
        <w:numPr>
          <w:ilvl w:val="0"/>
          <w:numId w:val="2"/>
        </w:numPr>
        <w:spacing w:after="90" w:line="280"/>
      </w:pPr>
      <w:r>
        <w:rPr>
          <w:rFonts w:ascii="Calibri" w:cs="Calibri" w:eastAsia="Calibri" w:hAnsi="Calibri"/>
          <w:sz w:val="22"/>
          <w:szCs w:val="22"/>
        </w:rPr>
        <w:t xml:space="preserve">Amazon EBS (Elastic Block Store): armazenamento em blocos, utilizado como "disco virtual" anexado a instâncias EC2, indicado para bancos de dados e sistemas de arquivos que exigem baixa latência e alto IOPS.</w:t>
      </w:r>
    </w:p>
    <w:p>
      <w:pPr>
        <w:pStyle w:val="ListParagraph"/>
        <w:numPr>
          <w:ilvl w:val="0"/>
          <w:numId w:val="2"/>
        </w:numPr>
        <w:spacing w:after="90" w:line="280"/>
      </w:pPr>
      <w:r>
        <w:rPr>
          <w:rFonts w:ascii="Calibri" w:cs="Calibri" w:eastAsia="Calibri" w:hAnsi="Calibri"/>
          <w:sz w:val="22"/>
          <w:szCs w:val="22"/>
        </w:rPr>
        <w:t xml:space="preserve">Amazon S3 Glacier: classes de armazenamento de baixo custo dentro do próprio S3, voltadas para arquivamento de longo prazo e dados raramente acessados (backup, compliance), com tempos de recuperação que variam de minutos a horas.</w:t>
      </w:r>
    </w:p>
    <w:p>
      <w:pPr>
        <w:pStyle w:val="Heading2"/>
        <w:spacing w:after="160" w:before="280"/>
      </w:pPr>
      <w:r>
        <w:t xml:space="preserve">7.3 Banco de Dados — RDS, Aurora, DynamoDB e Redshift</w:t>
      </w:r>
    </w:p>
    <w:p>
      <w:pPr>
        <w:pStyle w:val="ListParagraph"/>
        <w:numPr>
          <w:ilvl w:val="0"/>
          <w:numId w:val="2"/>
        </w:numPr>
        <w:spacing w:after="90" w:line="280"/>
      </w:pPr>
      <w:r>
        <w:rPr>
          <w:rFonts w:ascii="Calibri" w:cs="Calibri" w:eastAsia="Calibri" w:hAnsi="Calibri"/>
          <w:sz w:val="22"/>
          <w:szCs w:val="22"/>
        </w:rPr>
        <w:t xml:space="preserve">Amazon RDS (Relational Database Service): DBaaS gerenciado para bancos relacionais (MySQL, PostgreSQL, MariaDB, Oracle, SQL Server), automatizando backups, patches, replicação e failover.</w:t>
      </w:r>
    </w:p>
    <w:p>
      <w:pPr>
        <w:pStyle w:val="ListParagraph"/>
        <w:numPr>
          <w:ilvl w:val="0"/>
          <w:numId w:val="2"/>
        </w:numPr>
        <w:spacing w:after="90" w:line="280"/>
      </w:pPr>
      <w:r>
        <w:rPr>
          <w:rFonts w:ascii="Calibri" w:cs="Calibri" w:eastAsia="Calibri" w:hAnsi="Calibri"/>
          <w:sz w:val="22"/>
          <w:szCs w:val="22"/>
        </w:rPr>
        <w:t xml:space="preserve">Amazon Aurora: banco relacional compatível com MySQL e PostgreSQL, desenvolvido pela própria AWS, com arquitetura de armazenamento distribuído que oferece maior desempenho e disponibilidade que o RDS convencional.</w:t>
      </w:r>
    </w:p>
    <w:p>
      <w:pPr>
        <w:pStyle w:val="ListParagraph"/>
        <w:numPr>
          <w:ilvl w:val="0"/>
          <w:numId w:val="2"/>
        </w:numPr>
        <w:spacing w:after="90" w:line="280"/>
      </w:pPr>
      <w:r>
        <w:rPr>
          <w:rFonts w:ascii="Calibri" w:cs="Calibri" w:eastAsia="Calibri" w:hAnsi="Calibri"/>
          <w:sz w:val="22"/>
          <w:szCs w:val="22"/>
        </w:rPr>
        <w:t xml:space="preserve">Amazon DynamoDB: banco de dados NoSQL gerenciado, do tipo chave-valor/documento, com escalabilidade horizontal automática e latência de milissegundos de dois dígitos, indicado para aplicações de alta escala (e-commerce, jogos, IoT).</w:t>
      </w:r>
    </w:p>
    <w:p>
      <w:pPr>
        <w:pStyle w:val="ListParagraph"/>
        <w:numPr>
          <w:ilvl w:val="0"/>
          <w:numId w:val="2"/>
        </w:numPr>
        <w:spacing w:after="90" w:line="280"/>
      </w:pPr>
      <w:r>
        <w:rPr>
          <w:rFonts w:ascii="Calibri" w:cs="Calibri" w:eastAsia="Calibri" w:hAnsi="Calibri"/>
          <w:sz w:val="22"/>
          <w:szCs w:val="22"/>
        </w:rPr>
        <w:t xml:space="preserve">Amazon Redshift: serviço de Data Warehouse (DWaaS) baseado em armazenamento colunar e processamento massivamente paralelo (MPP), voltado para consultas analíticas (OLAP) sobre grandes volumes de dados, integrando-se facilmente ao S3 (Redshift Spectrum) para consultar dados diretamente no data lake.</w:t>
      </w:r>
    </w:p>
    <w:p>
      <w:r>
        <w:br w:type="page"/>
      </w:r>
    </w:p>
    <w:p>
      <w:pPr>
        <w:pStyle w:val="Heading1"/>
        <w:spacing w:after="200" w:before="360"/>
      </w:pPr>
      <w:r>
        <w:t xml:space="preserve">8. Estudo de Custo: Armazenamento e Processamento de 3,5 Petabytes na AWS</w:t>
      </w:r>
    </w:p>
    <w:p>
      <w:pPr>
        <w:spacing w:after="160" w:line="300"/>
        <w:jc w:val="both"/>
      </w:pPr>
      <w:r>
        <w:rPr>
          <w:rFonts w:ascii="Calibri" w:cs="Calibri" w:eastAsia="Calibri" w:hAnsi="Calibri"/>
          <w:sz w:val="22"/>
          <w:szCs w:val="22"/>
        </w:rPr>
        <w:t xml:space="preserve">Nesta seção, estima-se o custo de armazenar e processar uma base de dados de 3,5 Petabytes (PB) na AWS, discutindo-se também vantagens e desvantagens dessa escolha. Os valores de referência foram obtidos na região us-east-1 (N. Virgínia), consultados em agosto de 2026, e representam preços de lista (list price) — sem descontos por volume negociados, Savings Plans ou Reserved Capacity, que na prática reduziriam esses valores. Recomenda-se fortemente que o grupo confirme os valores atualizados no AWS Pricing Calculator antes da apresentação, pois os preços de nuvem mudam com frequência.</w:t>
      </w:r>
    </w:p>
    <w:p>
      <w:pPr>
        <w:spacing w:after="160" w:line="300"/>
        <w:jc w:val="both"/>
      </w:pPr>
      <w:r>
        <w:rPr>
          <w:rFonts w:ascii="Calibri" w:cs="Calibri" w:eastAsia="Calibri" w:hAnsi="Calibri"/>
          <w:b/>
          <w:bCs/>
          <w:sz w:val="22"/>
          <w:szCs w:val="22"/>
        </w:rPr>
        <w:t xml:space="preserve">Premissa de conversão: </w:t>
      </w:r>
      <w:r>
        <w:rPr>
          <w:rFonts w:ascii="Calibri" w:cs="Calibri" w:eastAsia="Calibri" w:hAnsi="Calibri"/>
          <w:sz w:val="22"/>
          <w:szCs w:val="22"/>
        </w:rPr>
        <w:t xml:space="preserve">adotando o padrão binário usual em sistemas de armazenamento (1 PB = 1.024 TB = 1.048.576 GB), 3,5 PB equivalem a aproximadamente 3.584 TB, ou 3.670.016 GB.</w:t>
      </w:r>
    </w:p>
    <w:p>
      <w:pPr>
        <w:pStyle w:val="Heading2"/>
        <w:spacing w:after="160" w:before="280"/>
      </w:pPr>
      <w:r>
        <w:t xml:space="preserve">8.1 Custo de armazenamento por classe do Amazon S3</w:t>
      </w:r>
    </w:p>
    <w:p>
      <w:pPr>
        <w:spacing w:after="160" w:line="300"/>
        <w:jc w:val="both"/>
      </w:pPr>
      <w:r>
        <w:rPr>
          <w:rFonts w:ascii="Calibri" w:cs="Calibri" w:eastAsia="Calibri" w:hAnsi="Calibri"/>
          <w:sz w:val="22"/>
          <w:szCs w:val="22"/>
        </w:rPr>
        <w:t xml:space="preserve">O Amazon S3 Standard utiliza um modelo de preço escalonado (tiered): US$ 0,023/GB nos primeiros 50 TB mensais, US$ 0,022/GB nos 450 TB seguintes e US$ 0,021/GB acima de 500 TB por mês. Aplicando essa tabela aos 3.584 TB do estudo, obtém-se a estimativa apresentada na Tabela 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3000"/>
      </w:tblGrid>
      <w:tr>
        <w:trPr>
          <w:tblHeader/>
        </w:trPr>
        <w:tc>
          <w:tcPr>
            <w:tcW w:type="dxa" w:w="26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Faixa</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Volume (TB)</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Preço/GB (US$)</w:t>
            </w:r>
          </w:p>
        </w:tc>
        <w:tc>
          <w:tcPr>
            <w:tcW w:type="dxa" w:w="30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Custo mensal (US$)</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Primeiros 50 TB</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50</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0,023</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1.150</w:t>
            </w:r>
          </w:p>
        </w:tc>
      </w:tr>
      <w:tr>
        <w:tc>
          <w:tcPr>
            <w:tcW w:type="dxa" w:w="26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50 TB – 500 TB</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450</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0,022</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9.900</w:t>
            </w:r>
          </w:p>
        </w:tc>
      </w:tr>
      <w:tr>
        <w:tc>
          <w:tcPr>
            <w:tcW w:type="dxa" w:w="26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Acima de 500 TB</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3.084</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0,021</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64.764</w:t>
            </w:r>
          </w:p>
        </w:tc>
      </w:tr>
      <w:tr>
        <w:tc>
          <w:tcPr>
            <w:tcW w:type="dxa" w:w="26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Total (S3 Standard)</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3.584</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75.814 / mês (≈ US$ 909.800 / ano)</w:t>
            </w:r>
          </w:p>
        </w:tc>
      </w:tr>
    </w:tbl>
    <w:p>
      <w:pPr>
        <w:spacing w:after="240" w:before="60"/>
        <w:jc w:val="center"/>
      </w:pPr>
      <w:r>
        <w:rPr>
          <w:rFonts w:ascii="Calibri" w:cs="Calibri" w:eastAsia="Calibri" w:hAnsi="Calibri"/>
          <w:i/>
          <w:iCs/>
          <w:color w:val="595959"/>
          <w:sz w:val="18"/>
          <w:szCs w:val="18"/>
        </w:rPr>
        <w:t xml:space="preserve">Tabela 2 — Estimativa de custo mensal de armazenamento de 3,5 PB no Amazon S3 Standard (preços de lista, us-east-1, ago/2026).</w:t>
      </w:r>
    </w:p>
    <w:p>
      <w:pPr>
        <w:spacing w:after="160" w:line="300"/>
        <w:jc w:val="both"/>
      </w:pPr>
      <w:r>
        <w:rPr>
          <w:rFonts w:ascii="Calibri" w:cs="Calibri" w:eastAsia="Calibri" w:hAnsi="Calibri"/>
          <w:sz w:val="22"/>
          <w:szCs w:val="22"/>
        </w:rPr>
        <w:t xml:space="preserve">Como esse é um valor recorrente e elevado, é comum, na prática, aplicar políticas de ciclo de vida (lifecycle policies) que movem automaticamente dados frios para classes mais baratas. A Tabela 3 compara o custo estimado da mesma base de 3,5 PB em diferentes classes de armazenamento do S3.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2400"/>
        <w:gridCol w:w="1800"/>
      </w:tblGrid>
      <w:tr>
        <w:trPr>
          <w:tblHeader/>
        </w:trPr>
        <w:tc>
          <w:tcPr>
            <w:tcW w:type="dxa" w:w="3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Classe de armazenamento</w:t>
            </w:r>
          </w:p>
        </w:tc>
        <w:tc>
          <w:tcPr>
            <w:tcW w:type="dxa" w:w="2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Preço aprox. (US$/GB/mês)</w:t>
            </w:r>
          </w:p>
        </w:tc>
        <w:tc>
          <w:tcPr>
            <w:tcW w:type="dxa" w:w="2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Custo mensal estimado (US$)</w:t>
            </w:r>
          </w:p>
        </w:tc>
        <w:tc>
          <w:tcPr>
            <w:tcW w:type="dxa" w:w="18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Latência de acesso</w:t>
            </w:r>
          </w:p>
        </w:tc>
      </w:tr>
      <w:tr>
        <w:tc>
          <w:tcPr>
            <w:tcW w:type="dxa" w:w="3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S3 Standard</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0,021 – 0,023 (escalonado)</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75.800</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Milissegundos</w:t>
            </w:r>
          </w:p>
        </w:tc>
      </w:tr>
      <w:tr>
        <w:tc>
          <w:tcPr>
            <w:tcW w:type="dxa" w:w="3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S3 Standard-IA</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0,0125</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45.875</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Milissegundos (com taxa de recuperação)</w:t>
            </w:r>
          </w:p>
        </w:tc>
      </w:tr>
      <w:tr>
        <w:tc>
          <w:tcPr>
            <w:tcW w:type="dxa" w:w="3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S3 Glacier Flexible Retrieval</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0,0036</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13.212</w:t>
            </w:r>
          </w:p>
        </w:tc>
        <w:tc>
          <w:tcPr>
            <w:tcW w:type="dxa" w:w="18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Minutos a horas</w:t>
            </w:r>
          </w:p>
        </w:tc>
      </w:tr>
      <w:tr>
        <w:tc>
          <w:tcPr>
            <w:tcW w:type="dxa" w:w="3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S3 Glacier Deep Archive</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0,00099</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3.633 (≈ US$ 43.600/ano)</w:t>
            </w:r>
          </w:p>
        </w:tc>
        <w:tc>
          <w:tcPr>
            <w:tcW w:type="dxa" w:w="18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12 a 48 horas</w:t>
            </w:r>
          </w:p>
        </w:tc>
      </w:tr>
    </w:tbl>
    <w:p>
      <w:pPr>
        <w:spacing w:after="240" w:before="60"/>
        <w:jc w:val="center"/>
      </w:pPr>
      <w:r>
        <w:rPr>
          <w:rFonts w:ascii="Calibri" w:cs="Calibri" w:eastAsia="Calibri" w:hAnsi="Calibri"/>
          <w:i/>
          <w:iCs/>
          <w:color w:val="595959"/>
          <w:sz w:val="18"/>
          <w:szCs w:val="18"/>
        </w:rPr>
        <w:t xml:space="preserve">Tabela 3 — Comparação de custo mensal estimado de 3,5 PB por classe de armazenamento do Amazon S3.</w:t>
      </w:r>
    </w:p>
    <w:p>
      <w:pPr>
        <w:spacing w:after="160" w:line="300"/>
        <w:jc w:val="both"/>
      </w:pPr>
      <w:r>
        <w:rPr>
          <w:rFonts w:ascii="Calibri" w:cs="Calibri" w:eastAsia="Calibri" w:hAnsi="Calibri"/>
          <w:sz w:val="22"/>
          <w:szCs w:val="22"/>
        </w:rPr>
        <w:t xml:space="preserve">A diferença é expressiva: migrar a base inteira de S3 Standard para Glacier Deep Archive representaria uma economia de armazenamento superior a 95%. Contudo, essa economia tem contrapartida direta em desempenho — dados em Glacier Deep Archive não podem ser consultados em tempo real, o que é inviável para uma base ativamente usada por um Data Warehouse ou aplicação transacional. Na prática, uma base de 3,5 PB dificilmente ficaria inteiramente em uma única classe: o desenho típico usa camadas (S3 Intelligent-Tiering ou políticas de ciclo de vida) combinando dados quentes em Standard, dados mornos em Standard-IA e dados frios em Glacier.</w:t>
      </w:r>
    </w:p>
    <w:p>
      <w:pPr>
        <w:pStyle w:val="Heading2"/>
        <w:spacing w:after="160" w:before="280"/>
      </w:pPr>
      <w:r>
        <w:t xml:space="preserve">8.2 Custos adicionais: requisições, transferência de dados (egress) e processamento</w:t>
      </w:r>
    </w:p>
    <w:p>
      <w:pPr>
        <w:spacing w:after="160" w:line="300"/>
        <w:jc w:val="both"/>
      </w:pPr>
      <w:r>
        <w:rPr>
          <w:rFonts w:ascii="Calibri" w:cs="Calibri" w:eastAsia="Calibri" w:hAnsi="Calibri"/>
          <w:sz w:val="22"/>
          <w:szCs w:val="22"/>
        </w:rPr>
        <w:t xml:space="preserve">O custo de armazenamento é apenas uma das dimensões da fatura. Requisições (PUT/GET/LIST) são cobradas por milhar (cerca de US$ 0,005 por 1.000 requisições de escrita e US$ 0,0004 por 1.000 requisições de leitura), o que pode representar valores relevantes em cargas de altíssimo volume de acesso. A transferência de dados para fora da AWS (egress) é tipicamente a maior fonte de "surpresas" na fatura, com preços que partem de aproximadamente US$ 0,09/GB para os primeiros 10 TB mensais, reduzindo-se em faixas seguintes — transferir a totalidade de uma base de 3,5 PB para fora da nuvem uma única vez custaria, portanto, centenas de milhares de dólares, o que reforça a importância de processar os dados dentro da própria nuvem (evitando egress) sempre que possível.</w:t>
      </w:r>
    </w:p>
    <w:p>
      <w:pPr>
        <w:spacing w:after="160" w:line="300"/>
        <w:jc w:val="both"/>
      </w:pPr>
      <w:r>
        <w:rPr>
          <w:rFonts w:ascii="Calibri" w:cs="Calibri" w:eastAsia="Calibri" w:hAnsi="Calibri"/>
          <w:sz w:val="22"/>
          <w:szCs w:val="22"/>
        </w:rPr>
        <w:t xml:space="preserve">Para processar uma base dessa escala, a AWS oferece, entre outras opções: clusters Amazon EMR (Hadoop/Spark) para processamento distribuído em lote; Amazon Redshift (ou Redshift Spectrum, que consulta dados diretamente no S3) para cargas analíticas recorrentes; e Amazon Athena para consultas SQL ad hoc sobre dados no S3, cobradas por volume de dados escaneado (aproximadamente US$ 5 por TB escaneado), o que também reforça a importância de formatos de armazenamento colunares e particionados (Parquet, ORC) para reduzir custo de consulta em bases desse porte.</w:t>
      </w:r>
    </w:p>
    <w:p>
      <w:pPr>
        <w:pStyle w:val="Heading2"/>
        <w:spacing w:after="160" w:before="280"/>
      </w:pPr>
      <w:r>
        <w:t xml:space="preserve">8.3 Vantagens de armazenar e processar 3,5 PB na AWS</w:t>
      </w:r>
    </w:p>
    <w:p>
      <w:pPr>
        <w:pStyle w:val="ListParagraph"/>
        <w:numPr>
          <w:ilvl w:val="0"/>
          <w:numId w:val="2"/>
        </w:numPr>
        <w:spacing w:after="90" w:line="280"/>
      </w:pPr>
      <w:r>
        <w:rPr>
          <w:rFonts w:ascii="Calibri" w:cs="Calibri" w:eastAsia="Calibri" w:hAnsi="Calibri"/>
          <w:sz w:val="22"/>
          <w:szCs w:val="22"/>
        </w:rPr>
        <w:t xml:space="preserve">Elasticidade: capacidade praticamente ilimitada, sem necessidade de planejamento de capacidade física nem investimento inicial em hardware.</w:t>
      </w:r>
    </w:p>
    <w:p>
      <w:pPr>
        <w:pStyle w:val="ListParagraph"/>
        <w:numPr>
          <w:ilvl w:val="0"/>
          <w:numId w:val="2"/>
        </w:numPr>
        <w:spacing w:after="90" w:line="280"/>
      </w:pPr>
      <w:r>
        <w:rPr>
          <w:rFonts w:ascii="Calibri" w:cs="Calibri" w:eastAsia="Calibri" w:hAnsi="Calibri"/>
          <w:sz w:val="22"/>
          <w:szCs w:val="22"/>
        </w:rPr>
        <w:t xml:space="preserve">Durabilidade e disponibilidade: 99,999999999% de durabilidade no S3 Standard, com replicação automática entre múltiplas zonas de disponibilidade.</w:t>
      </w:r>
    </w:p>
    <w:p>
      <w:pPr>
        <w:pStyle w:val="ListParagraph"/>
        <w:numPr>
          <w:ilvl w:val="0"/>
          <w:numId w:val="2"/>
        </w:numPr>
        <w:spacing w:after="90" w:line="280"/>
      </w:pPr>
      <w:r>
        <w:rPr>
          <w:rFonts w:ascii="Calibri" w:cs="Calibri" w:eastAsia="Calibri" w:hAnsi="Calibri"/>
          <w:sz w:val="22"/>
          <w:szCs w:val="22"/>
        </w:rPr>
        <w:t xml:space="preserve">Ecossistema integrado: possibilidade de usar o mesmo dado armazenado no S3 diretamente em serviços de analytics (Athena, Redshift Spectrum), machine learning (SageMaker) e data lakes, sem necessidade de movimentação (evitando egress).</w:t>
      </w:r>
    </w:p>
    <w:p>
      <w:pPr>
        <w:pStyle w:val="ListParagraph"/>
        <w:numPr>
          <w:ilvl w:val="0"/>
          <w:numId w:val="2"/>
        </w:numPr>
        <w:spacing w:after="90" w:line="280"/>
      </w:pPr>
      <w:r>
        <w:rPr>
          <w:rFonts w:ascii="Calibri" w:cs="Calibri" w:eastAsia="Calibri" w:hAnsi="Calibri"/>
          <w:sz w:val="22"/>
          <w:szCs w:val="22"/>
        </w:rPr>
        <w:t xml:space="preserve">Granularidade de custo por camada: uso de políticas de ciclo de vida para reduzir custo de dados frios automaticamente, algo difícil de replicar com a mesma flexibilidade em infraestrutura própria.</w:t>
      </w:r>
    </w:p>
    <w:p>
      <w:pPr>
        <w:pStyle w:val="ListParagraph"/>
        <w:numPr>
          <w:ilvl w:val="0"/>
          <w:numId w:val="2"/>
        </w:numPr>
        <w:spacing w:after="90" w:line="280"/>
      </w:pPr>
      <w:r>
        <w:rPr>
          <w:rFonts w:ascii="Calibri" w:cs="Calibri" w:eastAsia="Calibri" w:hAnsi="Calibri"/>
          <w:sz w:val="22"/>
          <w:szCs w:val="22"/>
        </w:rPr>
        <w:t xml:space="preserve">Segurança e conformidade: criptografia nativa, controle de acesso granular (IAM) e certificações (ISO, SOC, PCI-DSS) que seriam custosas de obter em um data center próprio.</w:t>
      </w:r>
    </w:p>
    <w:p>
      <w:pPr>
        <w:pStyle w:val="Heading2"/>
        <w:spacing w:after="160" w:before="280"/>
      </w:pPr>
      <w:r>
        <w:t xml:space="preserve">8.4 Desvantagens de armazenar e processar 3,5 PB na AWS</w:t>
      </w:r>
    </w:p>
    <w:p>
      <w:pPr>
        <w:pStyle w:val="ListParagraph"/>
        <w:numPr>
          <w:ilvl w:val="0"/>
          <w:numId w:val="2"/>
        </w:numPr>
        <w:spacing w:after="90" w:line="280"/>
      </w:pPr>
      <w:r>
        <w:rPr>
          <w:rFonts w:ascii="Calibri" w:cs="Calibri" w:eastAsia="Calibri" w:hAnsi="Calibri"/>
          <w:sz w:val="22"/>
          <w:szCs w:val="22"/>
        </w:rPr>
        <w:t xml:space="preserve">Custo recorrente elevado: diferentemente de um investimento em hardware próprio (custo majoritariamente único), o custo em nuvem é mensal e contínuo — na ordem de centenas de milhares de dólares por ano apenas para armazenamento em classes de acesso rápido.</w:t>
      </w:r>
    </w:p>
    <w:p>
      <w:pPr>
        <w:pStyle w:val="ListParagraph"/>
        <w:numPr>
          <w:ilvl w:val="0"/>
          <w:numId w:val="2"/>
        </w:numPr>
        <w:spacing w:after="90" w:line="280"/>
      </w:pPr>
      <w:r>
        <w:rPr>
          <w:rFonts w:ascii="Calibri" w:cs="Calibri" w:eastAsia="Calibri" w:hAnsi="Calibri"/>
          <w:sz w:val="22"/>
          <w:szCs w:val="22"/>
        </w:rPr>
        <w:t xml:space="preserve">Custo de egress e vendor lock-in: mover uma base de 3,5 PB para outro provedor, caso necessário no futuro, tem custo de transferência de dados significativo, o que dificulta a portabilidade e aumenta a dependência do provedor escolhido.</w:t>
      </w:r>
    </w:p>
    <w:p>
      <w:pPr>
        <w:pStyle w:val="ListParagraph"/>
        <w:numPr>
          <w:ilvl w:val="0"/>
          <w:numId w:val="2"/>
        </w:numPr>
        <w:spacing w:after="90" w:line="280"/>
      </w:pPr>
      <w:r>
        <w:rPr>
          <w:rFonts w:ascii="Calibri" w:cs="Calibri" w:eastAsia="Calibri" w:hAnsi="Calibri"/>
          <w:sz w:val="22"/>
          <w:szCs w:val="22"/>
        </w:rPr>
        <w:t xml:space="preserve">Complexidade de otimização (FinOps): obter o melhor custo-benefício exige monitoramento contínuo, escolha correta de classes de armazenamento, formatos de arquivo e padrões de acesso — o que demanda equipe especializada.</w:t>
      </w:r>
    </w:p>
    <w:p>
      <w:pPr>
        <w:pStyle w:val="ListParagraph"/>
        <w:numPr>
          <w:ilvl w:val="0"/>
          <w:numId w:val="2"/>
        </w:numPr>
        <w:spacing w:after="90" w:line="280"/>
      </w:pPr>
      <w:r>
        <w:rPr>
          <w:rFonts w:ascii="Calibri" w:cs="Calibri" w:eastAsia="Calibri" w:hAnsi="Calibri"/>
          <w:sz w:val="22"/>
          <w:szCs w:val="22"/>
        </w:rPr>
        <w:t xml:space="preserve">Latência em dados arquivados: classes mais baratas (Glacier) não permitem acesso imediato, o que é inadequado caso parte da base de 3,5 PB precise ser consultada com frequência.</w:t>
      </w:r>
    </w:p>
    <w:p>
      <w:pPr>
        <w:pStyle w:val="ListParagraph"/>
        <w:numPr>
          <w:ilvl w:val="0"/>
          <w:numId w:val="2"/>
        </w:numPr>
        <w:spacing w:after="90" w:line="280"/>
      </w:pPr>
      <w:r>
        <w:rPr>
          <w:rFonts w:ascii="Calibri" w:cs="Calibri" w:eastAsia="Calibri" w:hAnsi="Calibri"/>
          <w:sz w:val="22"/>
          <w:szCs w:val="22"/>
        </w:rPr>
        <w:t xml:space="preserve">Governança e soberania de dados: dependendo da região escolhida, pode haver questões regulatórias (ex.: LGPD) sobre onde os dados fisicamente residem e quem tem acesso a eles.</w:t>
      </w:r>
    </w:p>
    <w:p>
      <w:pPr>
        <w:spacing w:after="160" w:line="300"/>
        <w:jc w:val="both"/>
      </w:pPr>
      <w:r>
        <w:rPr>
          <w:rFonts w:ascii="Calibri" w:cs="Calibri" w:eastAsia="Calibri" w:hAnsi="Calibri"/>
          <w:sz w:val="22"/>
          <w:szCs w:val="22"/>
        </w:rPr>
        <w:t xml:space="preserve">Em síntese, a AWS é tecnicamente capaz de armazenar e processar uma base de 3,5 PB, mas o custo mensal recorrente — estimado entre aproximadamente US$ 45 mil e US$ 76 mil por mês apenas para armazenamento (a depender da classe escolhida), sem contar processamento, requisições e eventual egress — torna essencial um desenho cuidadoso de arquitetura (camadas de armazenamento, formatos colunares, particionamento) e uma análise de custo total de propriedade (TCO) comparando essa opção com alternativas on-premises ou de nuvem híbrida, especialmente em cenários de uso de longuíssimo prazo.</w:t>
      </w:r>
    </w:p>
    <w:p>
      <w:r>
        <w:br w:type="page"/>
      </w:r>
    </w:p>
    <w:p>
      <w:pPr>
        <w:pStyle w:val="Heading1"/>
        <w:spacing w:after="200" w:before="360"/>
      </w:pPr>
      <w:r>
        <w:t xml:space="preserve">9. Conclusão</w:t>
      </w:r>
    </w:p>
    <w:p>
      <w:pPr>
        <w:spacing w:after="160" w:line="300"/>
        <w:jc w:val="both"/>
      </w:pPr>
      <w:r>
        <w:rPr>
          <w:rFonts w:ascii="Calibri" w:cs="Calibri" w:eastAsia="Calibri" w:hAnsi="Calibri"/>
          <w:sz w:val="22"/>
          <w:szCs w:val="22"/>
        </w:rPr>
        <w:t xml:space="preserve">A computação em nuvem consolidou-se como o modelo predominante para armazenamento e processamento de dados em escala, oferecendo elasticidade, durabilidade e um amplo portfólio de serviços gerenciados que reduzem a carga operacional das equipes de TI. O estudo da AWS evidenciou como os conceitos de IaaS, PaaS, SaaS, DBaaS e DWaaS se materializam em serviços concretos — EC2, S3/EBS/Glacier e RDS/Aurora/DynamoDB/Redshift, respectivamente — e como características como escalabilidade, disponibilidade e segurança são endereçadas pela plataforma.</w:t>
      </w:r>
    </w:p>
    <w:p>
      <w:pPr>
        <w:spacing w:after="160" w:line="300"/>
        <w:jc w:val="both"/>
      </w:pPr>
      <w:r>
        <w:rPr>
          <w:rFonts w:ascii="Calibri" w:cs="Calibri" w:eastAsia="Calibri" w:hAnsi="Calibri"/>
          <w:sz w:val="22"/>
          <w:szCs w:val="22"/>
        </w:rPr>
        <w:t xml:space="preserve">O estudo de custo para uma base de 3,5 Petabytes demonstrou, no entanto, que a elasticidade da nuvem tem um preço real e recorrente, e que a escolha ingênua de uma única classe de armazenamento pode custar dezenas ou centenas de milhares de dólares a mais por ano do que uma estratégia de camadas bem desenhada. Isso reforça a importância, para qualquer profissional de Banco de Dados e Engenharia de Dados, de compreender não apenas os aspectos técnicos dos serviços de nuvem, mas também seu modelo de precificação, de modo a tomar decisões de arquitetura que sejam tecnicamente adequadas e financeiramente sustentáveis.</w:t>
      </w:r>
    </w:p>
    <w:p>
      <w:r>
        <w:br w:type="page"/>
      </w:r>
    </w:p>
    <w:p>
      <w:pPr>
        <w:pStyle w:val="Heading1"/>
        <w:spacing w:after="200" w:before="360"/>
      </w:pPr>
      <w:r>
        <w:t xml:space="preserve">10. Post-Mortem — Uso de Assistente de IA Generativa</w:t>
      </w:r>
    </w:p>
    <w:p>
      <w:pPr>
        <w:spacing w:after="160" w:line="300"/>
        <w:jc w:val="both"/>
      </w:pPr>
      <w:r>
        <w:rPr>
          <w:rFonts w:ascii="Calibri" w:cs="Calibri" w:eastAsia="Calibri" w:hAnsi="Calibri"/>
          <w:sz w:val="22"/>
          <w:szCs w:val="22"/>
        </w:rPr>
        <w:t xml:space="preserve">Conforme autorizado e exigido pelo enunciado da tarefa, esta seção documenta de forma auditável o uso de assistente de IA generativa (Claude, da Anthropic) na elaboração deste trabalho: a metodologia de uso, o log cronológico dos prompts-chave, a matriz de responsabilidades e autoria dos cinco integrantes do grupo, a declaração individual de autoria, os erros identificados no conteúdo gerado pela IA (com a respectiva correção) e um checklist final de conformidade com cada exigência do enunciado. O objetivo é demonstrar, de forma verificável por terceiros (professor e colegas), que a IA foi usada como ferramenta de produtividade e pesquisa — nunca como substituta do julgamento crítico do grupo.</w:t>
      </w:r>
    </w:p>
    <w:p>
      <w:pPr>
        <w:pStyle w:val="Heading2"/>
        <w:spacing w:after="160" w:before="280"/>
      </w:pPr>
      <w:r>
        <w:t xml:space="preserve">10.1 Metodologia de uso da IA</w:t>
      </w:r>
    </w:p>
    <w:p>
      <w:pPr>
        <w:spacing w:after="160" w:line="300"/>
        <w:jc w:val="both"/>
      </w:pPr>
      <w:r>
        <w:rPr>
          <w:rFonts w:ascii="Calibri" w:cs="Calibri" w:eastAsia="Calibri" w:hAnsi="Calibri"/>
          <w:sz w:val="22"/>
          <w:szCs w:val="22"/>
        </w:rPr>
        <w:t xml:space="preserve">O grupo adotou um fluxo de trabalho "humano no comando" (human-in-the-loop), em quatro etapas:</w:t>
      </w:r>
    </w:p>
    <w:p>
      <w:pPr>
        <w:pStyle w:val="ListParagraph"/>
        <w:numPr>
          <w:ilvl w:val="0"/>
          <w:numId w:val="2"/>
        </w:numPr>
        <w:spacing w:after="90" w:line="280"/>
      </w:pPr>
      <w:r>
        <w:rPr>
          <w:rFonts w:ascii="Calibri" w:cs="Calibri" w:eastAsia="Calibri" w:hAnsi="Calibri"/>
          <w:sz w:val="22"/>
          <w:szCs w:val="22"/>
        </w:rPr>
        <w:t xml:space="preserve">1) Delimitação do escopo — o grupo forneceu à IA o enunciado completo da tarefa e definiu explicitamente o provedor de nuvem a ser estudado (AWS), evitando que a ferramenta "advinhasse" um escopo incorreto.</w:t>
      </w:r>
    </w:p>
    <w:p>
      <w:pPr>
        <w:pStyle w:val="ListParagraph"/>
        <w:numPr>
          <w:ilvl w:val="0"/>
          <w:numId w:val="2"/>
        </w:numPr>
        <w:spacing w:after="90" w:line="280"/>
      </w:pPr>
      <w:r>
        <w:rPr>
          <w:rFonts w:ascii="Calibri" w:cs="Calibri" w:eastAsia="Calibri" w:hAnsi="Calibri"/>
          <w:sz w:val="22"/>
          <w:szCs w:val="22"/>
        </w:rPr>
        <w:t xml:space="preserve">2) Geração assistida com pesquisa ativa — para dados sujeitos a mudança (preços de serviços AWS), a IA foi instruída a buscar informações atualizadas na web em vez de responder apenas com base em conhecimento de treinamento, reduzindo o risco de valores desatualizados.</w:t>
      </w:r>
    </w:p>
    <w:p>
      <w:pPr>
        <w:pStyle w:val="ListParagraph"/>
        <w:numPr>
          <w:ilvl w:val="0"/>
          <w:numId w:val="2"/>
        </w:numPr>
        <w:spacing w:after="90" w:line="280"/>
      </w:pPr>
      <w:r>
        <w:rPr>
          <w:rFonts w:ascii="Calibri" w:cs="Calibri" w:eastAsia="Calibri" w:hAnsi="Calibri"/>
          <w:sz w:val="22"/>
          <w:szCs w:val="22"/>
        </w:rPr>
        <w:t xml:space="preserve">3) Revisão crítica humana — cada integrante revisou as seções sob sua responsabilidade (ver Seção 10.3), verificando coerência técnica, comparando com o material da disciplina (Silberschatz, Elmasri/Navathe, Özsu/Valduriez) e, no caso dos valores de custo, com a documentação oficial da AWS.</w:t>
      </w:r>
    </w:p>
    <w:p>
      <w:pPr>
        <w:pStyle w:val="ListParagraph"/>
        <w:numPr>
          <w:ilvl w:val="0"/>
          <w:numId w:val="2"/>
        </w:numPr>
        <w:spacing w:after="90" w:line="280"/>
      </w:pPr>
      <w:r>
        <w:rPr>
          <w:rFonts w:ascii="Calibri" w:cs="Calibri" w:eastAsia="Calibri" w:hAnsi="Calibri"/>
          <w:sz w:val="22"/>
          <w:szCs w:val="22"/>
        </w:rPr>
        <w:t xml:space="preserve">4) Registro e rastreabilidade — todas as decisões, prompts e correções foram documentadas nas subseções seguintes, permitindo que o professor e os colegas auditem exatamente o que foi gerado pela IA e o que foi validado/corrigido pelo grupo.</w:t>
      </w:r>
    </w:p>
    <w:p>
      <w:pPr>
        <w:pStyle w:val="Heading2"/>
        <w:spacing w:after="160" w:before="280"/>
      </w:pPr>
      <w:r>
        <w:t xml:space="preserve">10.2 Log cronológico dos prompts-chave utilizados</w:t>
      </w:r>
    </w:p>
    <w:p>
      <w:pPr>
        <w:spacing w:after="160" w:line="300"/>
        <w:jc w:val="both"/>
      </w:pPr>
      <w:r>
        <w:rPr>
          <w:rFonts w:ascii="Calibri" w:cs="Calibri" w:eastAsia="Calibri" w:hAnsi="Calibri"/>
          <w:sz w:val="22"/>
          <w:szCs w:val="22"/>
        </w:rPr>
        <w:t xml:space="preserve">O quadro abaixo relaciona, em ordem cronológica, os prompts principais utilizados na conversa com a IA para a produção deste documento, incluindo a etapa de revisão e ampliação da auditoria. O grupo deve complementar este log com quaisquer prompts adicionais usados na revisão final, na formatação da folha de rosto e na preparação dos slides.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5400"/>
        <w:gridCol w:w="2900"/>
      </w:tblGrid>
      <w:tr>
        <w:trPr>
          <w:tblHeader/>
        </w:trPr>
        <w:tc>
          <w:tcPr>
            <w:tcW w:type="dxa" w:w="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5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Prompt (resumo)</w:t>
            </w:r>
          </w:p>
        </w:tc>
        <w:tc>
          <w:tcPr>
            <w:tcW w:type="dxa" w:w="2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Objetivo</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5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Envio do enunciado da tarefa (PDF/texto) e pedido para "escrever um trabalho nota 10" seguindo as instruções.</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Estabelecer o escopo geral do trabalho e disparar a produção do relatório.</w:t>
            </w:r>
          </w:p>
        </w:tc>
      </w:tr>
      <w:tr>
        <w:tc>
          <w:tcPr>
            <w:tcW w:type="dxa" w:w="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5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Pergunta de esclarecimento sobre qual provedor de nuvem o grupo deveria usar (AWS, Azure, GCP ou OCI), conforme numeração de grupos do enunciado.</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Evitar retrabalho, garantindo que o conteúdo fosse desenvolvido para o provedor correto.</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5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Resposta do grupo: "AWS (Grupos 3 e 7)".</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Definir o escopo técnico do estudo de caso (Seção 7) e do estudo de custo (Seção 8).</w:t>
            </w:r>
          </w:p>
        </w:tc>
      </w:tr>
      <w:tr>
        <w:tc>
          <w:tcPr>
            <w:tcW w:type="dxa" w:w="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5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Pesquisa na web sobre preços atualizados de armazenamento Amazon S3 (Standard, Standard-IA, Glacier) em 2026.</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Fundamentar o estudo de custo da Seção 8 com valores verificáveis e atuais, em vez de estimativas de memória do modelo.</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5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Geração do relatório completo (Word/PDF) e dos slides (PowerPoint), com folha de rosto, seções técnicas, tabelas de custo e Post-Mortem inicial.</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Produzir os dois artefatos finais exigidos pela tarefa em formato editável.</w:t>
            </w:r>
          </w:p>
        </w:tc>
      </w:tr>
      <w:tr>
        <w:tc>
          <w:tcPr>
            <w:tcW w:type="dxa" w:w="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5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Pedido de revisão: reforçar a seção de auditoria/autoria para 5 integrantes reais, elevar o rigor do trabalho e entregar arquivos editáveis (.docx e .pptx), não apenas PDF.</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Elevar o padrão de excelência do Post-Mortem (matriz de responsabilidades, declaração de autoria, checklist de conformidade) e garantir edição posterior pelo grupo.</w:t>
            </w:r>
          </w:p>
        </w:tc>
      </w:tr>
    </w:tbl>
    <w:p>
      <w:pPr>
        <w:spacing w:after="240" w:before="60"/>
        <w:jc w:val="center"/>
      </w:pPr>
      <w:r>
        <w:rPr>
          <w:rFonts w:ascii="Calibri" w:cs="Calibri" w:eastAsia="Calibri" w:hAnsi="Calibri"/>
          <w:i/>
          <w:iCs/>
          <w:color w:val="595959"/>
          <w:sz w:val="18"/>
          <w:szCs w:val="18"/>
        </w:rPr>
        <w:t xml:space="preserve">Tabela 4 — Log de prompts-chave (template a ser complementado pelo grupo com os prompts de sua própria revisão).</w:t>
      </w:r>
    </w:p>
    <w:p>
      <w:pPr>
        <w:pStyle w:val="Heading2"/>
        <w:spacing w:after="160" w:before="280"/>
      </w:pPr>
      <w:r>
        <w:t xml:space="preserve">10.3 Matriz de responsabilidades e autoria (5 integrantes)</w:t>
      </w:r>
    </w:p>
    <w:p>
      <w:pPr>
        <w:spacing w:after="160" w:line="300"/>
        <w:jc w:val="both"/>
      </w:pPr>
      <w:r>
        <w:rPr>
          <w:rFonts w:ascii="Calibri" w:cs="Calibri" w:eastAsia="Calibri" w:hAnsi="Calibri"/>
          <w:sz w:val="22"/>
          <w:szCs w:val="22"/>
        </w:rPr>
        <w:t xml:space="preserve">A tabela a seguir é um template de matriz de responsabilidades (modelo RACI simplificado) a ser preenchido pelo grupo, atribuindo a cada um dos cinco integrantes a responsabilidade principal por seções específicas do trabalho, a contribuição concreta esperada e as decisões que cabe a cada um justificar. A divisão sugerida abaixo é apenas um ponto de partida — o grupo deve ajustá-la à divisão de trabalho real que ocorreu e preencher os nomes.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3000"/>
        <w:gridCol w:w="2200"/>
      </w:tblGrid>
      <w:tr>
        <w:trPr>
          <w:tblHeader/>
        </w:trPr>
        <w:tc>
          <w:tcPr>
            <w:tcW w:type="dxa" w:w="1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Integrante</w:t>
            </w:r>
          </w:p>
        </w:tc>
        <w:tc>
          <w:tcPr>
            <w:tcW w:type="dxa" w:w="2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Seções sob sua responsabilidade</w:t>
            </w:r>
          </w:p>
        </w:tc>
        <w:tc>
          <w:tcPr>
            <w:tcW w:type="dxa" w:w="30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Contribuição específica esperada</w:t>
            </w:r>
          </w:p>
        </w:tc>
        <w:tc>
          <w:tcPr>
            <w:tcW w:type="dxa" w:w="2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Decisão a justificar</w:t>
            </w:r>
          </w:p>
        </w:tc>
      </w:tr>
      <w:tr>
        <w:tc>
          <w:tcPr>
            <w:tcW w:type="dxa" w:w="1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1] — DRE [....]</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Seções 1, 2 e 3 (Resumo, Introdução, Conceitos)</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Revisar definições de Cloud Computing/Storage frente à bibliografia da disciplina (Silberschatz; Elmasri/Navathe).</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Por que o NIST foi escolhido como referência conceitual central.</w:t>
            </w:r>
          </w:p>
        </w:tc>
      </w:tr>
      <w:tr>
        <w:tc>
          <w:tcPr>
            <w:tcW w:type="dxa" w:w="1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2] — DRE [....]</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Seções 4 e 5 (Modelos de serviço; Tipos de nuvem)</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Conferir a Tabela 1 (responsabilidades por modelo) e os exemplos de cada modelo de serviço.</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Por que cada exemplo de serviço (EC2, RDS etc.) foi associado ao seu respectivo modelo.</w:t>
            </w:r>
          </w:p>
        </w:tc>
      </w:tr>
      <w:tr>
        <w:tc>
          <w:tcPr>
            <w:tcW w:type="dxa" w:w="1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3] — DRE [....]</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Seções 6 e 7 (Características; Estudo de caso AWS)</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Validar tecnicamente EC2, S3/EBS/Glacier e RDS/Aurora/DynamoDB/Redshift frente à documentação oficial da AWS.</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Por que esses serviços específicos (e não outros) foram escolhidos para ilustrar cada categoria.</w:t>
            </w:r>
          </w:p>
        </w:tc>
      </w:tr>
      <w:tr>
        <w:tc>
          <w:tcPr>
            <w:tcW w:type="dxa" w:w="1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4] — DRE [....]</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8 (Estudo de custo de 3,5 PB)</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Reconferir todos os valores de preço no AWS Pricing Calculator antes da entrega e refazer os cálculos das Tabelas 2 e 3.</w:t>
            </w:r>
          </w:p>
        </w:tc>
        <w:tc>
          <w:tcPr>
            <w:tcW w:type="dxa" w:w="2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Por que os valores foram apresentados como preço de lista, sem descontos comerciais.</w:t>
            </w:r>
          </w:p>
        </w:tc>
      </w:tr>
      <w:tr>
        <w:tc>
          <w:tcPr>
            <w:tcW w:type="dxa" w:w="1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5] — DRE [....]</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Seções 9 e 10 (Conclusão; Post-Mortem/Auditoria)</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Consolidar o Post-Mortem, revisar o log de prompts e coordenar a checagem final de conformidade (Seção 10.6).</w:t>
            </w:r>
          </w:p>
        </w:tc>
        <w:tc>
          <w:tcPr>
            <w:tcW w:type="dxa" w:w="2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Por que cada erro listado na Seção 10.5 foi classificado como erro e como a correção foi validada.</w:t>
            </w:r>
          </w:p>
        </w:tc>
      </w:tr>
    </w:tbl>
    <w:p>
      <w:pPr>
        <w:spacing w:after="240" w:before="60"/>
        <w:jc w:val="center"/>
      </w:pPr>
      <w:r>
        <w:rPr>
          <w:rFonts w:ascii="Calibri" w:cs="Calibri" w:eastAsia="Calibri" w:hAnsi="Calibri"/>
          <w:i/>
          <w:iCs/>
          <w:color w:val="595959"/>
          <w:sz w:val="18"/>
          <w:szCs w:val="18"/>
        </w:rPr>
        <w:t xml:space="preserve">Tabela 5 — Matriz de responsabilidades e autoria (template a ser preenchido com a divisão real de trabalho do grupo).</w:t>
      </w:r>
    </w:p>
    <w:p>
      <w:pPr>
        <w:spacing w:after="160" w:line="300"/>
        <w:jc w:val="both"/>
      </w:pPr>
      <w:r>
        <w:rPr>
          <w:rFonts w:ascii="Calibri" w:cs="Calibri" w:eastAsia="Calibri" w:hAnsi="Calibri"/>
          <w:sz w:val="22"/>
          <w:szCs w:val="22"/>
        </w:rPr>
        <w:t xml:space="preserve">Além da matriz acima, recomenda-se que o grupo registre, em uma célula de observações ou em ata de reunião apensa a este trabalho, o tempo aproximado dedicado por cada integrante (em horas) e as datas das principais interações — reforçando a rastreabilidade da autoria exigida pelo enunciado.</w:t>
      </w:r>
    </w:p>
    <w:p>
      <w:pPr>
        <w:pStyle w:val="Heading2"/>
        <w:spacing w:after="160" w:before="280"/>
      </w:pPr>
      <w:r>
        <w:t xml:space="preserve">10.4 Declaração individual de autoria</w:t>
      </w:r>
    </w:p>
    <w:p>
      <w:pPr>
        <w:spacing w:after="160" w:line="300"/>
        <w:jc w:val="both"/>
      </w:pPr>
      <w:r>
        <w:rPr>
          <w:rFonts w:ascii="Calibri" w:cs="Calibri" w:eastAsia="Calibri" w:hAnsi="Calibri"/>
          <w:sz w:val="22"/>
          <w:szCs w:val="22"/>
        </w:rPr>
        <w:t xml:space="preserve">Cada integrante deve preencher e assinar (fisicamente ou por e-mail/AVA) a declaração abaixo, confirmando que revisou o conteúdo pelo qual é responsável e que está ciente do conteúdo integral do trabalho entregue em seu nome.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1500"/>
        <w:gridCol w:w="2400"/>
      </w:tblGrid>
      <w:tr>
        <w:trPr>
          <w:tblHeader/>
        </w:trPr>
        <w:tc>
          <w:tcPr>
            <w:tcW w:type="dxa" w:w="17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Integrante</w:t>
            </w:r>
          </w:p>
        </w:tc>
        <w:tc>
          <w:tcPr>
            <w:tcW w:type="dxa" w:w="3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Declaro que revisei minha(s) seção(ões) e o conteúdo gerado pela IA nela(s) contido</w:t>
            </w:r>
          </w:p>
        </w:tc>
        <w:tc>
          <w:tcPr>
            <w:tcW w:type="dxa" w:w="1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Data</w:t>
            </w:r>
          </w:p>
        </w:tc>
        <w:tc>
          <w:tcPr>
            <w:tcW w:type="dxa" w:w="24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Assinatura</w:t>
            </w:r>
          </w:p>
        </w:tc>
      </w:tr>
      <w:tr>
        <w:tc>
          <w:tcPr>
            <w:tcW w:type="dxa" w:w="1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1]</w:t>
            </w:r>
          </w:p>
        </w:tc>
        <w:tc>
          <w:tcPr>
            <w:tcW w:type="dxa" w:w="3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 Sim</w:t>
            </w:r>
          </w:p>
        </w:tc>
        <w:tc>
          <w:tcPr>
            <w:tcW w:type="dxa" w:w="1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[__/__/2026]</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________________</w:t>
            </w:r>
          </w:p>
        </w:tc>
      </w:tr>
      <w:tr>
        <w:tc>
          <w:tcPr>
            <w:tcW w:type="dxa" w:w="17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2]</w:t>
            </w:r>
          </w:p>
        </w:tc>
        <w:tc>
          <w:tcPr>
            <w:tcW w:type="dxa" w:w="3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 Sim</w:t>
            </w:r>
          </w:p>
        </w:tc>
        <w:tc>
          <w:tcPr>
            <w:tcW w:type="dxa" w:w="1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[__/__/2026]</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________________</w:t>
            </w:r>
          </w:p>
        </w:tc>
      </w:tr>
      <w:tr>
        <w:tc>
          <w:tcPr>
            <w:tcW w:type="dxa" w:w="1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3]</w:t>
            </w:r>
          </w:p>
        </w:tc>
        <w:tc>
          <w:tcPr>
            <w:tcW w:type="dxa" w:w="3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 Sim</w:t>
            </w:r>
          </w:p>
        </w:tc>
        <w:tc>
          <w:tcPr>
            <w:tcW w:type="dxa" w:w="1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[__/__/2026]</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________________</w:t>
            </w:r>
          </w:p>
        </w:tc>
      </w:tr>
      <w:tr>
        <w:tc>
          <w:tcPr>
            <w:tcW w:type="dxa" w:w="17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4]</w:t>
            </w:r>
          </w:p>
        </w:tc>
        <w:tc>
          <w:tcPr>
            <w:tcW w:type="dxa" w:w="3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 Sim</w:t>
            </w:r>
          </w:p>
        </w:tc>
        <w:tc>
          <w:tcPr>
            <w:tcW w:type="dxa" w:w="1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[__/__/2026]</w:t>
            </w:r>
          </w:p>
        </w:tc>
        <w:tc>
          <w:tcPr>
            <w:tcW w:type="dxa" w:w="24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________________</w:t>
            </w:r>
          </w:p>
        </w:tc>
      </w:tr>
      <w:tr>
        <w:tc>
          <w:tcPr>
            <w:tcW w:type="dxa" w:w="1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[Nome 5]</w:t>
            </w:r>
          </w:p>
        </w:tc>
        <w:tc>
          <w:tcPr>
            <w:tcW w:type="dxa" w:w="3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 ] Sim</w:t>
            </w:r>
          </w:p>
        </w:tc>
        <w:tc>
          <w:tcPr>
            <w:tcW w:type="dxa" w:w="1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[__/__/2026]</w:t>
            </w:r>
          </w:p>
        </w:tc>
        <w:tc>
          <w:tcPr>
            <w:tcW w:type="dxa" w:w="24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________________</w:t>
            </w:r>
          </w:p>
        </w:tc>
      </w:tr>
    </w:tbl>
    <w:p>
      <w:pPr>
        <w:spacing w:after="240" w:before="60"/>
        <w:jc w:val="center"/>
      </w:pPr>
      <w:r>
        <w:rPr>
          <w:rFonts w:ascii="Calibri" w:cs="Calibri" w:eastAsia="Calibri" w:hAnsi="Calibri"/>
          <w:i/>
          <w:iCs/>
          <w:color w:val="595959"/>
          <w:sz w:val="18"/>
          <w:szCs w:val="18"/>
        </w:rPr>
        <w:t xml:space="preserve">Tabela 6 — Declaração individual de autoria e ciência do conteúdo entregue.</w:t>
      </w:r>
    </w:p>
    <w:p>
      <w:pPr>
        <w:pStyle w:val="Heading2"/>
        <w:spacing w:after="160" w:before="280"/>
      </w:pPr>
      <w:r>
        <w:t xml:space="preserve">10.5 Erros identificados no conteúdo gerado pela IA e correções aplicadas</w:t>
      </w:r>
    </w:p>
    <w:p>
      <w:pPr>
        <w:spacing w:after="160" w:line="300"/>
        <w:jc w:val="both"/>
      </w:pPr>
      <w:r>
        <w:rPr>
          <w:rFonts w:ascii="Calibri" w:cs="Calibri" w:eastAsia="Calibri" w:hAnsi="Calibri"/>
          <w:sz w:val="22"/>
          <w:szCs w:val="22"/>
        </w:rPr>
        <w:t xml:space="preserve">A tabela abaixo documenta, de forma auditável, os riscos e erros efetivamente identificados no processo de geração deste trabalho, como foram detectados e a correção aplicada. O grupo deve adicionar linhas com quaisquer outros erros encontrados em sua revisão final (redação, formatação, dados).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700"/>
        <w:gridCol w:w="3000"/>
      </w:tblGrid>
      <w:tr>
        <w:trPr>
          <w:tblHeader/>
        </w:trPr>
        <w:tc>
          <w:tcPr>
            <w:tcW w:type="dxa" w:w="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w:t>
            </w:r>
          </w:p>
        </w:tc>
        <w:tc>
          <w:tcPr>
            <w:tcW w:type="dxa" w:w="2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Risco / erro identificado</w:t>
            </w:r>
          </w:p>
        </w:tc>
        <w:tc>
          <w:tcPr>
            <w:tcW w:type="dxa" w:w="27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Como foi identificado</w:t>
            </w:r>
          </w:p>
        </w:tc>
        <w:tc>
          <w:tcPr>
            <w:tcW w:type="dxa" w:w="30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Correção aplicada</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Preços de serviços AWS gerados "de memória" por um modelo de IA tendem a ficar desatualizados, pois mudam com frequência.</w:t>
            </w:r>
          </w:p>
        </w:tc>
        <w:tc>
          <w:tcPr>
            <w:tcW w:type="dxa" w:w="2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Verificação ativa: a IA foi instruída a pesquisar na web fontes de 2026 sobre preços do S3, em vez de responder apenas com conhecimento de treinamento.</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Valores da Seção 8 fundamentados em múltiplas fontes recentes (ago/2026), com faixa de preço tiered do S3 Standard citada explicitamente e a região de referência indicada.</w:t>
            </w:r>
          </w:p>
        </w:tc>
      </w:tr>
      <w:tr>
        <w:tc>
          <w:tcPr>
            <w:tcW w:type="dxa" w:w="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Ambiguidade na conversão de Petabytes para Gigabytes: IA pode alternar, sem aviso, entre padrão binário (1.024) e decimal (1.000), gerando inconsistência numérica entre seções.</w:t>
            </w:r>
          </w:p>
        </w:tc>
        <w:tc>
          <w:tcPr>
            <w:tcW w:type="dxa" w:w="27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Revisão manual da premissa de conversão apresentada na abertura da Seção 8.</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Premissa de conversão (1 PB = 1.024 TB = 1.048.576 GB) tornada explícita em texto, garantindo que todos os cálculos subsequentes (Tabelas 2 e 3) usem a mesma base.</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Risco de a IA desenvolver o estudo de caso para o provedor de nuvem errado (Azure/GCP/OCI em vez de AWS), gerando retrabalho.</w:t>
            </w:r>
          </w:p>
        </w:tc>
        <w:tc>
          <w:tcPr>
            <w:tcW w:type="dxa" w:w="2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Pergunta de esclarecimento feita antes de iniciar a redação (ver Tabela 4, prompt #2), em vez de assumir um provedor por padrão.</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Escopo confirmado como AWS (Grupos 3 e 7) antes da geração de qualquer conteúdo técnico da Seção 7 e 8.</w:t>
            </w:r>
          </w:p>
        </w:tc>
      </w:tr>
      <w:tr>
        <w:tc>
          <w:tcPr>
            <w:tcW w:type="dxa" w:w="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Valores de custo apresentados sem ressalva poderiam ser confundidos com uma cotação comercial oficial e definitiva.</w:t>
            </w:r>
          </w:p>
        </w:tc>
        <w:tc>
          <w:tcPr>
            <w:tcW w:type="dxa" w:w="27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Revisão crítica do texto gerado pela IA na Seção 8, comparando com a forma como a AWS apresenta preços de lista versus preços negociados.</w:t>
            </w:r>
          </w:p>
        </w:tc>
        <w:tc>
          <w:tcPr>
            <w:tcW w:type="dxa" w:w="30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Adicionada nota explícita de que os valores são preços de lista (list price), sem descontos, Reserved Capacity ou Savings Plans, com recomendação de reconferência no AWS Pricing Calculator antes da entrega.</w:t>
            </w:r>
          </w:p>
        </w:tc>
      </w:tr>
      <w:tr>
        <w:tc>
          <w:tcPr>
            <w:tcW w:type="dxa" w:w="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[Espaço para o grupo]</w:t>
            </w:r>
          </w:p>
        </w:tc>
        <w:tc>
          <w:tcPr>
            <w:tcW w:type="dxa" w:w="27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[Como o grupo identificou este erro durante a revisão final]</w:t>
            </w:r>
          </w:p>
        </w:tc>
        <w:tc>
          <w:tcPr>
            <w:tcW w:type="dxa" w:w="30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[Correção efetivamente aplicada pelo grupo]</w:t>
            </w:r>
          </w:p>
        </w:tc>
      </w:tr>
    </w:tbl>
    <w:p>
      <w:pPr>
        <w:spacing w:after="240" w:before="60"/>
        <w:jc w:val="center"/>
      </w:pPr>
      <w:r>
        <w:rPr>
          <w:rFonts w:ascii="Calibri" w:cs="Calibri" w:eastAsia="Calibri" w:hAnsi="Calibri"/>
          <w:i/>
          <w:iCs/>
          <w:color w:val="595959"/>
          <w:sz w:val="18"/>
          <w:szCs w:val="18"/>
        </w:rPr>
        <w:t xml:space="preserve">Tabela 7 — Erros identificados no conteúdo gerado pela IA e correções aplicadas (auditoria do Post-Mortem).</w:t>
      </w:r>
    </w:p>
    <w:p>
      <w:pPr>
        <w:pStyle w:val="Heading2"/>
        <w:spacing w:after="160" w:before="280"/>
      </w:pPr>
      <w:r>
        <w:t xml:space="preserve">10.6 Checklist de conformidade com o enunciado</w:t>
      </w:r>
    </w:p>
    <w:p>
      <w:pPr>
        <w:spacing w:after="160" w:line="300"/>
        <w:jc w:val="both"/>
      </w:pPr>
      <w:r>
        <w:rPr>
          <w:rFonts w:ascii="Calibri" w:cs="Calibri" w:eastAsia="Calibri" w:hAnsi="Calibri"/>
          <w:sz w:val="22"/>
          <w:szCs w:val="22"/>
        </w:rPr>
        <w:t xml:space="preserve">Como etapa final de auditoria, o grupo confrontou cada exigência do enunciado da tarefa com o local exato deste trabalho em que ela é atendida, de modo a garantir que nenhum requisito tenha sido esquecido antes da entrega.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500"/>
      </w:tblGrid>
      <w:tr>
        <w:trPr>
          <w:tblHeader/>
        </w:trPr>
        <w:tc>
          <w:tcPr>
            <w:tcW w:type="dxa" w:w="42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Exigência do enunciado</w:t>
            </w:r>
          </w:p>
        </w:tc>
        <w:tc>
          <w:tcPr>
            <w:tcW w:type="dxa" w:w="29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Onde é atendida</w:t>
            </w:r>
          </w:p>
        </w:tc>
        <w:tc>
          <w:tcPr>
            <w:tcW w:type="dxa" w:w="2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Status</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Conceito de Cloud Computing e definição de Cloud Storage</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3</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Modelos de serviço: IaaS, PaaS, SaaS, DBaaS, DWaaS</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4 e Tabela 1</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Tipos de nuvem: pública, privada, híbrida</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5</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Características: acessibilidade, disponibilidade, latência, escalabilidade, confiabilidade, segurança, custo</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6 (6.1 a 6.6)</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AWS — Computação: EC2</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7.1</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AWS — Armazenamento: S3, EBS, Glacier</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7.2</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AWS — Banco de dados: RDS, Aurora, DynamoDB, Redshift</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7.3</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Custo, vantagens e desvantagens de armazenar/processar 3,5 PB</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8 (8.1 a 8.4)</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Folha de rosto com nomes completos e DRE dos 5 integrantes</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Capa do documento</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Pendente — grupo deve preencher nomes/DRE</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Log dos prompts-chave utilizados</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10.2 e Tabela 4</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 (a complementar com prompts de revisão do grupo)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Demonstração de autoria: quem fez o quê, quem decidiu o quê e por quê</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Seções 10.3 e 10.4 (Tabelas 5 e 6)</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Pendente — grupo deve preencher com a divisão real de trabalho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Identificação de erros da IA e correções aplicadas</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10.5 e Tabela 7</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 (a complementar pelo grupo)</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intitulada "Post-Mortem"</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Seção 10 (título exato)</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Atendido</w:t>
            </w:r>
          </w:p>
        </w:tc>
      </w:tr>
      <w:tr>
        <w:tc>
          <w:tcPr>
            <w:tcW w:type="dxa" w:w="42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PDF postado na tarefa</w:t>
            </w:r>
          </w:p>
        </w:tc>
        <w:tc>
          <w:tcPr>
            <w:tcW w:type="dxa" w:w="29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Este documento, exportado em .pdf</w:t>
            </w:r>
          </w:p>
        </w:tc>
        <w:tc>
          <w:tcPr>
            <w:tcW w:type="dxa" w:w="2500"/>
            <w:shd w:fill="EAF0F8"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Ação do grupo no AVA@UFRJ</w:t>
            </w:r>
          </w:p>
        </w:tc>
      </w:tr>
      <w:tr>
        <w:tc>
          <w:tcPr>
            <w:tcW w:type="dxa" w:w="42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Slides da apresentação postados</w:t>
            </w:r>
          </w:p>
        </w:tc>
        <w:tc>
          <w:tcPr>
            <w:tcW w:type="dxa" w:w="29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Arquivo .pptx elaborado em paralelo</w:t>
            </w:r>
          </w:p>
        </w:tc>
        <w:tc>
          <w:tcPr>
            <w:tcW w:type="dxa" w:w="2500"/>
            <w:shd w:fill="FFFFFF" w:val="clear"/>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Ação do grupo no AVA@UFRJ</w:t>
            </w:r>
          </w:p>
        </w:tc>
      </w:tr>
    </w:tbl>
    <w:p>
      <w:pPr>
        <w:spacing w:after="240" w:before="60"/>
        <w:jc w:val="center"/>
      </w:pPr>
      <w:r>
        <w:rPr>
          <w:rFonts w:ascii="Calibri" w:cs="Calibri" w:eastAsia="Calibri" w:hAnsi="Calibri"/>
          <w:i/>
          <w:iCs/>
          <w:color w:val="595959"/>
          <w:sz w:val="18"/>
          <w:szCs w:val="18"/>
        </w:rPr>
        <w:t xml:space="preserve">Tabela 8 — Checklist final de conformidade com o enunciado (autoauditoria antes da entrega).</w:t>
      </w:r>
    </w:p>
    <w:p>
      <w:pPr>
        <w:spacing w:after="160" w:line="300"/>
        <w:jc w:val="both"/>
      </w:pPr>
      <w:r>
        <w:rPr>
          <w:rFonts w:ascii="Calibri" w:cs="Calibri" w:eastAsia="Calibri" w:hAnsi="Calibri"/>
          <w:sz w:val="22"/>
          <w:szCs w:val="22"/>
        </w:rPr>
        <w:t xml:space="preserve">Este relatório Post-Mortem evidencia que o uso de IA generativa foi tratado de forma crítica e rastreável pelo grupo — como ferramenta de produtividade e de primeira pesquisa, sempre sujeita à verificação humana e à divisão explícita de responsabilidades entre os cinco integrantes, conforme recomendado no próprio enunciado da tarefa ("recomendo o uso crítico").</w:t>
      </w:r>
    </w:p>
    <w:p>
      <w:r>
        <w:br w:type="page"/>
      </w:r>
    </w:p>
    <w:p>
      <w:pPr>
        <w:pStyle w:val="Heading1"/>
        <w:spacing w:after="200" w:before="360"/>
      </w:pPr>
      <w:r>
        <w:t xml:space="preserve">11. Referências Bibliográficas</w:t>
      </w:r>
    </w:p>
    <w:p>
      <w:pPr>
        <w:spacing w:after="160" w:line="280"/>
        <w:ind w:left="400" w:hanging="400"/>
      </w:pPr>
      <w:r>
        <w:rPr>
          <w:rFonts w:ascii="Calibri" w:cs="Calibri" w:eastAsia="Calibri" w:hAnsi="Calibri"/>
          <w:sz w:val="21"/>
          <w:szCs w:val="21"/>
        </w:rPr>
        <w:t xml:space="preserve">SILBERSCHATZ, A.; KORTH, H. F.; SUDARSHAN, S. Sistema de Banco de Dados. 7ª ed. Rio de Janeiro: Elsevier, 2020. Seções 1.9, 12.2 e 20.7.</w:t>
      </w:r>
    </w:p>
    <w:p>
      <w:pPr>
        <w:spacing w:after="160" w:line="280"/>
        <w:ind w:left="400" w:hanging="400"/>
      </w:pPr>
      <w:r>
        <w:rPr>
          <w:rFonts w:ascii="Calibri" w:cs="Calibri" w:eastAsia="Calibri" w:hAnsi="Calibri"/>
          <w:sz w:val="21"/>
          <w:szCs w:val="21"/>
        </w:rPr>
        <w:t xml:space="preserve">ELMASRI, R.; NAVATHE, S. B. Sistemas de Banco de Dados. 7ª ed. São Paulo: Pearson, 2019. Capítulos 1 e 2; Seções 25.6.2 e 25.6.3.</w:t>
      </w:r>
    </w:p>
    <w:p>
      <w:pPr>
        <w:spacing w:after="160" w:line="280"/>
        <w:ind w:left="400" w:hanging="400"/>
      </w:pPr>
      <w:r>
        <w:rPr>
          <w:rFonts w:ascii="Calibri" w:cs="Calibri" w:eastAsia="Calibri" w:hAnsi="Calibri"/>
          <w:sz w:val="21"/>
          <w:szCs w:val="21"/>
        </w:rPr>
        <w:t xml:space="preserve">ÖZSU, M. T.; VALDURIEZ, P. Principles of Distributed Database Systems. 4ª ed. Springer, 2020. Seção 1.6.5.</w:t>
      </w:r>
    </w:p>
    <w:p>
      <w:pPr>
        <w:spacing w:after="160" w:line="280"/>
        <w:ind w:left="400" w:hanging="400"/>
      </w:pPr>
      <w:r>
        <w:rPr>
          <w:rFonts w:ascii="Calibri" w:cs="Calibri" w:eastAsia="Calibri" w:hAnsi="Calibri"/>
          <w:sz w:val="21"/>
          <w:szCs w:val="21"/>
        </w:rPr>
        <w:t xml:space="preserve">ERL, T.; PUTTINI, R.; MAHMOOD, Z. Cloud Computing: Concepts, Technology &amp; Architecture. Prentice Hall, 2013.</w:t>
      </w:r>
    </w:p>
    <w:p>
      <w:pPr>
        <w:spacing w:after="160" w:line="280"/>
        <w:ind w:left="400" w:hanging="400"/>
      </w:pPr>
      <w:r>
        <w:rPr>
          <w:rFonts w:ascii="Calibri" w:cs="Calibri" w:eastAsia="Calibri" w:hAnsi="Calibri"/>
          <w:sz w:val="21"/>
          <w:szCs w:val="21"/>
        </w:rPr>
        <w:t xml:space="preserve">HUAWEI TECHNOLOGIES CO., LTD. Cloud Computing Technology. Open access, 2023.</w:t>
      </w:r>
    </w:p>
    <w:p>
      <w:pPr>
        <w:spacing w:after="160" w:line="280"/>
        <w:ind w:left="400" w:hanging="400"/>
      </w:pPr>
      <w:r>
        <w:rPr>
          <w:rFonts w:ascii="Calibri" w:cs="Calibri" w:eastAsia="Calibri" w:hAnsi="Calibri"/>
          <w:sz w:val="21"/>
          <w:szCs w:val="21"/>
        </w:rPr>
        <w:t xml:space="preserve">OLIVEIRA, B.; CARVALHO, M. Guia da Computação em Nuvem. Disponível em: https://archive.org/details/guia-da-computacao-em-nuvem.</w:t>
      </w:r>
    </w:p>
    <w:p>
      <w:pPr>
        <w:spacing w:after="160" w:line="280"/>
        <w:ind w:left="400" w:hanging="400"/>
      </w:pPr>
      <w:r>
        <w:rPr>
          <w:rFonts w:ascii="Calibri" w:cs="Calibri" w:eastAsia="Calibri" w:hAnsi="Calibri"/>
          <w:sz w:val="21"/>
          <w:szCs w:val="21"/>
        </w:rPr>
        <w:t xml:space="preserve">AMAZON WEB SERVICES. AWS Pricing — Amazon S3, Amazon EC2, Amazon RDS. Disponível em: https://aws.amazon.com/pt/pricing/. Acesso em: ago. 2026.</w:t>
      </w:r>
    </w:p>
    <w:p>
      <w:pPr>
        <w:spacing w:after="160" w:line="280"/>
        <w:ind w:left="400" w:hanging="400"/>
      </w:pPr>
      <w:r>
        <w:rPr>
          <w:rFonts w:ascii="Calibri" w:cs="Calibri" w:eastAsia="Calibri" w:hAnsi="Calibri"/>
          <w:sz w:val="21"/>
          <w:szCs w:val="21"/>
        </w:rPr>
        <w:t xml:space="preserve">NIST — National Institute of Standards and Technology. The NIST Definition of Cloud Computing (SP 800-145).</w:t>
      </w:r>
    </w:p>
    <w:p>
      <w:pPr>
        <w:spacing w:after="160" w:line="280"/>
        <w:ind w:left="400" w:hanging="400"/>
      </w:pPr>
      <w:r>
        <w:rPr>
          <w:rFonts w:ascii="Calibri" w:cs="Calibri" w:eastAsia="Calibri" w:hAnsi="Calibri"/>
          <w:sz w:val="21"/>
          <w:szCs w:val="21"/>
        </w:rPr>
        <w:t xml:space="preserve">[Grupo]: incluir aqui quaisquer outras fontes efetivamente consultadas (sites dos provedores, artigos, documentação oficial), conforme utilizadas na elaboração final do trabalho.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de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Cloud Computing &amp; Cloud Storages — 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F3864"/>
      <w:sz w:val="30"/>
      <w:szCs w:val="30"/>
    </w:rPr>
  </w:style>
  <w:style w:type="paragraph" w:styleId="Heading2">
    <w:name w:val="Heading 2"/>
    <w:basedOn w:val="Normal"/>
    <w:next w:val="Normal"/>
    <w:qFormat/>
    <w:pPr>
      <w:spacing w:after="160" w:before="280"/>
    </w:pPr>
    <w:rPr>
      <w:rFonts w:ascii="Calibri" w:cs="Calibri" w:eastAsia="Calibri" w:hAnsi="Calibri"/>
      <w:b/>
      <w:bCs/>
      <w:color w:val="2E5395"/>
      <w:sz w:val="25"/>
      <w:szCs w:val="25"/>
    </w:rPr>
  </w:style>
  <w:style w:type="paragraph" w:styleId="Heading3">
    <w:name w:val="Heading 3"/>
    <w:basedOn w:val="Normal"/>
    <w:next w:val="Normal"/>
    <w:qFormat/>
    <w:pPr>
      <w:spacing w:after="120" w:before="20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2026-09-04T19:45:20.476Z</dcterms:created>
  <dcterms:modified xsi:type="dcterms:W3CDTF">2026-09-04T19:45:20.477Z</dcterms:modified>
</cp:coreProperties>
</file>

<file path=docProps/custom.xml><?xml version="1.0" encoding="utf-8"?>
<Properties xmlns="http://schemas.openxmlformats.org/officeDocument/2006/custom-properties" xmlns:vt="http://schemas.openxmlformats.org/officeDocument/2006/docPropsVTypes"/>
</file>