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ANIGO — Sprint 10: Interoperabilidade e Exportação VRM 1.0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before="0" w:lineRule="auto"/>
        <w:ind w:left="0" w:righ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Concluir o Passo 1 permitindo exportar o personagem anime completo (malha, ossos, blendshapes, texturas e metadados) com conformidade total à norma VRM 1.0 / glTF 2.0.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Arquitetura e Pacotes Envolvidos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src-tauri/crates/anigo-vrm: Serializador e validador de glTF 2.0 e extensões VRM 1.0.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src/components/character/ExportModal.svelte: Configurações de autor, licença e otimização.</w:t>
      </w:r>
    </w:p>
    <w:p w:rsidR="00000000" w:rsidDel="00000000" w:rsidP="00000000" w:rsidRDefault="00000000" w:rsidRPr="00000000" w14:paraId="00000007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Tarefas Técnicas de Engenharia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Implementar empacotador binário `.vrm` com hierarquia de esqueleto T-Pose padronizada.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Mapear curvas de expressões faciais, molas secundárias e metadados legais de licenciamento.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rPr>
          <w:rtl w:val="0"/>
        </w:rPr>
        <w:t xml:space="preserve">Validar o modelo exportado contra o validador oficial da Khronos Group.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 Critérios de Aceite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right="0" w:hanging="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  <w:t xml:space="preserve">O arquivo `.vrm` exportado carrega perfeitamente em players e softwares compatíveis da indústria sem erros estruturais.</w:t>
      </w:r>
    </w:p>
    <w:sectPr>
      <w:pgSz w:h="15840" w:w="12240" w:orient="portrait"/>
      <w:pgMar w:bottom="300" w:top="300" w:left="300" w:right="30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3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02124"/>
        <w:sz w:val="22"/>
        <w:szCs w:val="22"/>
      </w:rPr>
    </w:rPrDefault>
    <w:pPrDefault>
      <w:pPr>
        <w:widowControl w:val="0"/>
        <w:spacing w:after="300" w:before="300" w:line="384.0000057220459" w:lineRule="auto"/>
        <w:ind w:left="300" w:right="300" w:firstLine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color w:val="1a73e8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  <w:ind w:left="0" w:right="0" w:firstLine="0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  <w:ind w:left="0" w:right="0" w:firstLine="0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  <w:ind w:left="0" w:right="0" w:firstLine="0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  <w:ind w:left="0" w:right="0" w:firstLine="0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