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16: Shaders Especializados para Background Art (Painterly)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Desenvolver shaders WGSL que emulam o acabamento pictórico tradicional de fundos de anime (aquarela, guache de estúdio e perspectiva aérea).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shaders/painterly_background.wgsl: Shader com granulação de pigmento e dispersão atmosférica.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src/components/environment/EnvironmentShading.svelte: Controles de névoa e paleta de cenário.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Implementar efeito de acúmulo de pigmento em bordas (*edge darkening*) e textura procedural de papel aquarela.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Criar névoa de perspectiva aérea que resfria e dessatura objetos distantes gradualmente.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Desenvolver shader volumétrico estilizado para folhagens de árvores (*cloud foliage*).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 geometria 3D do cenário ganha aspecto de pintura tradicional japonesa harmonizada com os personagens.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