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51.jpg" ContentType="image/jpeg"/>
  <Override PartName="/word/media/rId52.jpg" ContentType="image/jpeg"/>
  <Override PartName="/word/media/rId53.jpg" ContentType="image/jpeg"/>
  <Override PartName="/word/media/rId54.jpg" ContentType="image/jpeg"/>
  <Override PartName="/word/media/rId50.jpg" ContentType="image/jpeg"/>
  <Override PartName="/word/media/rId29.png" ContentType="image/png"/>
  <Override PartName="/word/media/rId30.png" ContentType="image/png"/>
  <Override PartName="/word/media/rId56.jpg" ContentType="image/jpeg"/>
  <Override PartName="/word/media/rId57.jpg" ContentType="image/jpeg"/>
  <Override PartName="/word/media/rId58.jpg" ContentType="image/jpeg"/>
  <Override PartName="/word/media/rId59.jpg" ContentType="image/jpeg"/>
  <Override PartName="/word/media/rId55.jpg" ContentType="image/jpeg"/>
  <Override PartName="/word/media/rId42.jpg" ContentType="image/jpeg"/>
  <Override PartName="/word/media/rId43.jpg" ContentType="image/jpeg"/>
  <Override PartName="/word/media/rId46.png" ContentType="image/png"/>
  <Override PartName="/word/media/rId49.png" ContentType="image/png"/>
  <Override PartName="/word/media/rId48.png" ContentType="image/png"/>
  <Override PartName="/word/media/rId26.png" ContentType="image/png"/>
  <Override PartName="/word/media/rId27.jpg" ContentType="image/jpeg"/>
  <Override PartName="/word/media/rId4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FUNDAÇÃO</w:t>
      </w:r>
      <w:r>
        <w:t xml:space="preserve"> </w:t>
      </w:r>
      <w:r>
        <w:t xml:space="preserve">UNIVERSIDADE</w:t>
      </w:r>
      <w:r>
        <w:t xml:space="preserve"> </w:t>
      </w:r>
      <w:r>
        <w:t xml:space="preserve">FEDERAL</w:t>
      </w:r>
      <w:r>
        <w:t xml:space="preserve"> </w:t>
      </w:r>
      <w:r>
        <w:t xml:space="preserve">DO</w:t>
      </w:r>
      <w:r>
        <w:t xml:space="preserve"> </w:t>
      </w:r>
      <w:r>
        <w:t xml:space="preserve">ABC</w:t>
      </w:r>
    </w:p>
    <w:p>
      <w:pPr>
        <w:pStyle w:val="Subtitle"/>
      </w:pPr>
      <w:r>
        <w:rPr>
          <w:bCs/>
          <w:b/>
        </w:rPr>
        <w:t xml:space="preserve">Impactos</w:t>
      </w:r>
      <w:r>
        <w:rPr>
          <w:bCs/>
          <w:b/>
        </w:rPr>
        <w:t xml:space="preserve"> </w:t>
      </w:r>
      <w:r>
        <w:rPr>
          <w:bCs/>
          <w:b/>
        </w:rPr>
        <w:t xml:space="preserve">das</w:t>
      </w:r>
      <w:r>
        <w:rPr>
          <w:bCs/>
          <w:b/>
        </w:rPr>
        <w:t xml:space="preserve"> </w:t>
      </w:r>
      <w:r>
        <w:rPr>
          <w:bCs/>
          <w:b/>
        </w:rPr>
        <w:t xml:space="preserve">mudanças</w:t>
      </w:r>
      <w:r>
        <w:rPr>
          <w:bCs/>
          <w:b/>
        </w:rPr>
        <w:t xml:space="preserve"> </w:t>
      </w:r>
      <w:r>
        <w:rPr>
          <w:bCs/>
          <w:b/>
        </w:rPr>
        <w:t xml:space="preserve">climáticas:</w:t>
      </w:r>
      <w:r>
        <w:rPr>
          <w:bCs/>
          <w:b/>
        </w:rPr>
        <w:t xml:space="preserve"> </w:t>
      </w:r>
      <w:r>
        <w:rPr>
          <w:iCs/>
          <w:i/>
          <w:bCs/>
          <w:b/>
        </w:rPr>
        <w:t xml:space="preserve">Mismatches</w:t>
      </w:r>
      <w:r>
        <w:rPr>
          <w:bCs/>
          <w:b/>
        </w:rPr>
        <w:t xml:space="preserve"> </w:t>
      </w:r>
      <w:r>
        <w:rPr>
          <w:bCs/>
          <w:b/>
        </w:rPr>
        <w:t xml:space="preserve">e</w:t>
      </w:r>
      <w:r>
        <w:rPr>
          <w:bCs/>
          <w:b/>
        </w:rPr>
        <w:t xml:space="preserve"> </w:t>
      </w:r>
      <w:r>
        <w:rPr>
          <w:bCs/>
          <w:b/>
        </w:rPr>
        <w:t xml:space="preserve">alterações</w:t>
      </w:r>
      <w:r>
        <w:rPr>
          <w:bCs/>
          <w:b/>
        </w:rPr>
        <w:t xml:space="preserve"> </w:t>
      </w:r>
      <w:r>
        <w:rPr>
          <w:bCs/>
          <w:b/>
        </w:rPr>
        <w:t xml:space="preserve">na</w:t>
      </w:r>
      <w:r>
        <w:rPr>
          <w:bCs/>
          <w:b/>
        </w:rPr>
        <w:t xml:space="preserve"> </w:t>
      </w:r>
      <w:r>
        <w:rPr>
          <w:bCs/>
          <w:b/>
        </w:rPr>
        <w:t xml:space="preserve">distribuição</w:t>
      </w:r>
      <w:r>
        <w:rPr>
          <w:bCs/>
          <w:b/>
        </w:rPr>
        <w:t xml:space="preserve"> </w:t>
      </w:r>
      <w:r>
        <w:rPr>
          <w:bCs/>
          <w:b/>
        </w:rPr>
        <w:t xml:space="preserve">de</w:t>
      </w:r>
      <w:r>
        <w:rPr>
          <w:bCs/>
          <w:b/>
        </w:rPr>
        <w:t xml:space="preserve"> </w:t>
      </w:r>
      <w:r>
        <w:rPr>
          <w:bCs/>
          <w:b/>
        </w:rPr>
        <w:t xml:space="preserve">plantas</w:t>
      </w:r>
      <w:r>
        <w:rPr>
          <w:bCs/>
          <w:b/>
        </w:rPr>
        <w:t xml:space="preserve"> </w:t>
      </w:r>
      <w:r>
        <w:rPr>
          <w:bCs/>
          <w:b/>
        </w:rPr>
        <w:t xml:space="preserve">e</w:t>
      </w:r>
      <w:r>
        <w:rPr>
          <w:bCs/>
          <w:b/>
        </w:rPr>
        <w:t xml:space="preserve"> </w:t>
      </w:r>
      <w:r>
        <w:rPr>
          <w:bCs/>
          <w:b/>
        </w:rPr>
        <w:t xml:space="preserve">morcegos</w:t>
      </w:r>
      <w:r>
        <w:rPr>
          <w:bCs/>
          <w:b/>
        </w:rPr>
        <w:t xml:space="preserve"> </w:t>
      </w:r>
      <w:r>
        <w:rPr>
          <w:bCs/>
          <w:b/>
        </w:rPr>
        <w:t xml:space="preserve">polinizadores</w:t>
      </w:r>
    </w:p>
    <w:p>
      <w:pPr>
        <w:pStyle w:val="Date"/>
      </w:pPr>
      <w:r>
        <w:t xml:space="preserve">30</w:t>
      </w:r>
      <w:r>
        <w:t xml:space="preserve"> </w:t>
      </w:r>
      <w:r>
        <w:t xml:space="preserve">de</w:t>
      </w:r>
      <w:r>
        <w:t xml:space="preserve"> </w:t>
      </w:r>
      <w:r>
        <w:t xml:space="preserve">Setembro</w:t>
      </w:r>
      <w:r>
        <w:t xml:space="preserve"> </w:t>
      </w:r>
      <w:r>
        <w:t xml:space="preserve">de</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resumo"/>
    <w:p>
      <w:pPr>
        <w:pStyle w:val="Heading1"/>
      </w:pPr>
      <w:r>
        <w:t xml:space="preserve">Resumo</w:t>
      </w:r>
    </w:p>
    <w:p>
      <w:pPr>
        <w:pStyle w:val="FirstParagraph"/>
      </w:pPr>
      <w:r>
        <w:t xml:space="preserve">A modificação na distribuição geográfica das espécies é um dos inúmeros impactos que as alterações no clima podem causar nas comunidades, comprometendo o funcionamento de ecossistemas e interações ecológicas entre indivíduos.</w:t>
      </w:r>
      <w:r>
        <w:t xml:space="preserve"> </w:t>
      </w:r>
      <w:r>
        <w:t xml:space="preserve">Dessa forma, como resposta às mudanças climáticas, as espécies que a adaptarem sua distribuição a lugares mais adequados serão selecionadas evolutivamente, caso contrário serão extintas.</w:t>
      </w:r>
      <w:r>
        <w:t xml:space="preserve"> </w:t>
      </w:r>
      <w:r>
        <w:t xml:space="preserve">Se a adequação não for acompanhada também pela adaptação das outras espécies com os quais há relações ecológicas importantes, pode ocorrer o chamado</w:t>
      </w:r>
      <w:r>
        <w:t xml:space="preserve"> </w:t>
      </w:r>
      <w:r>
        <w:rPr>
          <w:iCs/>
          <w:i/>
        </w:rPr>
        <w:t xml:space="preserve">mismatch</w:t>
      </w:r>
      <w:r>
        <w:t xml:space="preserve"> </w:t>
      </w:r>
      <w:r>
        <w:t xml:space="preserve">espacial entre elas, que é dada pela não sobreposição geográfica das espécies.</w:t>
      </w:r>
      <w:r>
        <w:t xml:space="preserve"> </w:t>
      </w:r>
      <w:r>
        <w:t xml:space="preserve">O presente projeto tem como objetivo avaliar os impactos das mudanças climáticas na distribuição geográfica da espécie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da bromélia</w:t>
      </w:r>
      <w:r>
        <w:t xml:space="preserve"> </w:t>
      </w:r>
      <w:r>
        <w:rPr>
          <w:iCs/>
          <w:i/>
        </w:rPr>
        <w:t xml:space="preserve">Encholirium subsecundum</w:t>
      </w:r>
      <w:r>
        <w:t xml:space="preserve"> </w:t>
      </w:r>
      <w:r>
        <w:t xml:space="preserve">(Baker) Mez, duas espécies que possuem relações ecológicas próximas, sendo</w:t>
      </w:r>
      <w:r>
        <w:t xml:space="preserve"> </w:t>
      </w:r>
      <w:r>
        <w:rPr>
          <w:iCs/>
          <w:i/>
        </w:rPr>
        <w:t xml:space="preserve">L. bokermanni</w:t>
      </w:r>
      <w:r>
        <w:t xml:space="preserve"> </w:t>
      </w:r>
      <w:r>
        <w:t xml:space="preserve">o único polinizador conhecido de</w:t>
      </w:r>
      <w:r>
        <w:t xml:space="preserve"> </w:t>
      </w:r>
      <w:r>
        <w:rPr>
          <w:iCs/>
          <w:i/>
        </w:rPr>
        <w:t xml:space="preserve">E. subsecundum</w:t>
      </w:r>
      <w:r>
        <w:t xml:space="preserve">.</w:t>
      </w:r>
      <w:r>
        <w:t xml:space="preserve"> </w:t>
      </w:r>
      <w:r>
        <w:t xml:space="preserve">Utilizando-se de Modelos de Distribuição de Espécies (MDEs) foram criados modelos de distribuição potencial das espécies em dois cenários climáticos projetados para 2050, de RCP 4.5 e 8.5.</w:t>
      </w:r>
    </w:p>
    <w:p>
      <w:pPr>
        <w:pStyle w:val="BlockText"/>
      </w:pPr>
      <w:r>
        <w:rPr>
          <w:bCs/>
          <w:b/>
        </w:rPr>
        <w:t xml:space="preserve">Palavras chave:</w:t>
      </w:r>
      <w:r>
        <w:t xml:space="preserve"> </w:t>
      </w:r>
      <w:r>
        <w:t xml:space="preserve">Mudanças climáticas, modelagem, distribuição e sobreposição de espécies.</w:t>
      </w:r>
    </w:p>
    <w:p>
      <w:pPr>
        <w:pStyle w:val="BlockText"/>
      </w:pPr>
      <w:r>
        <w:rPr>
          <w:bCs/>
          <w:b/>
        </w:rPr>
        <w:t xml:space="preserve">Área do conhecimento:</w:t>
      </w:r>
      <w:r>
        <w:t xml:space="preserve"> </w:t>
      </w:r>
      <w:r>
        <w:t xml:space="preserve">Ecologia.</w:t>
      </w:r>
    </w:p>
    <w:bookmarkEnd w:id="20"/>
    <w:bookmarkStart w:id="21" w:name="introdução"/>
    <w:p>
      <w:pPr>
        <w:pStyle w:val="Heading1"/>
      </w:pPr>
      <w:r>
        <w:t xml:space="preserve">1. Introdução</w:t>
      </w:r>
    </w:p>
    <w:p>
      <w:pPr>
        <w:pStyle w:val="FirstParagraph"/>
      </w:pPr>
      <w:r>
        <w:t xml:space="preserve">    As mudanças climáticas, especialmente o aumento das temperaturas, que ocorrem ao longo de décadas</w:t>
      </w:r>
      <w:r>
        <w:t xml:space="preserve"> </w:t>
      </w:r>
      <w:r>
        <w:t xml:space="preserve">(</w:t>
      </w:r>
      <w:hyperlink w:anchor="ref-IPCC">
        <w:r>
          <w:rPr>
            <w:rStyle w:val="Hyperlink"/>
          </w:rPr>
          <w:t xml:space="preserve">IPCC, 2013</w:t>
        </w:r>
      </w:hyperlink>
      <w:r>
        <w:t xml:space="preserve">)</w:t>
      </w:r>
      <w:r>
        <w:t xml:space="preserve"> </w:t>
      </w:r>
      <w:r>
        <w:t xml:space="preserve">têm produzido alterações na distribuição geográfica de espécies</w:t>
      </w:r>
      <w:r>
        <w:t xml:space="preserve"> </w:t>
      </w:r>
      <w:r>
        <w:t xml:space="preserve">(</w:t>
      </w:r>
      <w:hyperlink w:anchor="ref-parmesan2006">
        <w:r>
          <w:rPr>
            <w:rStyle w:val="Hyperlink"/>
          </w:rPr>
          <w:t xml:space="preserve">PARMESAN, 2006</w:t>
        </w:r>
      </w:hyperlink>
      <w:r>
        <w:t xml:space="preserve">;</w:t>
      </w:r>
      <w:r>
        <w:t xml:space="preserve"> </w:t>
      </w:r>
      <w:hyperlink w:anchor="ref-parmesan2003">
        <w:r>
          <w:rPr>
            <w:rStyle w:val="Hyperlink"/>
          </w:rPr>
          <w:t xml:space="preserve">PARMESAN e YOHE, 2003</w:t>
        </w:r>
      </w:hyperlink>
      <w:r>
        <w:t xml:space="preserve">)</w:t>
      </w:r>
      <w:r>
        <w:t xml:space="preserve"> </w:t>
      </w:r>
      <w:r>
        <w:t xml:space="preserve">e seus comportamentos</w:t>
      </w:r>
      <w:r>
        <w:t xml:space="preserve"> </w:t>
      </w:r>
      <w:r>
        <w:t xml:space="preserve">(</w:t>
      </w:r>
      <w:hyperlink w:anchor="ref-pecl2017">
        <w:r>
          <w:rPr>
            <w:rStyle w:val="Hyperlink"/>
          </w:rPr>
          <w:t xml:space="preserve">PECL e colab., 2017</w:t>
        </w:r>
      </w:hyperlink>
      <w:r>
        <w:t xml:space="preserve">)</w:t>
      </w:r>
      <w:r>
        <w:t xml:space="preserve">, impactando a maior parte da biodiversidade do planeta. Estudos indicam a tendência de que a redistribuição de espécies esteja acontecendo de maneira acelerada</w:t>
      </w:r>
      <w:r>
        <w:t xml:space="preserve"> </w:t>
      </w:r>
      <w:r>
        <w:t xml:space="preserve">(</w:t>
      </w:r>
      <w:hyperlink w:anchor="ref-pecl2017">
        <w:r>
          <w:rPr>
            <w:rStyle w:val="Hyperlink"/>
          </w:rPr>
          <w:t xml:space="preserve">PECL e colab., 2017</w:t>
        </w:r>
      </w:hyperlink>
      <w:r>
        <w:t xml:space="preserve">)</w:t>
      </w:r>
      <w:r>
        <w:t xml:space="preserve">, comprometendo o funcionamento dos ecossistemas e as interações ecológicas entre os indivíduos, os quais são expostos a condições ambientais incomuns que testam a sensibilidade da comunidade</w:t>
      </w:r>
      <w:r>
        <w:t xml:space="preserve"> </w:t>
      </w:r>
      <w:r>
        <w:t xml:space="preserve">(</w:t>
      </w:r>
      <w:hyperlink w:anchor="ref-williams2009">
        <w:r>
          <w:rPr>
            <w:rStyle w:val="Hyperlink"/>
          </w:rPr>
          <w:t xml:space="preserve">WILLIAMS e colab., 2009</w:t>
        </w:r>
      </w:hyperlink>
      <w:r>
        <w:t xml:space="preserve">)</w:t>
      </w:r>
      <w:r>
        <w:t xml:space="preserve">.</w:t>
      </w:r>
    </w:p>
    <w:p>
      <w:pPr>
        <w:pStyle w:val="BodyText"/>
      </w:pPr>
      <w:r>
        <w:t xml:space="preserve">Diante dessas condições, a migração para nichos climáticos adequados</w:t>
      </w:r>
      <w:r>
        <w:t xml:space="preserve"> </w:t>
      </w:r>
      <w:r>
        <w:t xml:space="preserve">(</w:t>
      </w:r>
      <w:hyperlink w:anchor="ref-parmesan2006">
        <w:r>
          <w:rPr>
            <w:rStyle w:val="Hyperlink"/>
          </w:rPr>
          <w:t xml:space="preserve">PARMESAN, 2006</w:t>
        </w:r>
      </w:hyperlink>
      <w:r>
        <w:t xml:space="preserve">)</w:t>
      </w:r>
      <w:r>
        <w:t xml:space="preserve"> </w:t>
      </w:r>
      <w:r>
        <w:t xml:space="preserve">surge como possível resposta de algumas espécies ao cenário climático, o que não ocorre ao mesmo passo nos diferentes grupos de seres vivos, dados diferentes traços funcionais e características ambientais</w:t>
      </w:r>
      <w:r>
        <w:t xml:space="preserve"> </w:t>
      </w:r>
      <w:r>
        <w:t xml:space="preserve">(</w:t>
      </w:r>
      <w:hyperlink w:anchor="ref-doak2010">
        <w:r>
          <w:rPr>
            <w:rStyle w:val="Hyperlink"/>
          </w:rPr>
          <w:t xml:space="preserve">DOAK e MORRIS, 2010</w:t>
        </w:r>
      </w:hyperlink>
      <w:r>
        <w:t xml:space="preserve">)</w:t>
      </w:r>
      <w:r>
        <w:t xml:space="preserve">. Caso a adaptação geográfica das espécies não seja acompanhada também pela adaptação dos outros indivíduos com os quais existem relações ecológicas, ocorre o chamado</w:t>
      </w:r>
      <w:r>
        <w:t xml:space="preserve"> </w:t>
      </w:r>
      <w:r>
        <w:rPr>
          <w:iCs/>
          <w:i/>
        </w:rPr>
        <w:t xml:space="preserve">mismatch</w:t>
      </w:r>
      <w:r>
        <w:t xml:space="preserve"> </w:t>
      </w:r>
      <w:r>
        <w:t xml:space="preserve">espacial</w:t>
      </w:r>
      <w:r>
        <w:t xml:space="preserve"> </w:t>
      </w:r>
      <w:r>
        <w:t xml:space="preserve">(</w:t>
      </w:r>
      <w:hyperlink w:anchor="ref-hegland2008">
        <w:r>
          <w:rPr>
            <w:rStyle w:val="Hyperlink"/>
          </w:rPr>
          <w:t xml:space="preserve">HEGLAND e colab., 2008</w:t>
        </w:r>
      </w:hyperlink>
      <w:r>
        <w:t xml:space="preserve">;</w:t>
      </w:r>
      <w:r>
        <w:t xml:space="preserve"> </w:t>
      </w:r>
      <w:hyperlink w:anchor="ref-schweiger2008">
        <w:r>
          <w:rPr>
            <w:rStyle w:val="Hyperlink"/>
          </w:rPr>
          <w:t xml:space="preserve">SCHWEIGER e colab., 2008</w:t>
        </w:r>
      </w:hyperlink>
      <w:r>
        <w:t xml:space="preserve">)</w:t>
      </w:r>
      <w:r>
        <w:t xml:space="preserve">, que se caracteriza pela diminuição ou ruptura total das interações ecológicas entre as espécies devido à incompatibilidade geográfica das mesmas.</w:t>
      </w:r>
    </w:p>
    <w:p>
      <w:pPr>
        <w:pStyle w:val="BodyText"/>
      </w:pPr>
      <w:r>
        <w:t xml:space="preserve">A fim de investigar como determinadas espécies podem se comportar em cenários climáticos futuros, os Modelos de Distribuição de Espécies (MDEs) são as ferramentas comumente utilizadas para prever as distribuições potenciais de organismos</w:t>
      </w:r>
      <w:r>
        <w:t xml:space="preserve"> </w:t>
      </w:r>
      <w:r>
        <w:t xml:space="preserve">(</w:t>
      </w:r>
      <w:hyperlink w:anchor="ref-elith2009">
        <w:r>
          <w:rPr>
            <w:rStyle w:val="Hyperlink"/>
          </w:rPr>
          <w:t xml:space="preserve">ELITH e LEATHWICK, 2009</w:t>
        </w:r>
      </w:hyperlink>
      <w:r>
        <w:t xml:space="preserve">)</w:t>
      </w:r>
      <w:r>
        <w:t xml:space="preserve">. Os MDEs são construídos a partir de combinações entre as ocorrências observadas (ou também ausentes) das espécies e as variáveis ambientais preditoras, juntamente com algoritmos de modelagem e métodos matemáticos</w:t>
      </w:r>
      <w:r>
        <w:t xml:space="preserve"> </w:t>
      </w:r>
      <w:r>
        <w:t xml:space="preserve">(</w:t>
      </w:r>
      <w:hyperlink w:anchor="ref-anderson2013">
        <w:r>
          <w:rPr>
            <w:rStyle w:val="Hyperlink"/>
          </w:rPr>
          <w:t xml:space="preserve">ANDERSON, 2013</w:t>
        </w:r>
      </w:hyperlink>
      <w:r>
        <w:t xml:space="preserve">;</w:t>
      </w:r>
      <w:r>
        <w:t xml:space="preserve"> </w:t>
      </w:r>
      <w:hyperlink w:anchor="ref-franklin2010">
        <w:r>
          <w:rPr>
            <w:rStyle w:val="Hyperlink"/>
          </w:rPr>
          <w:t xml:space="preserve">FRANKLIN e MILLER, 2010</w:t>
        </w:r>
      </w:hyperlink>
      <w:r>
        <w:t xml:space="preserve">)</w:t>
      </w:r>
      <w:r>
        <w:t xml:space="preserve">. A partir dos dados reunidos e das variáveis ambientais estabelecidas, os algoritmos geram os modelos de distribuição das espécies. Esse modelo é então extrapolado para diferentes tempos e áreas geográficas de estudo, visando fazer predições ou descrever padrões</w:t>
      </w:r>
      <w:r>
        <w:t xml:space="preserve"> </w:t>
      </w:r>
      <w:r>
        <w:t xml:space="preserve">(</w:t>
      </w:r>
      <w:hyperlink w:anchor="ref-elith2009">
        <w:r>
          <w:rPr>
            <w:rStyle w:val="Hyperlink"/>
          </w:rPr>
          <w:t xml:space="preserve">ELITH e LEATHWICK, 2009</w:t>
        </w:r>
      </w:hyperlink>
      <w:r>
        <w:t xml:space="preserve">)</w:t>
      </w:r>
      <w:r>
        <w:t xml:space="preserve">.</w:t>
      </w:r>
    </w:p>
    <w:p>
      <w:pPr>
        <w:pStyle w:val="BodyText"/>
      </w:pPr>
      <w:r>
        <w:t xml:space="preserve">No presente trabalho, utilizamos da Modelagem de Distribuição para projetar a distribuição potencial futura da espécie de vegetal</w:t>
      </w:r>
      <w:r>
        <w:t xml:space="preserve"> </w:t>
      </w:r>
      <w:r>
        <w:rPr>
          <w:iCs/>
          <w:i/>
        </w:rPr>
        <w:t xml:space="preserve">Encholirium subsecundum</w:t>
      </w:r>
      <w:r>
        <w:t xml:space="preserve"> </w:t>
      </w:r>
      <w:r>
        <w:t xml:space="preserve">(Baker) Mez e de seu único polinizador conhecido</w:t>
      </w:r>
      <w:r>
        <w:t xml:space="preserve"> </w:t>
      </w:r>
      <w:r>
        <w:t xml:space="preserve">(</w:t>
      </w:r>
      <w:hyperlink w:anchor="ref-dias2013">
        <w:r>
          <w:rPr>
            <w:rStyle w:val="Hyperlink"/>
          </w:rPr>
          <w:t xml:space="preserve">DIAS e colab., 2013</w:t>
        </w:r>
      </w:hyperlink>
      <w:r>
        <w:t xml:space="preserve">)</w:t>
      </w:r>
      <w:r>
        <w:t xml:space="preserve">, o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projetando dois cenários de mudanças climáticas para 2050, de RCP 4.5 e 8.5</w:t>
      </w:r>
      <w:r>
        <w:t xml:space="preserve"> </w:t>
      </w:r>
      <w:r>
        <w:t xml:space="preserve">(</w:t>
      </w:r>
      <w:hyperlink w:anchor="ref-worldclim">
        <w:r>
          <w:rPr>
            <w:rStyle w:val="Hyperlink"/>
          </w:rPr>
          <w:t xml:space="preserve">FICK e HIJMANS, 2017</w:t>
        </w:r>
      </w:hyperlink>
      <w:r>
        <w:t xml:space="preserve">)</w:t>
      </w:r>
      <w:r>
        <w:t xml:space="preserve">. Os objetivos se dão em compreender qual a magnitude com que as mudanças climáticas podem alterar as distribuições potenciais das duas espécies e causar o</w:t>
      </w:r>
      <w:r>
        <w:t xml:space="preserve"> </w:t>
      </w:r>
      <w:r>
        <w:rPr>
          <w:iCs/>
          <w:i/>
        </w:rPr>
        <w:t xml:space="preserve">mismatch</w:t>
      </w:r>
      <w:r>
        <w:t xml:space="preserve"> </w:t>
      </w:r>
      <w:r>
        <w:t xml:space="preserve">espacial entre ambas. Foram propostas 3 hipóteses iniciais: 1. A incompatibilidade espacial entre ambas as espécies aumenta nos cenários futuros; 2. A incompatibilidade espacial aumenta apenas com relação à distribuição da planta (a distribuição do morcego não sofre</w:t>
      </w:r>
      <w:r>
        <w:t xml:space="preserve"> </w:t>
      </w:r>
      <w:r>
        <w:rPr>
          <w:iCs/>
          <w:i/>
        </w:rPr>
        <w:t xml:space="preserve">mismatch</w:t>
      </w:r>
      <w:r>
        <w:t xml:space="preserve">); e 3. A incompatibilidade espacial aumenta apenas com relação à distribuição do morcego (a distribuição da planta não sofre</w:t>
      </w:r>
      <w:r>
        <w:t xml:space="preserve"> </w:t>
      </w:r>
      <w:r>
        <w:rPr>
          <w:iCs/>
          <w:i/>
        </w:rPr>
        <w:t xml:space="preserve">mismatch</w:t>
      </w:r>
      <w:r>
        <w:t xml:space="preserve">).</w:t>
      </w:r>
    </w:p>
    <w:p>
      <w:pPr>
        <w:pStyle w:val="BodyText"/>
      </w:pPr>
      <w:r>
        <w:t xml:space="preserve">O algoritmo utilizado para a modelagem foi o Maxent</w:t>
      </w:r>
      <w:r>
        <w:t xml:space="preserve"> </w:t>
      </w:r>
      <w:r>
        <w:t xml:space="preserve">(</w:t>
      </w:r>
      <w:hyperlink w:anchor="ref-maxent">
        <w:r>
          <w:rPr>
            <w:rStyle w:val="Hyperlink"/>
          </w:rPr>
          <w:t xml:space="preserve">PHILLIPS e colab., 2006</w:t>
        </w:r>
      </w:hyperlink>
      <w:r>
        <w:t xml:space="preserve">)</w:t>
      </w:r>
      <w:r>
        <w:t xml:space="preserve">, por apresentar ótima performance ao se utilizar poucos dados de ocorrências</w:t>
      </w:r>
      <w:r>
        <w:t xml:space="preserve"> </w:t>
      </w:r>
      <w:r>
        <w:t xml:space="preserve">(</w:t>
      </w:r>
      <w:hyperlink w:anchor="ref-hernandez2006">
        <w:r>
          <w:rPr>
            <w:rStyle w:val="Hyperlink"/>
          </w:rPr>
          <w:t xml:space="preserve">HERNANDEZ e colab., 2006</w:t>
        </w:r>
      </w:hyperlink>
      <w:r>
        <w:t xml:space="preserve">;</w:t>
      </w:r>
      <w:r>
        <w:t xml:space="preserve"> </w:t>
      </w:r>
      <w:hyperlink w:anchor="ref-hijmans2008">
        <w:r>
          <w:rPr>
            <w:rStyle w:val="Hyperlink"/>
          </w:rPr>
          <w:t xml:space="preserve">WISZ e colab., 2008</w:t>
        </w:r>
      </w:hyperlink>
      <w:r>
        <w:t xml:space="preserve">)</w:t>
      </w:r>
      <w:r>
        <w:t xml:space="preserve">. A partir dos modelos gerados, foram criados mapas de distribuição para as espécies, os quais foram analisados e então sobrepostos a fim de verificar o</w:t>
      </w:r>
      <w:r>
        <w:t xml:space="preserve"> </w:t>
      </w:r>
      <w:r>
        <w:rPr>
          <w:iCs/>
          <w:i/>
        </w:rPr>
        <w:t xml:space="preserve">mismatch</w:t>
      </w:r>
      <w:r>
        <w:t xml:space="preserve"> </w:t>
      </w:r>
      <w:r>
        <w:t xml:space="preserve">espacial. O projeto obteve sucesso em sua realização e atingiu as metas propostas inicialmente de elaboração e análise da Modelagem de Distribuição das duas espécies, desenvolvida integralmente no ambiente da linguagem de programação R</w:t>
      </w:r>
      <w:r>
        <w:t xml:space="preserve"> </w:t>
      </w:r>
      <w:r>
        <w:t xml:space="preserve">(</w:t>
      </w:r>
      <w:hyperlink w:anchor="ref-r">
        <w:r>
          <w:rPr>
            <w:rStyle w:val="Hyperlink"/>
          </w:rPr>
          <w:t xml:space="preserve">R CORE TEAM, 2021</w:t>
        </w:r>
      </w:hyperlink>
      <w:r>
        <w:t xml:space="preserve">)</w:t>
      </w:r>
      <w:r>
        <w:t xml:space="preserve">.</w:t>
      </w:r>
    </w:p>
    <w:bookmarkEnd w:id="21"/>
    <w:bookmarkStart w:id="25" w:name="fundamentação-teórica"/>
    <w:p>
      <w:pPr>
        <w:pStyle w:val="Heading1"/>
      </w:pPr>
      <w:r>
        <w:t xml:space="preserve">1. Fundamentação teórica</w:t>
      </w:r>
    </w:p>
    <w:bookmarkStart w:id="23" w:name="X061aa328ea36752d1cd3e9b3f7a8340782c5194"/>
    <w:p>
      <w:pPr>
        <w:pStyle w:val="Heading2"/>
      </w:pPr>
      <w:r>
        <w:t xml:space="preserve">1.1 Mudanças climáticas, alteração na distribuição de espécies e</w:t>
      </w:r>
      <w:r>
        <w:t xml:space="preserve"> </w:t>
      </w:r>
      <w:r>
        <w:rPr>
          <w:iCs/>
          <w:i/>
        </w:rPr>
        <w:t xml:space="preserve">mismatch</w:t>
      </w:r>
      <w:r>
        <w:t xml:space="preserve"> </w:t>
      </w:r>
      <w:r>
        <w:t xml:space="preserve">espacial</w:t>
      </w:r>
    </w:p>
    <w:p>
      <w:pPr>
        <w:pStyle w:val="FirstParagraph"/>
      </w:pPr>
      <w:r>
        <w:t xml:space="preserve">     A distribuição de uma espécie se caracteriza pela área geográfica a qual ela pode ser encontrada</w:t>
      </w:r>
      <w:r>
        <w:t xml:space="preserve"> </w:t>
      </w:r>
      <w:r>
        <w:t xml:space="preserve">(</w:t>
      </w:r>
      <w:hyperlink w:anchor="ref-putten2012">
        <w:r>
          <w:rPr>
            <w:rStyle w:val="Hyperlink"/>
          </w:rPr>
          <w:t xml:space="preserve">VAN DER PUTTEN, 2012</w:t>
        </w:r>
      </w:hyperlink>
      <w:r>
        <w:t xml:space="preserve">)</w:t>
      </w:r>
      <w:r>
        <w:t xml:space="preserve">, o que é estabelecido por uma série de fatores determinados pelo nicho ecológico da espécie</w:t>
      </w:r>
      <w:r>
        <w:t xml:space="preserve"> </w:t>
      </w:r>
      <w:r>
        <w:t xml:space="preserve">(</w:t>
      </w:r>
      <w:hyperlink w:anchor="ref-begon2005">
        <w:r>
          <w:rPr>
            <w:rStyle w:val="Hyperlink"/>
          </w:rPr>
          <w:t xml:space="preserve">BEGON e colab., 2007</w:t>
        </w:r>
      </w:hyperlink>
      <w:r>
        <w:t xml:space="preserve">)</w:t>
      </w:r>
      <w:r>
        <w:t xml:space="preserve">. Ao serem afetadas por transformações do clima, a população de uma espécie pode ter três desfechos possíveis: adaptação às novas condições, extinção local ou migração para novos ambientes adequados à sobrevivência da espécie</w:t>
      </w:r>
      <w:r>
        <w:t xml:space="preserve"> </w:t>
      </w:r>
      <w:r>
        <w:t xml:space="preserve">(</w:t>
      </w:r>
      <w:hyperlink w:anchor="ref-gorostiague2018">
        <w:r>
          <w:rPr>
            <w:rStyle w:val="Hyperlink"/>
          </w:rPr>
          <w:t xml:space="preserve">GOROSTIAGUE e colab., 2018</w:t>
        </w:r>
      </w:hyperlink>
      <w:r>
        <w:t xml:space="preserve">;</w:t>
      </w:r>
      <w:r>
        <w:t xml:space="preserve"> </w:t>
      </w:r>
      <w:hyperlink w:anchor="ref-parmesan2006">
        <w:r>
          <w:rPr>
            <w:rStyle w:val="Hyperlink"/>
          </w:rPr>
          <w:t xml:space="preserve">PARMESAN, 2006</w:t>
        </w:r>
      </w:hyperlink>
      <w:r>
        <w:t xml:space="preserve">)</w:t>
      </w:r>
      <w:r>
        <w:t xml:space="preserve">.</w:t>
      </w:r>
    </w:p>
    <w:p>
      <w:pPr>
        <w:pStyle w:val="BodyText"/>
      </w:pPr>
      <w:r>
        <w:t xml:space="preserve">Diversas observações de alterações na distribuição de espécies em paralelo às mudanças climáticas (compreendido aqui principalmente como o aquecimento do clima global) já foram documentadas ao redor do globo</w:t>
      </w:r>
      <w:r>
        <w:t xml:space="preserve"> </w:t>
      </w:r>
      <w:r>
        <w:t xml:space="preserve">(</w:t>
      </w:r>
      <w:hyperlink w:anchor="ref-parmesan2003">
        <w:r>
          <w:rPr>
            <w:rStyle w:val="Hyperlink"/>
          </w:rPr>
          <w:t xml:space="preserve">PARMESAN e YOHE, 2003</w:t>
        </w:r>
      </w:hyperlink>
      <w:r>
        <w:t xml:space="preserve">;</w:t>
      </w:r>
      <w:r>
        <w:t xml:space="preserve"> </w:t>
      </w:r>
      <w:hyperlink w:anchor="ref-walther2002">
        <w:r>
          <w:rPr>
            <w:rStyle w:val="Hyperlink"/>
          </w:rPr>
          <w:t xml:space="preserve">WALTHER e colab., 2002</w:t>
        </w:r>
      </w:hyperlink>
      <w:r>
        <w:t xml:space="preserve">)</w:t>
      </w:r>
      <w:r>
        <w:t xml:space="preserve">. Essas alterações podem ter escalas muito distintas entre as espécies, algumas podem ter repostas evolutivas adequadas quanto às mudanças na distribuição devido ao aquecimento do clima</w:t>
      </w:r>
      <w:r>
        <w:t xml:space="preserve"> </w:t>
      </w:r>
      <w:r>
        <w:t xml:space="preserve">(</w:t>
      </w:r>
      <w:hyperlink w:anchor="ref-chen2011">
        <w:r>
          <w:rPr>
            <w:rStyle w:val="Hyperlink"/>
          </w:rPr>
          <w:t xml:space="preserve">CHEN e colab., 2011</w:t>
        </w:r>
      </w:hyperlink>
      <w:r>
        <w:t xml:space="preserve">)</w:t>
      </w:r>
      <w:r>
        <w:t xml:space="preserve">, enquanto que outras tendem a não responder de maneira adequada e acabarem extintas localmente</w:t>
      </w:r>
      <w:r>
        <w:t xml:space="preserve"> </w:t>
      </w:r>
      <w:r>
        <w:t xml:space="preserve">(</w:t>
      </w:r>
      <w:hyperlink w:anchor="ref-parmesan2006">
        <w:r>
          <w:rPr>
            <w:rStyle w:val="Hyperlink"/>
          </w:rPr>
          <w:t xml:space="preserve">PARMESAN, 2006</w:t>
        </w:r>
      </w:hyperlink>
      <w:r>
        <w:t xml:space="preserve">)</w:t>
      </w:r>
      <w:r>
        <w:t xml:space="preserve">.</w:t>
      </w:r>
    </w:p>
    <w:p>
      <w:pPr>
        <w:pStyle w:val="BodyText"/>
      </w:pPr>
      <w:r>
        <w:t xml:space="preserve">Embora as respostas evolucionárias de alteração na distribuição tenham proporções distintas, observa-se uma tendência de muitas espécies a mudarem suas distribuições em direção altitudes maiores e latitudes polares</w:t>
      </w:r>
      <w:r>
        <w:t xml:space="preserve"> </w:t>
      </w:r>
      <w:hyperlink w:anchor="ref-parmesan2003">
        <w:r>
          <w:rPr>
            <w:rStyle w:val="Hyperlink"/>
          </w:rPr>
          <w:t xml:space="preserve">PARMESAN e YOHE</w:t>
        </w:r>
      </w:hyperlink>
      <w:r>
        <w:t xml:space="preserve"> </w:t>
      </w:r>
      <w:r>
        <w:t xml:space="preserve">(</w:t>
      </w:r>
      <w:hyperlink w:anchor="ref-parmesan2003">
        <w:r>
          <w:rPr>
            <w:rStyle w:val="Hyperlink"/>
          </w:rPr>
          <w:t xml:space="preserve">2003</w:t>
        </w:r>
      </w:hyperlink>
      <w:r>
        <w:t xml:space="preserve">)</w:t>
      </w:r>
      <w:r>
        <w:t xml:space="preserve">. Nas regiões tropicais, espécies seguem a mesma tendência ao movimento para áreas mais temperadas</w:t>
      </w:r>
      <w:r>
        <w:t xml:space="preserve"> </w:t>
      </w:r>
      <w:r>
        <w:t xml:space="preserve">(</w:t>
      </w:r>
      <w:hyperlink w:anchor="ref-parmesan2006">
        <w:r>
          <w:rPr>
            <w:rStyle w:val="Hyperlink"/>
          </w:rPr>
          <w:t xml:space="preserve">PARMESAN, 2006</w:t>
        </w:r>
      </w:hyperlink>
      <w:r>
        <w:t xml:space="preserve">)</w:t>
      </w:r>
      <w:r>
        <w:t xml:space="preserve">.</w:t>
      </w:r>
    </w:p>
    <w:p>
      <w:pPr>
        <w:pStyle w:val="BodyText"/>
      </w:pPr>
      <w:r>
        <w:t xml:space="preserve">Além do mais, tem sido indicado que as mudanças climáticas podem pertubar interações ecológicas entre espécies, podendo levar ao chamado</w:t>
      </w:r>
      <w:r>
        <w:t xml:space="preserve"> </w:t>
      </w:r>
      <w:r>
        <w:rPr>
          <w:iCs/>
          <w:i/>
        </w:rPr>
        <w:t xml:space="preserve">mismatch</w:t>
      </w:r>
      <w:r>
        <w:t xml:space="preserve"> </w:t>
      </w:r>
      <w:r>
        <w:t xml:space="preserve">espacial (ruptura ou diminuição das interações ecológicas em razão do desencontro geográfico das espécies)</w:t>
      </w:r>
      <w:r>
        <w:t xml:space="preserve"> </w:t>
      </w:r>
      <w:r>
        <w:t xml:space="preserve">(</w:t>
      </w:r>
      <w:hyperlink w:anchor="ref-hegland2008">
        <w:r>
          <w:rPr>
            <w:rStyle w:val="Hyperlink"/>
          </w:rPr>
          <w:t xml:space="preserve">HEGLAND e colab., 2008</w:t>
        </w:r>
      </w:hyperlink>
      <w:r>
        <w:t xml:space="preserve">;</w:t>
      </w:r>
      <w:r>
        <w:t xml:space="preserve"> </w:t>
      </w:r>
      <w:hyperlink w:anchor="ref-schweiger2008">
        <w:r>
          <w:rPr>
            <w:rStyle w:val="Hyperlink"/>
          </w:rPr>
          <w:t xml:space="preserve">SCHWEIGER e colab., 2008</w:t>
        </w:r>
      </w:hyperlink>
      <w:r>
        <w:t xml:space="preserve">)</w:t>
      </w:r>
      <w:r>
        <w:t xml:space="preserve">. Pelas respostas evolutivas às mudanças climáticas não acontecerem de formas iguais é que ocorrem os</w:t>
      </w:r>
      <w:r>
        <w:t xml:space="preserve"> </w:t>
      </w:r>
      <w:r>
        <w:rPr>
          <w:iCs/>
          <w:i/>
        </w:rPr>
        <w:t xml:space="preserve">mismatches</w:t>
      </w:r>
      <w:r>
        <w:t xml:space="preserve">.</w:t>
      </w:r>
      <w:r>
        <w:t xml:space="preserve"> </w:t>
      </w:r>
      <w:hyperlink w:anchor="ref-gorostiague2018">
        <w:r>
          <w:rPr>
            <w:rStyle w:val="Hyperlink"/>
          </w:rPr>
          <w:t xml:space="preserve">GOROSTIAGUE e colab.</w:t>
        </w:r>
      </w:hyperlink>
      <w:r>
        <w:t xml:space="preserve"> </w:t>
      </w:r>
      <w:r>
        <w:t xml:space="preserve">(</w:t>
      </w:r>
      <w:hyperlink w:anchor="ref-gorostiague2018">
        <w:r>
          <w:rPr>
            <w:rStyle w:val="Hyperlink"/>
          </w:rPr>
          <w:t xml:space="preserve">2018</w:t>
        </w:r>
      </w:hyperlink>
      <w:r>
        <w:t xml:space="preserve">)</w:t>
      </w:r>
      <w:r>
        <w:t xml:space="preserve"> </w:t>
      </w:r>
      <w:r>
        <w:t xml:space="preserve">apontou que as chances que a população de uma espécie tem de colonizar novos habitats depende da possibilidade de que as espécies das quais ela dependa também expandam sua distribuição (</w:t>
      </w:r>
      <w:r>
        <w:rPr>
          <w:iCs/>
          <w:i/>
        </w:rPr>
        <w:t xml:space="preserve">match</w:t>
      </w:r>
      <w:r>
        <w:t xml:space="preserve"> </w:t>
      </w:r>
      <w:r>
        <w:t xml:space="preserve">espacial com seus parceiros mutualistas), caso o contrário ocorrerá o</w:t>
      </w:r>
      <w:r>
        <w:t xml:space="preserve"> </w:t>
      </w:r>
      <w:r>
        <w:rPr>
          <w:iCs/>
          <w:i/>
        </w:rPr>
        <w:t xml:space="preserve">mismatch</w:t>
      </w:r>
      <w:r>
        <w:t xml:space="preserve"> </w:t>
      </w:r>
      <w:r>
        <w:t xml:space="preserve">espacial.</w:t>
      </w:r>
    </w:p>
    <w:p>
      <w:pPr>
        <w:pStyle w:val="BodyText"/>
      </w:pPr>
      <w:r>
        <w:t xml:space="preserve">No caso de sistemas ecológicos planta-polinizador, há uma grande preocupação em compreender como as mudanças climáticas podem afetar as distribuições de plantas e seus polinizadores e também os impactos dos</w:t>
      </w:r>
      <w:r>
        <w:t xml:space="preserve"> </w:t>
      </w:r>
      <w:r>
        <w:rPr>
          <w:iCs/>
          <w:i/>
        </w:rPr>
        <w:t xml:space="preserve">mismatches</w:t>
      </w:r>
      <w:r>
        <w:t xml:space="preserve"> </w:t>
      </w:r>
      <w:r>
        <w:t xml:space="preserve">sobre os mesmos, tendo em vista a contribuição ambiental desses sistemas e o papel ecológico nos ecossistemas</w:t>
      </w:r>
      <w:r>
        <w:t xml:space="preserve"> </w:t>
      </w:r>
      <w:r>
        <w:t xml:space="preserve">(</w:t>
      </w:r>
      <w:hyperlink w:anchor="ref-begon2005">
        <w:r>
          <w:rPr>
            <w:rStyle w:val="Hyperlink"/>
          </w:rPr>
          <w:t xml:space="preserve">BEGON e colab., 2007</w:t>
        </w:r>
      </w:hyperlink>
      <w:r>
        <w:t xml:space="preserve">;</w:t>
      </w:r>
      <w:r>
        <w:t xml:space="preserve"> </w:t>
      </w:r>
      <w:hyperlink w:anchor="ref-kearns1998">
        <w:r>
          <w:rPr>
            <w:rStyle w:val="Hyperlink"/>
          </w:rPr>
          <w:t xml:space="preserve">KEARNS e colab., 1998</w:t>
        </w:r>
      </w:hyperlink>
      <w:r>
        <w:t xml:space="preserve">)</w:t>
      </w:r>
      <w:r>
        <w:t xml:space="preserve">.</w:t>
      </w:r>
    </w:p>
    <w:p>
      <w:pPr>
        <w:pStyle w:val="BodyText"/>
      </w:pPr>
      <w:r>
        <w:t xml:space="preserve">Para as plantas, o</w:t>
      </w:r>
      <w:r>
        <w:t xml:space="preserve"> </w:t>
      </w:r>
      <w:r>
        <w:rPr>
          <w:iCs/>
          <w:i/>
        </w:rPr>
        <w:t xml:space="preserve">mismatch</w:t>
      </w:r>
      <w:r>
        <w:t xml:space="preserve"> </w:t>
      </w:r>
      <w:r>
        <w:t xml:space="preserve">com polinizadores efetivos poderia causar a redução da deposição do pólen, aumentando a restrição deste, segundo</w:t>
      </w:r>
      <w:r>
        <w:t xml:space="preserve"> </w:t>
      </w:r>
      <w:hyperlink w:anchor="ref-hegland2008">
        <w:r>
          <w:rPr>
            <w:rStyle w:val="Hyperlink"/>
          </w:rPr>
          <w:t xml:space="preserve">HEGLAND e colab.</w:t>
        </w:r>
      </w:hyperlink>
      <w:r>
        <w:t xml:space="preserve"> </w:t>
      </w:r>
      <w:r>
        <w:t xml:space="preserve">(</w:t>
      </w:r>
      <w:hyperlink w:anchor="ref-hegland2008">
        <w:r>
          <w:rPr>
            <w:rStyle w:val="Hyperlink"/>
          </w:rPr>
          <w:t xml:space="preserve">2008</w:t>
        </w:r>
      </w:hyperlink>
      <w:r>
        <w:t xml:space="preserve">)</w:t>
      </w:r>
      <w:r>
        <w:t xml:space="preserve">. É comum em diversas espécies de plantas a limitação da reprodução devido a polinização insuficiente, conhecido como</w:t>
      </w:r>
      <w:r>
        <w:t xml:space="preserve"> </w:t>
      </w:r>
      <w:r>
        <w:rPr>
          <w:iCs/>
          <w:i/>
        </w:rPr>
        <w:t xml:space="preserve">Efeito Allee</w:t>
      </w:r>
      <w:r>
        <w:t xml:space="preserve">. Quanto aos polinizadores, pode-se esperar que o desencontro com plantas importantes à alimentação leve a uma redução na quantidade e acesso a alimentos, afetando diretamente sua sobrevivência.</w:t>
      </w:r>
      <w:r>
        <w:t xml:space="preserve"> </w:t>
      </w:r>
      <w:hyperlink w:anchor="ref-hegland2008">
        <w:r>
          <w:rPr>
            <w:rStyle w:val="Hyperlink"/>
          </w:rPr>
          <w:t xml:space="preserve">HEGLAND e colab.</w:t>
        </w:r>
      </w:hyperlink>
      <w:r>
        <w:t xml:space="preserve"> </w:t>
      </w:r>
      <w:r>
        <w:t xml:space="preserve">(</w:t>
      </w:r>
      <w:hyperlink w:anchor="ref-hegland2008">
        <w:r>
          <w:rPr>
            <w:rStyle w:val="Hyperlink"/>
          </w:rPr>
          <w:t xml:space="preserve">2008</w:t>
        </w:r>
      </w:hyperlink>
      <w:r>
        <w:t xml:space="preserve">)</w:t>
      </w:r>
      <w:r>
        <w:t xml:space="preserve"> </w:t>
      </w:r>
      <w:r>
        <w:t xml:space="preserve">também discute que os efeitos dos</w:t>
      </w:r>
      <w:r>
        <w:t xml:space="preserve"> </w:t>
      </w:r>
      <w:r>
        <w:rPr>
          <w:iCs/>
          <w:i/>
        </w:rPr>
        <w:t xml:space="preserve">mismatches</w:t>
      </w:r>
      <w:r>
        <w:t xml:space="preserve"> </w:t>
      </w:r>
      <w:r>
        <w:t xml:space="preserve">podem ser mais rigoroso aos polinizadores, pois a dependência dos polinizadores na nutrição é maior do que a dependência das plantas que florescem na polinização. Contudo, a força com que espécies de polinizadores são afetados pelos</w:t>
      </w:r>
      <w:r>
        <w:t xml:space="preserve"> </w:t>
      </w:r>
      <w:r>
        <w:rPr>
          <w:iCs/>
          <w:i/>
        </w:rPr>
        <w:t xml:space="preserve">mismatches</w:t>
      </w:r>
      <w:r>
        <w:t xml:space="preserve"> </w:t>
      </w:r>
      <w:r>
        <w:t xml:space="preserve">pode depender dos traços funcionais (características fisiológicas, fenológicas e morfológicas) das espécies, como no caso de morcegos polinizadores</w:t>
      </w:r>
      <w:r>
        <w:t xml:space="preserve"> </w:t>
      </w:r>
      <w:r>
        <w:t xml:space="preserve">(</w:t>
      </w:r>
      <w:hyperlink w:anchor="ref-gutierrez2021">
        <w:r>
          <w:rPr>
            <w:rStyle w:val="Hyperlink"/>
          </w:rPr>
          <w:t xml:space="preserve">ZAMORA-GUTIERREZ e colab., 2021</w:t>
        </w:r>
      </w:hyperlink>
      <w:r>
        <w:t xml:space="preserve">)</w:t>
      </w:r>
      <w:r>
        <w:t xml:space="preserve">.</w:t>
      </w:r>
    </w:p>
    <w:p>
      <w:pPr>
        <w:pStyle w:val="CaptionedFigure"/>
      </w:pPr>
      <w:r>
        <w:drawing>
          <wp:inline>
            <wp:extent cx="5334000" cy="4416393"/>
            <wp:effectExtent b="0" l="0" r="0" t="0"/>
            <wp:docPr descr="Possíveis impactos dos mismatches (espacial, temporal, morfológico e de reconhecimento) nas interações entre plantas e polinizadores. Imagem retirada da fonte: GÉRARD e colab. (2020)" title="" id="1" name="Picture"/>
            <a:graphic>
              <a:graphicData uri="http://schemas.openxmlformats.org/drawingml/2006/picture">
                <pic:pic>
                  <pic:nvPicPr>
                    <pic:cNvPr descr="mismatch.png" id="0" name="Picture"/>
                    <pic:cNvPicPr>
                      <a:picLocks noChangeArrowheads="1" noChangeAspect="1"/>
                    </pic:cNvPicPr>
                  </pic:nvPicPr>
                  <pic:blipFill>
                    <a:blip r:embed="rId22"/>
                    <a:stretch>
                      <a:fillRect/>
                    </a:stretch>
                  </pic:blipFill>
                  <pic:spPr bwMode="auto">
                    <a:xfrm>
                      <a:off x="0" y="0"/>
                      <a:ext cx="5334000" cy="4416393"/>
                    </a:xfrm>
                    <a:prstGeom prst="rect">
                      <a:avLst/>
                    </a:prstGeom>
                    <a:noFill/>
                    <a:ln w="9525">
                      <a:noFill/>
                      <a:headEnd/>
                      <a:tailEnd/>
                    </a:ln>
                  </pic:spPr>
                </pic:pic>
              </a:graphicData>
            </a:graphic>
          </wp:inline>
        </w:drawing>
      </w:r>
    </w:p>
    <w:p>
      <w:pPr>
        <w:pStyle w:val="ImageCaption"/>
      </w:pPr>
      <w:r>
        <w:t xml:space="preserve">Possíveis impactos dos</w:t>
      </w:r>
      <w:r>
        <w:t xml:space="preserve"> </w:t>
      </w:r>
      <w:r>
        <w:rPr>
          <w:iCs/>
          <w:i/>
        </w:rPr>
        <w:t xml:space="preserve">mismatches</w:t>
      </w:r>
      <w:r>
        <w:t xml:space="preserve"> </w:t>
      </w:r>
      <w:r>
        <w:t xml:space="preserve">(espacial, temporal, morfológico e de reconhecimento) nas interações entre plantas e polinizadores. Imagem retirada da fonte:</w:t>
      </w:r>
      <w:r>
        <w:t xml:space="preserve"> </w:t>
      </w:r>
      <w:hyperlink w:anchor="ref-gerard2020">
        <w:r>
          <w:rPr>
            <w:rStyle w:val="Hyperlink"/>
          </w:rPr>
          <w:t xml:space="preserve">GÉRARD e colab.</w:t>
        </w:r>
      </w:hyperlink>
      <w:r>
        <w:t xml:space="preserve"> </w:t>
      </w:r>
      <w:r>
        <w:t xml:space="preserve">(</w:t>
      </w:r>
      <w:hyperlink w:anchor="ref-gerard2020">
        <w:r>
          <w:rPr>
            <w:rStyle w:val="Hyperlink"/>
          </w:rPr>
          <w:t xml:space="preserve">2020</w:t>
        </w:r>
      </w:hyperlink>
      <w:r>
        <w:t xml:space="preserve">)</w:t>
      </w:r>
    </w:p>
    <w:p>
      <w:pPr>
        <w:pStyle w:val="BodyText"/>
      </w:pPr>
      <w:r>
        <w:t xml:space="preserve">Apesar dos possíveis efeitos negativos causados pelos</w:t>
      </w:r>
      <w:r>
        <w:t xml:space="preserve"> </w:t>
      </w:r>
      <w:r>
        <w:rPr>
          <w:iCs/>
          <w:i/>
        </w:rPr>
        <w:t xml:space="preserve">mismatches</w:t>
      </w:r>
      <w:r>
        <w:t xml:space="preserve">, algumas características de muitos sistemas planta-polinizador podem agir para minimizar os impactos, como a estrutura aninhada de redes de polinização, na qual um núcleo de espécies generalistas interagem entre si e as espécies especilistas dessa rede interagem apenas com as generalistas</w:t>
      </w:r>
      <w:r>
        <w:t xml:space="preserve"> </w:t>
      </w:r>
      <w:r>
        <w:t xml:space="preserve">(</w:t>
      </w:r>
      <w:hyperlink w:anchor="ref-hegland2008">
        <w:r>
          <w:rPr>
            <w:rStyle w:val="Hyperlink"/>
          </w:rPr>
          <w:t xml:space="preserve">HEGLAND e colab., 2008</w:t>
        </w:r>
      </w:hyperlink>
      <w:r>
        <w:t xml:space="preserve">;</w:t>
      </w:r>
      <w:r>
        <w:t xml:space="preserve"> </w:t>
      </w:r>
      <w:hyperlink w:anchor="ref-jordano2003">
        <w:r>
          <w:rPr>
            <w:rStyle w:val="Hyperlink"/>
          </w:rPr>
          <w:t xml:space="preserve">JORDANO e colab., 2003</w:t>
        </w:r>
      </w:hyperlink>
      <w:r>
        <w:t xml:space="preserve">)</w:t>
      </w:r>
      <w:r>
        <w:t xml:space="preserve">. Ademais, há mais espécies generalistas nessas redes do que especialistas, sendo que relações de um único polinizador para uma planta são incomuns, o que pode contribuir para que muitas espécies não sejam afetadas gravemente pelos</w:t>
      </w:r>
      <w:r>
        <w:t xml:space="preserve"> </w:t>
      </w:r>
      <w:r>
        <w:rPr>
          <w:iCs/>
          <w:i/>
        </w:rPr>
        <w:t xml:space="preserve">mismatches</w:t>
      </w:r>
      <w:r>
        <w:t xml:space="preserve">. Por fim, a maioria das interações de polinização são assimétricas, isto é, caso uma planta seja importante para um polinizador, então a importância desse polinizador para a planta é baixa</w:t>
      </w:r>
      <w:r>
        <w:t xml:space="preserve"> </w:t>
      </w:r>
      <w:r>
        <w:t xml:space="preserve">(</w:t>
      </w:r>
      <w:hyperlink w:anchor="ref-hegland2008">
        <w:r>
          <w:rPr>
            <w:rStyle w:val="Hyperlink"/>
          </w:rPr>
          <w:t xml:space="preserve">HEGLAND e colab., 2008</w:t>
        </w:r>
      </w:hyperlink>
      <w:r>
        <w:t xml:space="preserve">;</w:t>
      </w:r>
      <w:r>
        <w:t xml:space="preserve"> </w:t>
      </w:r>
      <w:hyperlink w:anchor="ref-gutierrez2021">
        <w:r>
          <w:rPr>
            <w:rStyle w:val="Hyperlink"/>
          </w:rPr>
          <w:t xml:space="preserve">ZAMORA-GUTIERREZ e colab., 2021</w:t>
        </w:r>
      </w:hyperlink>
      <w:r>
        <w:t xml:space="preserve">)</w:t>
      </w:r>
      <w:r>
        <w:t xml:space="preserve">.</w:t>
      </w:r>
    </w:p>
    <w:p>
      <w:pPr>
        <w:pStyle w:val="BodyText"/>
      </w:pPr>
      <w:r>
        <w:t xml:space="preserve">Por mais que essas propriedades das redes de polinização possam atuar como estabilizadores diante de distúrbios, as redes de polinização ainda podem ser enfraquecidas pelos impactos negativos dos</w:t>
      </w:r>
      <w:r>
        <w:t xml:space="preserve"> </w:t>
      </w:r>
      <w:r>
        <w:rPr>
          <w:iCs/>
          <w:i/>
        </w:rPr>
        <w:t xml:space="preserve">mismatches</w:t>
      </w:r>
      <w:r>
        <w:t xml:space="preserve">. Tem sido proposto que em sistemas nos quais interações são formadas por generalistas, os polinizadores mostrem maior plasticidade para se adequar às mudanças, enquanto que em sistemas com espécies especialistas exista menor flexibilidade nas respostas, estando portanto mais vulneráveis</w:t>
      </w:r>
      <w:r>
        <w:t xml:space="preserve"> </w:t>
      </w:r>
      <w:r>
        <w:t xml:space="preserve">(</w:t>
      </w:r>
      <w:hyperlink w:anchor="ref-memmott2007">
        <w:r>
          <w:rPr>
            <w:rStyle w:val="Hyperlink"/>
          </w:rPr>
          <w:t xml:space="preserve">MEMMOTT e colab., 2007</w:t>
        </w:r>
      </w:hyperlink>
      <w:r>
        <w:t xml:space="preserve">;</w:t>
      </w:r>
      <w:r>
        <w:t xml:space="preserve"> </w:t>
      </w:r>
      <w:hyperlink w:anchor="ref-rafferty2012">
        <w:r>
          <w:rPr>
            <w:rStyle w:val="Hyperlink"/>
          </w:rPr>
          <w:t xml:space="preserve">RAFFERTY e colab., 2014</w:t>
        </w:r>
      </w:hyperlink>
      <w:r>
        <w:t xml:space="preserve">)</w:t>
      </w:r>
      <w:r>
        <w:t xml:space="preserve">. Espécies com distribuição restrita também podem ser mais frágeis, ao passo que são mais propícias a perderem habitat e serem extintas do que espécies com distribuições maiores</w:t>
      </w:r>
      <w:r>
        <w:t xml:space="preserve"> </w:t>
      </w:r>
      <w:r>
        <w:t xml:space="preserve">(</w:t>
      </w:r>
      <w:hyperlink w:anchor="ref-staude2020">
        <w:r>
          <w:rPr>
            <w:rStyle w:val="Hyperlink"/>
          </w:rPr>
          <w:t xml:space="preserve">STAUDE e colab., 2020</w:t>
        </w:r>
      </w:hyperlink>
      <w:r>
        <w:t xml:space="preserve">)</w:t>
      </w:r>
      <w:r>
        <w:t xml:space="preserve">.</w:t>
      </w:r>
    </w:p>
    <w:bookmarkEnd w:id="23"/>
    <w:bookmarkStart w:id="24" w:name="modelos-de-distribuição-de-espécies-mdes"/>
    <w:p>
      <w:pPr>
        <w:pStyle w:val="Heading2"/>
      </w:pPr>
      <w:r>
        <w:t xml:space="preserve">1.2 Modelos de Distribuição de Espécies (MDEs)</w:t>
      </w:r>
    </w:p>
    <w:p>
      <w:pPr>
        <w:pStyle w:val="FirstParagraph"/>
      </w:pPr>
      <w:r>
        <w:t xml:space="preserve">    Os MDEs são ferramentas criadas para a predição da distribuição de espécies ao longo de áreas não amostradas a partir de algoritmos de computação que usam dados de ocorrências (ou ausência) de espécies e dados ambientais. Existem dois tipos principais de Modelos de Distribuição, correlativos e mecanísticos. Enquanto que estes incorporam características fisiológicas das espécies nos modelos, aqueles exploram a associação espacial entre os dados ambientais e de ocorrência da espécie</w:t>
      </w:r>
      <w:r>
        <w:t xml:space="preserve"> </w:t>
      </w:r>
      <w:r>
        <w:t xml:space="preserve">(</w:t>
      </w:r>
      <w:hyperlink w:anchor="ref-kearney2010">
        <w:r>
          <w:rPr>
            <w:rStyle w:val="Hyperlink"/>
          </w:rPr>
          <w:t xml:space="preserve">KEARNEY e colab., 2010</w:t>
        </w:r>
      </w:hyperlink>
      <w:r>
        <w:t xml:space="preserve">)</w:t>
      </w:r>
      <w:r>
        <w:t xml:space="preserve">.</w:t>
      </w:r>
    </w:p>
    <w:p>
      <w:pPr>
        <w:pStyle w:val="BodyText"/>
      </w:pPr>
      <w:r>
        <w:t xml:space="preserve">Diversos algoritmos de modelagem correlativa podem ser encontrados, os quais possuem diferentes tratamentos matemáticos e computacionais para os dados recebidos, mas de maneira simplificada, os algoritmos dos MDEs recebem como</w:t>
      </w:r>
      <w:r>
        <w:t xml:space="preserve"> </w:t>
      </w:r>
      <w:r>
        <w:rPr>
          <w:iCs/>
          <w:i/>
        </w:rPr>
        <w:t xml:space="preserve">input</w:t>
      </w:r>
      <w:r>
        <w:t xml:space="preserve"> </w:t>
      </w:r>
      <w:r>
        <w:t xml:space="preserve">do usuário os registros de localidades de uma dada espécie (a distribuição observada) e as camadas ambientais (mais comumente dados climáticos de temperatura e precipitação) preditoras da distribuição da espécie. Assim, o algoritmo utiliza a distribuição observada como uma função de condições ambientais para criar um modelo de distribuição da espécie que avalia quais características de habitat são importantes à espécie, diante dos dados de treino</w:t>
      </w:r>
      <w:r>
        <w:t xml:space="preserve"> </w:t>
      </w:r>
      <w:r>
        <w:t xml:space="preserve">(</w:t>
      </w:r>
      <w:hyperlink w:anchor="ref-elith2009">
        <w:r>
          <w:rPr>
            <w:rStyle w:val="Hyperlink"/>
          </w:rPr>
          <w:t xml:space="preserve">ELITH e LEATHWICK, 2009</w:t>
        </w:r>
      </w:hyperlink>
      <w:r>
        <w:t xml:space="preserve">)</w:t>
      </w:r>
      <w:r>
        <w:t xml:space="preserve">. O modelo pode ser então aplicado para tempos climáticos do presente ou outros, gerando como</w:t>
      </w:r>
      <w:r>
        <w:t xml:space="preserve"> </w:t>
      </w:r>
      <w:r>
        <w:rPr>
          <w:iCs/>
          <w:i/>
        </w:rPr>
        <w:t xml:space="preserve">output</w:t>
      </w:r>
      <w:r>
        <w:t xml:space="preserve"> </w:t>
      </w:r>
      <w:r>
        <w:t xml:space="preserve">os mapas com as predições da distribuição potencial para a espécie</w:t>
      </w:r>
      <w:r>
        <w:t xml:space="preserve"> </w:t>
      </w:r>
      <w:r>
        <w:t xml:space="preserve">(</w:t>
      </w:r>
      <w:hyperlink w:anchor="ref-elith2009">
        <w:r>
          <w:rPr>
            <w:rStyle w:val="Hyperlink"/>
          </w:rPr>
          <w:t xml:space="preserve">ELITH e LEATHWICK, 2009</w:t>
        </w:r>
      </w:hyperlink>
      <w:r>
        <w:t xml:space="preserve">;</w:t>
      </w:r>
      <w:r>
        <w:t xml:space="preserve"> </w:t>
      </w:r>
      <w:hyperlink w:anchor="ref-miller2010">
        <w:r>
          <w:rPr>
            <w:rStyle w:val="Hyperlink"/>
          </w:rPr>
          <w:t xml:space="preserve">MILLER, 2010</w:t>
        </w:r>
      </w:hyperlink>
      <w:r>
        <w:t xml:space="preserve">)</w:t>
      </w:r>
      <w:r>
        <w:t xml:space="preserve">.</w:t>
      </w:r>
    </w:p>
    <w:p>
      <w:pPr>
        <w:pStyle w:val="BodyText"/>
      </w:pPr>
      <w:r>
        <w:t xml:space="preserve">Os MDEs desempenham papel importante para a identificação de áreas potenciais à conservação, com risco de propagação de vetores de doenças, potenciais espécies invasoras etc</w:t>
      </w:r>
      <w:r>
        <w:t xml:space="preserve"> </w:t>
      </w:r>
      <w:r>
        <w:t xml:space="preserve">(</w:t>
      </w:r>
      <w:hyperlink w:anchor="ref-Lopez2011">
        <w:r>
          <w:rPr>
            <w:rStyle w:val="Hyperlink"/>
          </w:rPr>
          <w:t xml:space="preserve">LÓPEZ-ARÉVALO e colab., 2011</w:t>
        </w:r>
      </w:hyperlink>
      <w:r>
        <w:t xml:space="preserve">;</w:t>
      </w:r>
      <w:r>
        <w:t xml:space="preserve"> </w:t>
      </w:r>
      <w:hyperlink w:anchor="ref-miller2010">
        <w:r>
          <w:rPr>
            <w:rStyle w:val="Hyperlink"/>
          </w:rPr>
          <w:t xml:space="preserve">MILLER, 2010</w:t>
        </w:r>
      </w:hyperlink>
      <w:r>
        <w:t xml:space="preserve">)</w:t>
      </w:r>
      <w:r>
        <w:t xml:space="preserve">. Porém com a crescente preocupação com o impacto das mudanças climáticas, os MDEs tornaram-se essenciais para compreender a resposta de espécie e comunidades à alterações futuras no clima global.</w:t>
      </w:r>
    </w:p>
    <w:p>
      <w:pPr>
        <w:pStyle w:val="BodyText"/>
      </w:pPr>
      <w:r>
        <w:t xml:space="preserve">Quanto ao</w:t>
      </w:r>
      <w:r>
        <w:t xml:space="preserve"> </w:t>
      </w:r>
      <w:r>
        <w:rPr>
          <w:iCs/>
          <w:i/>
        </w:rPr>
        <w:t xml:space="preserve">mismatch</w:t>
      </w:r>
      <w:r>
        <w:t xml:space="preserve"> </w:t>
      </w:r>
      <w:r>
        <w:t xml:space="preserve">espacial e sobreposição da distribuição de espécies, MDEs são instrumentos que podem prover estimativas confiáveis da distribuição futura de espécies que possuem interações ecológicas, auxiliando a avaliar o potencial de</w:t>
      </w:r>
      <w:r>
        <w:t xml:space="preserve"> </w:t>
      </w:r>
      <w:r>
        <w:rPr>
          <w:iCs/>
          <w:i/>
        </w:rPr>
        <w:t xml:space="preserve">mismatch</w:t>
      </w:r>
      <w:r>
        <w:t xml:space="preserve"> </w:t>
      </w:r>
      <w:r>
        <w:t xml:space="preserve">espacial.</w:t>
      </w:r>
      <w:r>
        <w:t xml:space="preserve"> </w:t>
      </w:r>
      <w:r>
        <w:t xml:space="preserve">(</w:t>
      </w:r>
      <w:hyperlink w:anchor="ref-gorostiague2018">
        <w:r>
          <w:rPr>
            <w:rStyle w:val="Hyperlink"/>
          </w:rPr>
          <w:t xml:space="preserve">GOROSTIAGUE e colab., 2018</w:t>
        </w:r>
      </w:hyperlink>
      <w:r>
        <w:t xml:space="preserve">)</w:t>
      </w:r>
      <w:r>
        <w:t xml:space="preserve"> </w:t>
      </w:r>
      <w:r>
        <w:t xml:space="preserve">buscou compreender os possíveis impactos das mudanças climáticas em 11 espécies de cacto dos Andes e o sobreposição espacial com seus respectivos polinizadores através de modelos correlativos de distribuição, estimando contração na distribuição das espécies no futuro, porém diminuição no</w:t>
      </w:r>
      <w:r>
        <w:t xml:space="preserve"> </w:t>
      </w:r>
      <w:r>
        <w:rPr>
          <w:iCs/>
          <w:i/>
        </w:rPr>
        <w:t xml:space="preserve">mismatch</w:t>
      </w:r>
      <w:r>
        <w:t xml:space="preserve"> </w:t>
      </w:r>
      <w:r>
        <w:t xml:space="preserve">espacial entre elas.</w:t>
      </w:r>
      <w:r>
        <w:t xml:space="preserve"> </w:t>
      </w:r>
      <w:r>
        <w:t xml:space="preserve">(</w:t>
      </w:r>
      <w:hyperlink w:anchor="ref-gomez2019">
        <w:r>
          <w:rPr>
            <w:rStyle w:val="Hyperlink"/>
          </w:rPr>
          <w:t xml:space="preserve">GÓMEZ-RUIZ e LACHER JR., 2019</w:t>
        </w:r>
      </w:hyperlink>
      <w:r>
        <w:t xml:space="preserve">)</w:t>
      </w:r>
      <w:r>
        <w:t xml:space="preserve"> </w:t>
      </w:r>
      <w:r>
        <w:t xml:space="preserve">também utilizou da modelagem de distribuição para avaliar a sobreposição potencial de espécies de</w:t>
      </w:r>
      <w:r>
        <w:t xml:space="preserve"> </w:t>
      </w:r>
      <w:r>
        <w:rPr>
          <w:iCs/>
          <w:i/>
        </w:rPr>
        <w:t xml:space="preserve">Agave</w:t>
      </w:r>
      <w:r>
        <w:t xml:space="preserve"> </w:t>
      </w:r>
      <w:r>
        <w:t xml:space="preserve">e seus morcegos polinizadores no presente e em projeções futuras, encontrando uma diminuição da sobreposição entre as espécies.</w:t>
      </w:r>
    </w:p>
    <w:bookmarkEnd w:id="24"/>
    <w:bookmarkEnd w:id="25"/>
    <w:bookmarkStart w:id="40" w:name="materiais-e-métodos"/>
    <w:p>
      <w:pPr>
        <w:pStyle w:val="Heading1"/>
      </w:pPr>
      <w:r>
        <w:t xml:space="preserve">2. Materiais e métodos</w:t>
      </w:r>
    </w:p>
    <w:bookmarkStart w:id="28" w:name="espécies"/>
    <w:p>
      <w:pPr>
        <w:pStyle w:val="Heading2"/>
      </w:pPr>
      <w:r>
        <w:t xml:space="preserve">2.1 Espécies</w:t>
      </w:r>
    </w:p>
    <w:p>
      <w:pPr>
        <w:pStyle w:val="FirstParagraph"/>
      </w:pPr>
      <w:r>
        <w:t xml:space="preserve">    Modelamos a distribuição de 2 espécies: a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de bromélia</w:t>
      </w:r>
      <w:r>
        <w:t xml:space="preserve"> </w:t>
      </w:r>
      <w:r>
        <w:rPr>
          <w:iCs/>
          <w:i/>
        </w:rPr>
        <w:t xml:space="preserve">Encholirium subsecundum</w:t>
      </w:r>
      <w:r>
        <w:t xml:space="preserve"> </w:t>
      </w:r>
      <w:r>
        <w:t xml:space="preserve">(Baker) Mez.</w:t>
      </w:r>
    </w:p>
    <w:p>
      <w:pPr>
        <w:pStyle w:val="BodyText"/>
      </w:pPr>
      <w:r>
        <w:rPr>
          <w:iCs/>
          <w:i/>
        </w:rPr>
        <w:t xml:space="preserve">L. bokermanni</w:t>
      </w:r>
      <w:r>
        <w:t xml:space="preserve"> </w:t>
      </w:r>
      <w:r>
        <w:t xml:space="preserve">Sazima</w:t>
      </w:r>
      <w:r>
        <w:t xml:space="preserve"> </w:t>
      </w:r>
      <w:r>
        <w:rPr>
          <w:iCs/>
          <w:i/>
        </w:rPr>
        <w:t xml:space="preserve">et al.</w:t>
      </w:r>
      <w:r>
        <w:t xml:space="preserve">, 1978</w:t>
      </w:r>
      <w:r>
        <w:t xml:space="preserve"> </w:t>
      </w:r>
      <w:r>
        <w:t xml:space="preserve">(</w:t>
      </w:r>
      <w:hyperlink w:anchor="ref-dias2013">
        <w:r>
          <w:rPr>
            <w:rStyle w:val="Hyperlink"/>
          </w:rPr>
          <w:t xml:space="preserve">DIAS e colab., 2013</w:t>
        </w:r>
      </w:hyperlink>
      <w:r>
        <w:t xml:space="preserve">;</w:t>
      </w:r>
      <w:r>
        <w:t xml:space="preserve"> </w:t>
      </w:r>
      <w:hyperlink w:anchor="ref-sazima1978">
        <w:r>
          <w:rPr>
            <w:rStyle w:val="Hyperlink"/>
          </w:rPr>
          <w:t xml:space="preserve">SAZIMA e colab., 1978</w:t>
        </w:r>
      </w:hyperlink>
      <w:r>
        <w:t xml:space="preserve">)</w:t>
      </w:r>
      <w:r>
        <w:t xml:space="preserve"> </w:t>
      </w:r>
      <w:r>
        <w:t xml:space="preserve">é uma espécie de morcego de porte médio endêmica do Brasil, fazendo parte do gênero</w:t>
      </w:r>
      <w:r>
        <w:t xml:space="preserve"> </w:t>
      </w:r>
      <w:r>
        <w:rPr>
          <w:iCs/>
          <w:i/>
        </w:rPr>
        <w:t xml:space="preserve">Lonchophylla</w:t>
      </w:r>
      <w:r>
        <w:t xml:space="preserve"> </w:t>
      </w:r>
      <w:r>
        <w:t xml:space="preserve">(família Phyllostomidae), que abrange espécies nectarívoras, com focinho alongado e língua comprida</w:t>
      </w:r>
      <w:r>
        <w:t xml:space="preserve"> </w:t>
      </w:r>
      <w:r>
        <w:t xml:space="preserve">(</w:t>
      </w:r>
      <w:hyperlink w:anchor="ref-fleming2008">
        <w:r>
          <w:rPr>
            <w:rStyle w:val="Hyperlink"/>
          </w:rPr>
          <w:t xml:space="preserve">FLEMING e colab., 2009</w:t>
        </w:r>
      </w:hyperlink>
      <w:r>
        <w:t xml:space="preserve">)</w:t>
      </w:r>
      <w:r>
        <w:t xml:space="preserve">.</w:t>
      </w:r>
      <w:r>
        <w:t xml:space="preserve"> </w:t>
      </w:r>
      <w:r>
        <w:t xml:space="preserve">Com poucas ocorrências no bioma do Cerrado e da Caatiga, em Minas Gerais e Bahia (</w:t>
      </w:r>
      <w:hyperlink w:anchor="apêndice">
        <w:r>
          <w:rPr>
            <w:rStyle w:val="Hyperlink"/>
          </w:rPr>
          <w:t xml:space="preserve">tabela 2</w:t>
        </w:r>
      </w:hyperlink>
      <w:r>
        <w:t xml:space="preserve">), o quiróptero possui uma distribuição restrita</w:t>
      </w:r>
      <w:r>
        <w:t xml:space="preserve"> </w:t>
      </w:r>
      <w:r>
        <w:t xml:space="preserve">(</w:t>
      </w:r>
      <w:hyperlink w:anchor="ref-claudio2018">
        <w:r>
          <w:rPr>
            <w:rStyle w:val="Hyperlink"/>
          </w:rPr>
          <w:t xml:space="preserve">CLÁUDIO e colab., 2018</w:t>
        </w:r>
      </w:hyperlink>
      <w:r>
        <w:t xml:space="preserve">)</w:t>
      </w:r>
      <w:r>
        <w:t xml:space="preserve">.</w:t>
      </w:r>
      <w:r>
        <w:t xml:space="preserve"> </w:t>
      </w:r>
      <w:r>
        <w:t xml:space="preserve">Ainda pouco se conhece sobre a biologia da espécie, porém sabe-se que alimenta-se de pólen, néctar e insetos</w:t>
      </w:r>
      <w:r>
        <w:t xml:space="preserve"> </w:t>
      </w:r>
      <w:r>
        <w:t xml:space="preserve">(</w:t>
      </w:r>
      <w:hyperlink w:anchor="ref-dias2013">
        <w:r>
          <w:rPr>
            <w:rStyle w:val="Hyperlink"/>
          </w:rPr>
          <w:t xml:space="preserve">DIAS e colab., 2013</w:t>
        </w:r>
      </w:hyperlink>
      <w:r>
        <w:t xml:space="preserve">;</w:t>
      </w:r>
      <w:r>
        <w:t xml:space="preserve"> </w:t>
      </w:r>
      <w:hyperlink w:anchor="ref-moratelli">
        <w:r>
          <w:rPr>
            <w:rStyle w:val="Hyperlink"/>
          </w:rPr>
          <w:t xml:space="preserve">MORATELLI, 2013</w:t>
        </w:r>
      </w:hyperlink>
      <w:r>
        <w:t xml:space="preserve">)</w:t>
      </w:r>
      <w:r>
        <w:t xml:space="preserve">.</w:t>
      </w:r>
    </w:p>
    <w:p>
      <w:pPr>
        <w:pStyle w:val="BodyText"/>
      </w:pPr>
      <w:r>
        <w:t xml:space="preserve">Em razão da degradação de seus habitats, a classificação de</w:t>
      </w:r>
      <w:r>
        <w:t xml:space="preserve"> </w:t>
      </w:r>
      <w:r>
        <w:rPr>
          <w:iCs/>
          <w:i/>
        </w:rPr>
        <w:t xml:space="preserve">L. bokermanni</w:t>
      </w:r>
      <w:r>
        <w:t xml:space="preserve"> </w:t>
      </w:r>
      <w:r>
        <w:t xml:space="preserve">quanto ao seu grau de ameaça está como</w:t>
      </w:r>
      <w:r>
        <w:t xml:space="preserve"> </w:t>
      </w:r>
      <w:r>
        <w:t xml:space="preserve">“</w:t>
      </w:r>
      <w:r>
        <w:t xml:space="preserve">Em perigo</w:t>
      </w:r>
      <w:r>
        <w:t xml:space="preserve">”</w:t>
      </w:r>
      <w:r>
        <w:t xml:space="preserve"> </w:t>
      </w:r>
      <w:r>
        <w:t xml:space="preserve">de acordo com a Listade Espécies Ameaçadas da União Internacional para a Conservação da Natureza (IUCN)</w:t>
      </w:r>
      <w:r>
        <w:t xml:space="preserve"> </w:t>
      </w:r>
      <w:r>
        <w:t xml:space="preserve">(</w:t>
      </w:r>
      <w:hyperlink w:anchor="ref-claudio2018">
        <w:r>
          <w:rPr>
            <w:rStyle w:val="Hyperlink"/>
          </w:rPr>
          <w:t xml:space="preserve">CLÁUDIO e colab., 2018</w:t>
        </w:r>
      </w:hyperlink>
      <w:r>
        <w:t xml:space="preserve">)</w:t>
      </w:r>
      <w:r>
        <w:t xml:space="preserve"> </w:t>
      </w:r>
      <w:r>
        <w:t xml:space="preserve">e como</w:t>
      </w:r>
      <w:r>
        <w:t xml:space="preserve"> </w:t>
      </w:r>
      <w:r>
        <w:t xml:space="preserve">“</w:t>
      </w:r>
      <w:r>
        <w:t xml:space="preserve">Quase ameaçada</w:t>
      </w:r>
      <w:r>
        <w:t xml:space="preserve">”</w:t>
      </w:r>
      <w:r>
        <w:t xml:space="preserve"> </w:t>
      </w:r>
      <w:r>
        <w:t xml:space="preserve">pelo Instituto Chico Mendes de Conservação da Biodiversidade (ICMBio)</w:t>
      </w:r>
      <w:r>
        <w:t xml:space="preserve"> </w:t>
      </w:r>
      <w:r>
        <w:t xml:space="preserve">(</w:t>
      </w:r>
      <w:hyperlink w:anchor="ref-icmbio2018">
        <w:r>
          <w:rPr>
            <w:rStyle w:val="Hyperlink"/>
          </w:rPr>
          <w:t xml:space="preserve">Livro Vermelho da Fauna Brasileira Ameaçada de Extinção, 2018</w:t>
        </w:r>
      </w:hyperlink>
      <w:r>
        <w:t xml:space="preserve">)</w:t>
      </w:r>
      <w:r>
        <w:t xml:space="preserve">.</w:t>
      </w:r>
    </w:p>
    <w:p>
      <w:pPr>
        <w:pStyle w:val="CaptionedFigure"/>
      </w:pPr>
      <w:r>
        <w:drawing>
          <wp:inline>
            <wp:extent cx="5334000" cy="5334000"/>
            <wp:effectExtent b="0" l="0" r="0" t="0"/>
            <wp:docPr descr="Lonchophylla bokermanni Sazima et al., 1978. Imagem retirada da fonte: CLÁUDIO e colab. (2018)" title="" id="1" name="Picture"/>
            <a:graphic>
              <a:graphicData uri="http://schemas.openxmlformats.org/drawingml/2006/picture">
                <pic:pic>
                  <pic:nvPicPr>
                    <pic:cNvPr descr="bokermanni.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Lonchophylla bokermanni</w:t>
      </w:r>
      <w:r>
        <w:t xml:space="preserve"> </w:t>
      </w:r>
      <w:r>
        <w:t xml:space="preserve">Sazima</w:t>
      </w:r>
      <w:r>
        <w:t xml:space="preserve"> </w:t>
      </w:r>
      <w:r>
        <w:rPr>
          <w:iCs/>
          <w:i/>
        </w:rPr>
        <w:t xml:space="preserve">et al.</w:t>
      </w:r>
      <w:r>
        <w:t xml:space="preserve">, 1978. Imagem retirada da fonte:</w:t>
      </w:r>
      <w:r>
        <w:t xml:space="preserve"> </w:t>
      </w: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p>
      <w:pPr>
        <w:pStyle w:val="BodyText"/>
      </w:pPr>
      <w:r>
        <w:rPr>
          <w:iCs/>
          <w:i/>
        </w:rPr>
        <w:t xml:space="preserve">Encholiirum subsecundum</w:t>
      </w:r>
      <w:r>
        <w:t xml:space="preserve"> </w:t>
      </w:r>
      <w:r>
        <w:t xml:space="preserve">(Baker) Mez é uma espécie de bromélia do gênero</w:t>
      </w:r>
      <w:r>
        <w:t xml:space="preserve"> </w:t>
      </w:r>
      <w:r>
        <w:rPr>
          <w:iCs/>
          <w:i/>
        </w:rPr>
        <w:t xml:space="preserve">Encholirium</w:t>
      </w:r>
      <w:r>
        <w:t xml:space="preserve"> </w:t>
      </w:r>
      <w:r>
        <w:t xml:space="preserve">(família Bromeliaceae) que ocorre em formações rochosas, podendo atingir até 2 metros de altura e com um padrão floral quiropterófilo</w:t>
      </w:r>
      <w:r>
        <w:t xml:space="preserve"> </w:t>
      </w:r>
      <w:r>
        <w:t xml:space="preserve">(</w:t>
      </w:r>
      <w:hyperlink w:anchor="ref-matos2004">
        <w:r>
          <w:rPr>
            <w:rStyle w:val="Hyperlink"/>
          </w:rPr>
          <w:t xml:space="preserve">CAVALLARI, 2004</w:t>
        </w:r>
      </w:hyperlink>
      <w:r>
        <w:t xml:space="preserve">;</w:t>
      </w:r>
      <w:r>
        <w:t xml:space="preserve"> </w:t>
      </w:r>
      <w:hyperlink w:anchor="ref-dias2013">
        <w:r>
          <w:rPr>
            <w:rStyle w:val="Hyperlink"/>
          </w:rPr>
          <w:t xml:space="preserve">DIAS e colab., 2013</w:t>
        </w:r>
      </w:hyperlink>
      <w:r>
        <w:t xml:space="preserve">)</w:t>
      </w:r>
      <w:r>
        <w:t xml:space="preserve">. A espécie é endêmica do Brasil, com ocorrências nos biomas da Caatinga, Mata Atlântica e, principalmente, no Cerrado</w:t>
      </w:r>
      <w:r>
        <w:t xml:space="preserve"> </w:t>
      </w:r>
      <w:r>
        <w:t xml:space="preserve">(</w:t>
      </w:r>
      <w:hyperlink w:anchor="ref-matos2004">
        <w:r>
          <w:rPr>
            <w:rStyle w:val="Hyperlink"/>
          </w:rPr>
          <w:t xml:space="preserve">CAVALLARI, 2004</w:t>
        </w:r>
      </w:hyperlink>
      <w:r>
        <w:t xml:space="preserve">;</w:t>
      </w:r>
      <w:r>
        <w:t xml:space="preserve"> </w:t>
      </w:r>
      <w:hyperlink w:anchor="ref-forzza2005">
        <w:r>
          <w:rPr>
            <w:rStyle w:val="Hyperlink"/>
          </w:rPr>
          <w:t xml:space="preserve">FORZZA, 2005</w:t>
        </w:r>
      </w:hyperlink>
      <w:r>
        <w:t xml:space="preserve">;</w:t>
      </w:r>
      <w:r>
        <w:t xml:space="preserve"> </w:t>
      </w:r>
      <w:hyperlink w:anchor="ref-sazima1989">
        <w:r>
          <w:rPr>
            <w:rStyle w:val="Hyperlink"/>
          </w:rPr>
          <w:t xml:space="preserve">SAZIMA e colab., 1989</w:t>
        </w:r>
      </w:hyperlink>
      <w:r>
        <w:t xml:space="preserve">)</w:t>
      </w:r>
      <w:r>
        <w:t xml:space="preserve">, nos estados de Minas Gerais e Bahia (</w:t>
      </w:r>
      <w:hyperlink w:anchor="apêndice">
        <w:r>
          <w:rPr>
            <w:rStyle w:val="Hyperlink"/>
          </w:rPr>
          <w:t xml:space="preserve">tabela 1</w:t>
        </w:r>
      </w:hyperlink>
      <w:r>
        <w:t xml:space="preserve">). Embora existam outras espécies de morcegos nectarívoros na área de ocorrência de</w:t>
      </w:r>
      <w:r>
        <w:t xml:space="preserve"> </w:t>
      </w:r>
      <w:r>
        <w:rPr>
          <w:iCs/>
          <w:i/>
        </w:rPr>
        <w:t xml:space="preserve">E. subsecundum</w:t>
      </w:r>
      <w:r>
        <w:t xml:space="preserve">,</w:t>
      </w:r>
      <w:r>
        <w:t xml:space="preserve"> </w:t>
      </w:r>
      <w:r>
        <w:rPr>
          <w:iCs/>
          <w:i/>
        </w:rPr>
        <w:t xml:space="preserve">L. bokermanni</w:t>
      </w:r>
      <w:r>
        <w:t xml:space="preserve"> </w:t>
      </w:r>
      <w:r>
        <w:t xml:space="preserve">é o único polinizador conhecido da bromélia</w:t>
      </w:r>
      <w:r>
        <w:t xml:space="preserve"> </w:t>
      </w:r>
      <w:r>
        <w:t xml:space="preserve">(</w:t>
      </w:r>
      <w:hyperlink w:anchor="ref-sazima1989">
        <w:r>
          <w:rPr>
            <w:rStyle w:val="Hyperlink"/>
          </w:rPr>
          <w:t xml:space="preserve">SAZIMA e colab., 1989</w:t>
        </w:r>
      </w:hyperlink>
      <w:r>
        <w:t xml:space="preserve">)</w:t>
      </w:r>
      <w:r>
        <w:t xml:space="preserve">.</w:t>
      </w:r>
      <w:r>
        <w:t xml:space="preserve"> </w:t>
      </w:r>
      <w:r>
        <w:rPr>
          <w:iCs/>
          <w:i/>
        </w:rPr>
        <w:t xml:space="preserve">E. subsecundum</w:t>
      </w:r>
      <w:r>
        <w:t xml:space="preserve"> </w:t>
      </w:r>
      <w:r>
        <w:t xml:space="preserve">não se encontra no Livro Vermelho da Flora do Brasil</w:t>
      </w:r>
      <w:r>
        <w:t xml:space="preserve"> </w:t>
      </w:r>
      <w:r>
        <w:t xml:space="preserve">(</w:t>
      </w:r>
      <w:hyperlink w:anchor="ref-martinelli2013">
        <w:r>
          <w:rPr>
            <w:rStyle w:val="Hyperlink"/>
          </w:rPr>
          <w:t xml:space="preserve">MARTINELLI e MORAES, 2013</w:t>
        </w:r>
      </w:hyperlink>
      <w:r>
        <w:t xml:space="preserve">)</w:t>
      </w:r>
      <w:r>
        <w:t xml:space="preserve"> </w:t>
      </w:r>
      <w:r>
        <w:t xml:space="preserve">ou na Lista Vermelha da IUCN</w:t>
      </w:r>
      <w:r>
        <w:t xml:space="preserve"> </w:t>
      </w:r>
      <w:r>
        <w:t xml:space="preserve">(</w:t>
      </w:r>
      <w:hyperlink w:anchor="ref-iucn">
        <w:r>
          <w:rPr>
            <w:rStyle w:val="Hyperlink"/>
          </w:rPr>
          <w:t xml:space="preserve">“The IUCN Red List of Threatened Species”</w:t>
        </w:r>
        <w:r>
          <w:rPr>
            <w:rStyle w:val="Hyperlink"/>
          </w:rPr>
          <w:t xml:space="preserve">, 2021</w:t>
        </w:r>
      </w:hyperlink>
      <w:r>
        <w:t xml:space="preserve">)</w:t>
      </w:r>
      <w:r>
        <w:t xml:space="preserve">.</w:t>
      </w:r>
    </w:p>
    <w:p>
      <w:pPr>
        <w:pStyle w:val="CaptionedFigure"/>
      </w:pPr>
      <w:r>
        <w:drawing>
          <wp:inline>
            <wp:extent cx="5334000" cy="7202025"/>
            <wp:effectExtent b="0" l="0" r="0" t="0"/>
            <wp:docPr descr="Encholirium subsecundum (Baker) Mez. Imagem de: N. Taylor &amp; D. Zappi" title="" id="1" name="Picture"/>
            <a:graphic>
              <a:graphicData uri="http://schemas.openxmlformats.org/drawingml/2006/picture">
                <pic:pic>
                  <pic:nvPicPr>
                    <pic:cNvPr descr="encholirium.jpg" id="0" name="Picture"/>
                    <pic:cNvPicPr>
                      <a:picLocks noChangeArrowheads="1" noChangeAspect="1"/>
                    </pic:cNvPicPr>
                  </pic:nvPicPr>
                  <pic:blipFill>
                    <a:blip r:embed="rId27"/>
                    <a:stretch>
                      <a:fillRect/>
                    </a:stretch>
                  </pic:blipFill>
                  <pic:spPr bwMode="auto">
                    <a:xfrm>
                      <a:off x="0" y="0"/>
                      <a:ext cx="5334000" cy="7202025"/>
                    </a:xfrm>
                    <a:prstGeom prst="rect">
                      <a:avLst/>
                    </a:prstGeom>
                    <a:noFill/>
                    <a:ln w="9525">
                      <a:noFill/>
                      <a:headEnd/>
                      <a:tailEnd/>
                    </a:ln>
                  </pic:spPr>
                </pic:pic>
              </a:graphicData>
            </a:graphic>
          </wp:inline>
        </w:drawing>
      </w:r>
    </w:p>
    <w:p>
      <w:pPr>
        <w:pStyle w:val="ImageCaption"/>
      </w:pPr>
      <w:r>
        <w:rPr>
          <w:iCs/>
          <w:i/>
        </w:rPr>
        <w:t xml:space="preserve">Encholirium subsecundum</w:t>
      </w:r>
      <w:r>
        <w:t xml:space="preserve"> </w:t>
      </w:r>
      <w:r>
        <w:t xml:space="preserve">(Baker) Mez. Imagem de: N. Taylor &amp; D. Zappi</w:t>
      </w:r>
    </w:p>
    <w:bookmarkEnd w:id="28"/>
    <w:bookmarkStart w:id="31" w:name="ocorrências"/>
    <w:p>
      <w:pPr>
        <w:pStyle w:val="Heading2"/>
      </w:pPr>
      <w:r>
        <w:t xml:space="preserve">2.2 Ocorrências</w:t>
      </w:r>
    </w:p>
    <w:p>
      <w:pPr>
        <w:pStyle w:val="FirstParagraph"/>
      </w:pPr>
      <w:r>
        <w:t xml:space="preserve">    Para o processo de Modelagem de Distribuição são necessários registros georreferenciados das espécies. Assim, foram coletados os registros de ocorrências de</w:t>
      </w:r>
      <w:r>
        <w:t xml:space="preserve"> </w:t>
      </w:r>
      <w:r>
        <w:rPr>
          <w:iCs/>
          <w:i/>
        </w:rPr>
        <w:t xml:space="preserve">Encholirium subsecundum</w:t>
      </w:r>
      <w:r>
        <w:t xml:space="preserve"> </w:t>
      </w:r>
      <w:r>
        <w:t xml:space="preserve">e</w:t>
      </w:r>
      <w:r>
        <w:t xml:space="preserve"> </w:t>
      </w:r>
      <w:r>
        <w:rPr>
          <w:iCs/>
          <w:i/>
        </w:rPr>
        <w:t xml:space="preserve">Lonchophylla bokermanni</w:t>
      </w:r>
      <w:r>
        <w:t xml:space="preserve"> </w:t>
      </w:r>
      <w:r>
        <w:t xml:space="preserve">em 3 bancos de registros onlines: Specielink, GBIF e SiBBr, que reunem registros de coleções de espécies. Também foram utilizados registros de artigos que fizeram coletas de espécies.</w:t>
      </w:r>
    </w:p>
    <w:p>
      <w:pPr>
        <w:pStyle w:val="BodyText"/>
      </w:pPr>
      <w:r>
        <w:t xml:space="preserve">Foram reunidos 24 registros ao todo da espécie</w:t>
      </w:r>
      <w:r>
        <w:t xml:space="preserve"> </w:t>
      </w:r>
      <w:r>
        <w:rPr>
          <w:iCs/>
          <w:i/>
        </w:rPr>
        <w:t xml:space="preserve">L. bokermanni</w:t>
      </w:r>
      <w:r>
        <w:t xml:space="preserve">, com o único parâmetro prévio de possuírem coordenadas georreferenciadas. Em seguida, os registros com coordenadas geográficas duplicadas foram retirados da base de dados, sobrando apenas uma ocorrências entre as duplicadas. Então, um</w:t>
      </w:r>
      <w:r>
        <w:t xml:space="preserve"> </w:t>
      </w:r>
      <w:r>
        <w:rPr>
          <w:iCs/>
          <w:i/>
        </w:rPr>
        <w:t xml:space="preserve">buffer</w:t>
      </w:r>
      <w:r>
        <w:t xml:space="preserve"> </w:t>
      </w:r>
      <w:r>
        <w:t xml:space="preserve">com raio de 5 km foi criado ao redor de cada registro e foram selecionados apenas uma ocorrência dentro de cada</w:t>
      </w:r>
      <w:r>
        <w:t xml:space="preserve"> </w:t>
      </w:r>
      <w:r>
        <w:rPr>
          <w:iCs/>
          <w:i/>
        </w:rPr>
        <w:t xml:space="preserve">buffer</w:t>
      </w:r>
      <w:r>
        <w:t xml:space="preserve">, a fim de diminuir o viés amostral na seleção de ocorrências pelo modelo</w:t>
      </w:r>
      <w:r>
        <w:t xml:space="preserve"> </w:t>
      </w:r>
      <w:r>
        <w:t xml:space="preserve">(</w:t>
      </w:r>
      <w:hyperlink w:anchor="ref-hijmans2001">
        <w:r>
          <w:rPr>
            <w:rStyle w:val="Hyperlink"/>
          </w:rPr>
          <w:t xml:space="preserve">HIJMANS e SPOONER, 2001</w:t>
        </w:r>
      </w:hyperlink>
      <w:r>
        <w:t xml:space="preserve">)</w:t>
      </w:r>
      <w:r>
        <w:t xml:space="preserve">. Por fim, sobraram 8 registros, os quais foram utilizados para as modelagens (</w:t>
      </w:r>
      <w:hyperlink w:anchor="apêndice">
        <w:r>
          <w:rPr>
            <w:rStyle w:val="Hyperlink"/>
          </w:rPr>
          <w:t xml:space="preserve">tabela 2</w:t>
        </w:r>
      </w:hyperlink>
      <w:r>
        <w:t xml:space="preserve">).</w:t>
      </w:r>
    </w:p>
    <w:p>
      <w:pPr>
        <w:pStyle w:val="BodyText"/>
      </w:pPr>
      <w:r>
        <w:t xml:space="preserve">O mesmo método de limpeza e tratamento dos registros de ocorrência foram utilizados com os dados da</w:t>
      </w:r>
      <w:r>
        <w:t xml:space="preserve"> </w:t>
      </w:r>
      <w:r>
        <w:rPr>
          <w:iCs/>
          <w:i/>
        </w:rPr>
        <w:t xml:space="preserve">E. subsecundum</w:t>
      </w:r>
      <w:r>
        <w:t xml:space="preserve">, inicialmente com 82 registros e após a retirada de registros duplicados e seleção de um registro por</w:t>
      </w:r>
      <w:r>
        <w:t xml:space="preserve"> </w:t>
      </w:r>
      <w:r>
        <w:rPr>
          <w:iCs/>
          <w:i/>
        </w:rPr>
        <w:t xml:space="preserve">buffer</w:t>
      </w:r>
      <w:r>
        <w:t xml:space="preserve">, restaram 37 ocorrências de localidade da espécie (</w:t>
      </w:r>
      <w:hyperlink w:anchor="apêndice">
        <w:r>
          <w:rPr>
            <w:rStyle w:val="Hyperlink"/>
          </w:rPr>
          <w:t xml:space="preserve">tabela 1</w:t>
        </w:r>
      </w:hyperlink>
      <w:r>
        <w:t xml:space="preserve">) que foram utilizados nas modelagens.</w:t>
      </w:r>
    </w:p>
    <w:p>
      <w:pPr>
        <w:pStyle w:val="BodyText"/>
      </w:pPr>
      <w:r>
        <w:t xml:space="preserve">Todos as ocorrências restantes tiveram a descrição de município e localidades dos registros confrontados com os pontos de georreferenciamento (latitude e longitude), com o objetivo de verificar se estavam de acordo. Nenhum registro restante possuía descrição de localidade que não estivesse de acordo com a posição geográfica descrita.</w:t>
      </w:r>
    </w:p>
    <w:p>
      <w:pPr>
        <w:pStyle w:val="BodyText"/>
      </w:pPr>
      <w:r>
        <w:drawing>
          <wp:inline>
            <wp:extent cx="5334000" cy="5867400"/>
            <wp:effectExtent b="0" l="0" r="0" t="0"/>
            <wp:docPr descr="Gráfico das localidades de L. bokermanni (à esquerda) e E. subsecundum (à direita)." title="" id="1" name="Picture"/>
            <a:graphic>
              <a:graphicData uri="http://schemas.openxmlformats.org/drawingml/2006/picture">
                <pic:pic>
                  <pic:nvPicPr>
                    <pic:cNvPr descr="../Graficos/Figure_1.png" id="0" name="Picture"/>
                    <pic:cNvPicPr>
                      <a:picLocks noChangeArrowheads="1" noChangeAspect="1"/>
                    </pic:cNvPicPr>
                  </pic:nvPicPr>
                  <pic:blipFill>
                    <a:blip r:embed="rId29"/>
                    <a:stretch>
                      <a:fillRect/>
                    </a:stretch>
                  </pic:blipFill>
                  <pic:spPr bwMode="auto">
                    <a:xfrm>
                      <a:off x="0" y="0"/>
                      <a:ext cx="5334000" cy="5867400"/>
                    </a:xfrm>
                    <a:prstGeom prst="rect">
                      <a:avLst/>
                    </a:prstGeom>
                    <a:noFill/>
                    <a:ln w="9525">
                      <a:noFill/>
                      <a:headEnd/>
                      <a:tailEnd/>
                    </a:ln>
                  </pic:spPr>
                </pic:pic>
              </a:graphicData>
            </a:graphic>
          </wp:inline>
        </w:drawing>
      </w:r>
      <w:r>
        <w:drawing>
          <wp:inline>
            <wp:extent cx="5334000" cy="5867400"/>
            <wp:effectExtent b="0" l="0" r="0" t="0"/>
            <wp:docPr descr="Gráfico das localidades de L. bokermanni (à esquerda) e E. subsecundum (à direita)." title="" id="1" name="Picture"/>
            <a:graphic>
              <a:graphicData uri="http://schemas.openxmlformats.org/drawingml/2006/picture">
                <pic:pic>
                  <pic:nvPicPr>
                    <pic:cNvPr descr="../Graficos/Figure_2.png" id="0" name="Picture"/>
                    <pic:cNvPicPr>
                      <a:picLocks noChangeArrowheads="1" noChangeAspect="1"/>
                    </pic:cNvPicPr>
                  </pic:nvPicPr>
                  <pic:blipFill>
                    <a:blip r:embed="rId30"/>
                    <a:stretch>
                      <a:fillRect/>
                    </a:stretch>
                  </pic:blipFill>
                  <pic:spPr bwMode="auto">
                    <a:xfrm>
                      <a:off x="0" y="0"/>
                      <a:ext cx="5334000" cy="5867400"/>
                    </a:xfrm>
                    <a:prstGeom prst="rect">
                      <a:avLst/>
                    </a:prstGeom>
                    <a:noFill/>
                    <a:ln w="9525">
                      <a:noFill/>
                      <a:headEnd/>
                      <a:tailEnd/>
                    </a:ln>
                  </pic:spPr>
                </pic:pic>
              </a:graphicData>
            </a:graphic>
          </wp:inline>
        </w:drawing>
      </w:r>
    </w:p>
    <w:bookmarkEnd w:id="31"/>
    <w:bookmarkStart w:id="34" w:name="dados-ambientais"/>
    <w:p>
      <w:pPr>
        <w:pStyle w:val="Heading2"/>
      </w:pPr>
      <w:r>
        <w:t xml:space="preserve">2.3 Dados ambientais</w:t>
      </w:r>
    </w:p>
    <w:p>
      <w:pPr>
        <w:pStyle w:val="FirstParagraph"/>
      </w:pPr>
      <w:r>
        <w:t xml:space="preserve">    Para produzir os modelos de distribuição potencial das espécies utilizamos camadas ambientais obtidas do projeto WorldClim</w:t>
      </w:r>
      <w:r>
        <w:t xml:space="preserve"> </w:t>
      </w:r>
      <w:r>
        <w:t xml:space="preserve">(</w:t>
      </w:r>
      <w:hyperlink w:anchor="ref-worldclim">
        <w:r>
          <w:rPr>
            <w:rStyle w:val="Hyperlink"/>
          </w:rPr>
          <w:t xml:space="preserve">FICK e HIJMANS, 2017</w:t>
        </w:r>
      </w:hyperlink>
      <w:r>
        <w:t xml:space="preserve">)</w:t>
      </w:r>
      <w:r>
        <w:t xml:space="preserve">, com resolução espacial de 2.5 arc-minutos (aproximadamente 4.5 km no equador) e representando o clima atual, correspondendo à média das observações de 1970 a 2000. As 19 variáveis bioclimáticas (</w:t>
      </w:r>
      <w:hyperlink w:anchor="apêndice">
        <w:r>
          <w:rPr>
            <w:rStyle w:val="Hyperlink"/>
          </w:rPr>
          <w:t xml:space="preserve">tabela 3</w:t>
        </w:r>
      </w:hyperlink>
      <w:r>
        <w:t xml:space="preserve">) derivam de dados de temperatura e precipitação, repesentando tendências anuais, condições extremas e sazionalidade</w:t>
      </w:r>
      <w:r>
        <w:t xml:space="preserve"> </w:t>
      </w:r>
      <w:r>
        <w:t xml:space="preserve">(</w:t>
      </w:r>
      <w:hyperlink w:anchor="ref-worldclim">
        <w:r>
          <w:rPr>
            <w:rStyle w:val="Hyperlink"/>
          </w:rPr>
          <w:t xml:space="preserve">FICK e HIJMANS, 2017</w:t>
        </w:r>
      </w:hyperlink>
      <w:r>
        <w:t xml:space="preserve">;</w:t>
      </w:r>
      <w:r>
        <w:t xml:space="preserve"> </w:t>
      </w:r>
      <w:hyperlink w:anchor="ref-IPCC">
        <w:r>
          <w:rPr>
            <w:rStyle w:val="Hyperlink"/>
          </w:rPr>
          <w:t xml:space="preserve">IPCC, 2013</w:t>
        </w:r>
      </w:hyperlink>
      <w:r>
        <w:t xml:space="preserve">)</w:t>
      </w:r>
      <w:r>
        <w:t xml:space="preserve">.</w:t>
      </w:r>
    </w:p>
    <w:p>
      <w:pPr>
        <w:pStyle w:val="BodyText"/>
      </w:pPr>
      <w:r>
        <w:t xml:space="preserve">Para as predições de distribuições futuras, utilizamos camadas projetadas do clima global para o ano de 2050 (média de 2041 a 2060) de acordo com o Quinto Relatório de Avaliação do Painel Intergovernamental sobre Mudanças Climáticas (AR5) do Painel Intergovernamental sobre Mudanças Climáticas</w:t>
      </w:r>
      <w:r>
        <w:t xml:space="preserve"> </w:t>
      </w:r>
      <w:r>
        <w:t xml:space="preserve">(</w:t>
      </w:r>
      <w:hyperlink w:anchor="ref-IPCC">
        <w:r>
          <w:rPr>
            <w:rStyle w:val="Hyperlink"/>
          </w:rPr>
          <w:t xml:space="preserve">IPCC, 2013</w:t>
        </w:r>
      </w:hyperlink>
      <w:r>
        <w:t xml:space="preserve">)</w:t>
      </w:r>
      <w:r>
        <w:t xml:space="preserve">, obtidas também através do projeto WorldClim</w:t>
      </w:r>
      <w:r>
        <w:t xml:space="preserve"> </w:t>
      </w:r>
      <w:r>
        <w:t xml:space="preserve">(</w:t>
      </w:r>
      <w:hyperlink w:anchor="ref-worldclim">
        <w:r>
          <w:rPr>
            <w:rStyle w:val="Hyperlink"/>
          </w:rPr>
          <w:t xml:space="preserve">FICK e HIJMANS, 2017</w:t>
        </w:r>
      </w:hyperlink>
      <w:r>
        <w:t xml:space="preserve">)</w:t>
      </w:r>
      <w:r>
        <w:t xml:space="preserve">.</w:t>
      </w:r>
      <w:r>
        <w:t xml:space="preserve"> </w:t>
      </w:r>
      <w:r>
        <w:t xml:space="preserve">São camadas de 19 biovariáveis (</w:t>
      </w:r>
      <w:hyperlink w:anchor="apêndice">
        <w:r>
          <w:rPr>
            <w:rStyle w:val="Hyperlink"/>
          </w:rPr>
          <w:t xml:space="preserve">tabela 3</w:t>
        </w:r>
      </w:hyperlink>
      <w:r>
        <w:t xml:space="preserve">) projetadas para o futuro, com resolução de 2.5 arc-minutos e usando o modelo de circulação CNRM-CM5, do laboratório francês</w:t>
      </w:r>
      <w:r>
        <w:t xml:space="preserve"> </w:t>
      </w:r>
      <w:r>
        <w:rPr>
          <w:iCs/>
          <w:i/>
        </w:rPr>
        <w:t xml:space="preserve">Centre National de Recherches Meteorologiques</w:t>
      </w:r>
      <w:r>
        <w:t xml:space="preserve">, representando dois cenários distintos de emissão de gases do efeito estufa conforme o</w:t>
      </w:r>
      <w:r>
        <w:t xml:space="preserve"> </w:t>
      </w:r>
      <w:r>
        <w:rPr>
          <w:iCs/>
          <w:i/>
        </w:rPr>
        <w:t xml:space="preserve">Representative Concentration Pathways</w:t>
      </w:r>
      <w:r>
        <w:t xml:space="preserve"> </w:t>
      </w:r>
      <w:r>
        <w:t xml:space="preserve">(RCPs), o de RCP 45 (cenário no qual as emissões de</w:t>
      </w:r>
      <w:r>
        <w:t xml:space="preserve"> </w:t>
      </w:r>
      <m:oMath>
        <m:r>
          <m:t>C</m:t>
        </m:r>
        <m:sSub>
          <m:e>
            <m:r>
              <m:t>O</m:t>
            </m:r>
          </m:e>
          <m:sub>
            <m:r>
              <m:t>2</m:t>
            </m:r>
          </m:sub>
        </m:sSub>
      </m:oMath>
      <w:r>
        <w:t xml:space="preserve"> </w:t>
      </w:r>
      <w:r>
        <w:t xml:space="preserve">começam a diminuir a partir de 2045) e de RCP 85 (as emissões de gases continuam a crescer ao longo do século 21)</w:t>
      </w:r>
      <w:r>
        <w:t xml:space="preserve"> </w:t>
      </w:r>
      <w:r>
        <w:t xml:space="preserve">(</w:t>
      </w:r>
      <w:hyperlink w:anchor="ref-Vuuren2011">
        <w:r>
          <w:rPr>
            <w:rStyle w:val="Hyperlink"/>
          </w:rPr>
          <w:t xml:space="preserve">VUUREN e colab., 2011</w:t>
        </w:r>
      </w:hyperlink>
      <w:r>
        <w:t xml:space="preserve">)</w:t>
      </w:r>
      <w:r>
        <w:t xml:space="preserve">.</w:t>
      </w:r>
    </w:p>
    <w:p>
      <w:pPr>
        <w:pStyle w:val="BodyText"/>
      </w:pPr>
      <w:r>
        <w:t xml:space="preserve">Diversos autores apontaram problemas de multicolinearidade de variáveis climáticas em modelagens de distribuição</w:t>
      </w:r>
      <w:r>
        <w:t xml:space="preserve"> </w:t>
      </w:r>
      <w:r>
        <w:t xml:space="preserve">(</w:t>
      </w:r>
      <w:hyperlink w:anchor="ref-braunisch2013">
        <w:r>
          <w:rPr>
            <w:rStyle w:val="Hyperlink"/>
          </w:rPr>
          <w:t xml:space="preserve">BRAUNISCH e colab., 2013</w:t>
        </w:r>
      </w:hyperlink>
      <w:r>
        <w:t xml:space="preserve">;</w:t>
      </w:r>
      <w:r>
        <w:t xml:space="preserve"> </w:t>
      </w:r>
      <w:hyperlink w:anchor="ref-cardenas2014">
        <w:r>
          <w:rPr>
            <w:rStyle w:val="Hyperlink"/>
          </w:rPr>
          <w:t xml:space="preserve">CRUZ-CÁRDENAS e colab., 2014</w:t>
        </w:r>
      </w:hyperlink>
      <w:r>
        <w:t xml:space="preserve">)</w:t>
      </w:r>
      <w:r>
        <w:t xml:space="preserve">, afetando diretamente os resultados e performance dos modelos.</w:t>
      </w:r>
      <w:r>
        <w:t xml:space="preserve"> </w:t>
      </w:r>
      <w:r>
        <w:t xml:space="preserve">A fim de avaliar a gravidade da colinearidade entre os pontos de ocorrências das duas espécies e o conjunto de biovariáveis do clima atual, medimos o Fator de Inflação da Variância (VIF) das camadas ambientais.</w:t>
      </w:r>
      <w:r>
        <w:t xml:space="preserve"> </w:t>
      </w:r>
      <w:r>
        <w:t xml:space="preserve">Para os dados de ocorrência da planta</w:t>
      </w:r>
      <w:r>
        <w:t xml:space="preserve"> </w:t>
      </w:r>
      <w:r>
        <w:rPr>
          <w:iCs/>
          <w:i/>
        </w:rPr>
        <w:t xml:space="preserve">E. subsecundum</w:t>
      </w:r>
      <w:r>
        <w:t xml:space="preserve">, o teste resultou em 12 (de 19) variáveis bioclimáticas com problemas de colinearidade (</w:t>
      </w:r>
      <w:hyperlink w:anchor="apêndice">
        <w:r>
          <w:rPr>
            <w:rStyle w:val="Hyperlink"/>
          </w:rPr>
          <w:t xml:space="preserve">tabela 4</w:t>
        </w:r>
      </w:hyperlink>
      <w:r>
        <w:t xml:space="preserve">).</w:t>
      </w:r>
      <w:r>
        <w:t xml:space="preserve"> </w:t>
      </w:r>
      <w:r>
        <w:t xml:space="preserve">Enquanto que para o morcego</w:t>
      </w:r>
      <w:r>
        <w:t xml:space="preserve"> </w:t>
      </w:r>
      <w:r>
        <w:rPr>
          <w:iCs/>
          <w:i/>
        </w:rPr>
        <w:t xml:space="preserve">L. bokermanni</w:t>
      </w:r>
      <w:r>
        <w:t xml:space="preserve">, 17 variáveis apresentaram alto grau de colinearidade (</w:t>
      </w:r>
      <w:hyperlink w:anchor="apêndice">
        <w:r>
          <w:rPr>
            <w:rStyle w:val="Hyperlink"/>
          </w:rPr>
          <w:t xml:space="preserve">tabela 5</w:t>
        </w:r>
      </w:hyperlink>
      <w:r>
        <w:t xml:space="preserve">).</w:t>
      </w:r>
      <w:r>
        <w:t xml:space="preserve"> </w:t>
      </w:r>
      <w:r>
        <w:t xml:space="preserve">Valores de VIF maiores que o limiar 10 já indicam problema de colinearidade.</w:t>
      </w:r>
    </w:p>
    <w:p>
      <w:pPr>
        <w:pStyle w:val="BodyText"/>
      </w:pPr>
      <w:r>
        <w:drawing>
          <wp:inline>
            <wp:extent cx="5334000" cy="3660913"/>
            <wp:effectExtent b="0" l="0" r="0" t="0"/>
            <wp:docPr descr="Matriz de correlação entre as variáveis bioclimáticas para a espécie E. subsecundum (à esquerda) e L. bokermanni (à direita)" title="" id="1" name="Picture"/>
            <a:graphic>
              <a:graphicData uri="http://schemas.openxmlformats.org/drawingml/2006/picture">
                <pic:pic>
                  <pic:nvPicPr>
                    <pic:cNvPr descr="../Dados/Resultados_VIF/E_subsecundum/Corr_plot_19_biovars.png" id="0" name="Picture"/>
                    <pic:cNvPicPr>
                      <a:picLocks noChangeArrowheads="1" noChangeAspect="1"/>
                    </pic:cNvPicPr>
                  </pic:nvPicPr>
                  <pic:blipFill>
                    <a:blip r:embed="rId32"/>
                    <a:stretch>
                      <a:fillRect/>
                    </a:stretch>
                  </pic:blipFill>
                  <pic:spPr bwMode="auto">
                    <a:xfrm>
                      <a:off x="0" y="0"/>
                      <a:ext cx="5334000" cy="3660913"/>
                    </a:xfrm>
                    <a:prstGeom prst="rect">
                      <a:avLst/>
                    </a:prstGeom>
                    <a:noFill/>
                    <a:ln w="9525">
                      <a:noFill/>
                      <a:headEnd/>
                      <a:tailEnd/>
                    </a:ln>
                  </pic:spPr>
                </pic:pic>
              </a:graphicData>
            </a:graphic>
          </wp:inline>
        </w:drawing>
      </w:r>
      <w:r>
        <w:drawing>
          <wp:inline>
            <wp:extent cx="5334000" cy="3660913"/>
            <wp:effectExtent b="0" l="0" r="0" t="0"/>
            <wp:docPr descr="Matriz de correlação entre as variáveis bioclimáticas para a espécie E. subsecundum (à esquerda) e L. bokermanni (à direita)" title="" id="1" name="Picture"/>
            <a:graphic>
              <a:graphicData uri="http://schemas.openxmlformats.org/drawingml/2006/picture">
                <pic:pic>
                  <pic:nvPicPr>
                    <pic:cNvPr descr="../Dados/Resultados_VIF/L_bokermanni/Corr_plot_19_biovars.png" id="0" name="Picture"/>
                    <pic:cNvPicPr>
                      <a:picLocks noChangeArrowheads="1" noChangeAspect="1"/>
                    </pic:cNvPicPr>
                  </pic:nvPicPr>
                  <pic:blipFill>
                    <a:blip r:embed="rId33"/>
                    <a:stretch>
                      <a:fillRect/>
                    </a:stretch>
                  </pic:blipFill>
                  <pic:spPr bwMode="auto">
                    <a:xfrm>
                      <a:off x="0" y="0"/>
                      <a:ext cx="5334000" cy="3660913"/>
                    </a:xfrm>
                    <a:prstGeom prst="rect">
                      <a:avLst/>
                    </a:prstGeom>
                    <a:noFill/>
                    <a:ln w="9525">
                      <a:noFill/>
                      <a:headEnd/>
                      <a:tailEnd/>
                    </a:ln>
                  </pic:spPr>
                </pic:pic>
              </a:graphicData>
            </a:graphic>
          </wp:inline>
        </w:drawing>
      </w:r>
    </w:p>
    <w:bookmarkEnd w:id="34"/>
    <w:bookmarkStart w:id="35" w:name="modelo-de-distribuição-potencial"/>
    <w:p>
      <w:pPr>
        <w:pStyle w:val="Heading2"/>
      </w:pPr>
      <w:r>
        <w:t xml:space="preserve">2.4 Modelo de Distribuição Potencial</w:t>
      </w:r>
    </w:p>
    <w:p>
      <w:pPr>
        <w:pStyle w:val="FirstParagraph"/>
      </w:pPr>
      <w:r>
        <w:t xml:space="preserve">    Para o processo de modelagem foi utilizado o pacote SDM (</w:t>
      </w:r>
      <w:r>
        <w:rPr>
          <w:iCs/>
          <w:i/>
        </w:rPr>
        <w:t xml:space="preserve">Species Distribution Modelling</w:t>
      </w:r>
      <w:r>
        <w:t xml:space="preserve">)</w:t>
      </w:r>
      <w:r>
        <w:t xml:space="preserve"> </w:t>
      </w:r>
      <w:r>
        <w:t xml:space="preserve">(</w:t>
      </w:r>
      <w:hyperlink w:anchor="ref-sdm">
        <w:r>
          <w:rPr>
            <w:rStyle w:val="Hyperlink"/>
          </w:rPr>
          <w:t xml:space="preserve">NAIMI e ARAÚJO, 2016</w:t>
        </w:r>
      </w:hyperlink>
      <w:r>
        <w:t xml:space="preserve">)</w:t>
      </w:r>
      <w:r>
        <w:t xml:space="preserve">, (versão 1.0-89), da linguagem de programação R</w:t>
      </w:r>
      <w:r>
        <w:t xml:space="preserve"> </w:t>
      </w:r>
      <w:r>
        <w:t xml:space="preserve">(</w:t>
      </w:r>
      <w:hyperlink w:anchor="ref-r">
        <w:r>
          <w:rPr>
            <w:rStyle w:val="Hyperlink"/>
          </w:rPr>
          <w:t xml:space="preserve">R CORE TEAM, 2021</w:t>
        </w:r>
      </w:hyperlink>
      <w:r>
        <w:t xml:space="preserve">)</w:t>
      </w:r>
      <w:r>
        <w:t xml:space="preserve">, versão 4.1.1, por apresentar uma série de funções importantes que automatizam o processo de modelagem, além de conter diversos algoritmos de modelagem.</w:t>
      </w:r>
    </w:p>
    <w:p>
      <w:pPr>
        <w:pStyle w:val="BodyText"/>
      </w:pPr>
      <w:r>
        <w:t xml:space="preserve">Nós usamos o algoritimo correlativo de modelagem de distribuição Maxent (</w:t>
      </w:r>
      <w:r>
        <w:rPr>
          <w:iCs/>
          <w:i/>
        </w:rPr>
        <w:t xml:space="preserve">Maximum Entropy</w:t>
      </w:r>
      <w:r>
        <w:t xml:space="preserve">)</w:t>
      </w:r>
      <w:r>
        <w:t xml:space="preserve"> </w:t>
      </w:r>
      <w:r>
        <w:t xml:space="preserve">(</w:t>
      </w:r>
      <w:hyperlink w:anchor="ref-maxent">
        <w:r>
          <w:rPr>
            <w:rStyle w:val="Hyperlink"/>
          </w:rPr>
          <w:t xml:space="preserve">PHILLIPS e colab., 2006</w:t>
        </w:r>
      </w:hyperlink>
      <w:r>
        <w:t xml:space="preserve">)</w:t>
      </w:r>
      <w:r>
        <w:t xml:space="preserve">, versão 3.4.4, disponível no pacote SDM. Maxent é um</w:t>
      </w:r>
      <w:r>
        <w:t xml:space="preserve"> </w:t>
      </w:r>
      <w:r>
        <w:rPr>
          <w:iCs/>
          <w:i/>
        </w:rPr>
        <w:t xml:space="preserve">software</w:t>
      </w:r>
      <w:r>
        <w:t xml:space="preserve">, de uso livre, para a modelagem da distribuição potencial de espécies a partir da técnica de</w:t>
      </w:r>
      <w:r>
        <w:t xml:space="preserve"> </w:t>
      </w:r>
      <w:r>
        <w:rPr>
          <w:iCs/>
          <w:i/>
        </w:rPr>
        <w:t xml:space="preserve">machine learning</w:t>
      </w:r>
      <w:r>
        <w:t xml:space="preserve"> </w:t>
      </w:r>
      <w:r>
        <w:t xml:space="preserve">conhecida como</w:t>
      </w:r>
      <w:r>
        <w:t xml:space="preserve"> </w:t>
      </w:r>
      <w:r>
        <w:rPr>
          <w:iCs/>
          <w:i/>
        </w:rPr>
        <w:t xml:space="preserve">maximum entropy modeling</w:t>
      </w:r>
      <w:r>
        <w:t xml:space="preserve">.</w:t>
      </w:r>
    </w:p>
    <w:p>
      <w:pPr>
        <w:pStyle w:val="BodyText"/>
      </w:pPr>
      <w:r>
        <w:t xml:space="preserve">Maxent recebe como</w:t>
      </w:r>
      <w:r>
        <w:t xml:space="preserve"> </w:t>
      </w:r>
      <w:r>
        <w:rPr>
          <w:iCs/>
          <w:i/>
        </w:rPr>
        <w:t xml:space="preserve">input</w:t>
      </w:r>
      <w:r>
        <w:t xml:space="preserve"> </w:t>
      </w:r>
      <w:r>
        <w:t xml:space="preserve">as ocorrências georreferenciadas da espécie e o conjunto de dados camadas ambientais (variáveis preditoras) determinados pelo usuário e dividido em</w:t>
      </w:r>
      <w:r>
        <w:t xml:space="preserve"> </w:t>
      </w:r>
      <w:r>
        <w:rPr>
          <w:iCs/>
          <w:i/>
        </w:rPr>
        <w:t xml:space="preserve">grid cells</w:t>
      </w:r>
      <w:r>
        <w:t xml:space="preserve"> </w:t>
      </w:r>
      <w:r>
        <w:t xml:space="preserve">ao longo de uma região escolhida</w:t>
      </w:r>
      <w:r>
        <w:t xml:space="preserve"> </w:t>
      </w:r>
      <w:r>
        <w:t xml:space="preserve">(</w:t>
      </w:r>
      <w:hyperlink w:anchor="ref-merow2013">
        <w:r>
          <w:rPr>
            <w:rStyle w:val="Hyperlink"/>
          </w:rPr>
          <w:t xml:space="preserve">MEROW e colab., 2013</w:t>
        </w:r>
      </w:hyperlink>
      <w:r>
        <w:t xml:space="preserve">)</w:t>
      </w:r>
      <w:r>
        <w:t xml:space="preserve">. Diante disso, o algoritmo amostra uma quantidade de localizações de</w:t>
      </w:r>
      <w:r>
        <w:t xml:space="preserve"> </w:t>
      </w:r>
      <w:r>
        <w:rPr>
          <w:iCs/>
          <w:i/>
        </w:rPr>
        <w:t xml:space="preserve">background</w:t>
      </w:r>
      <w:r>
        <w:t xml:space="preserve"> </w:t>
      </w:r>
      <w:r>
        <w:t xml:space="preserve">das camadas ambientais, que são confrontadas com as localizações geográficas da espécie, gerando como</w:t>
      </w:r>
      <w:r>
        <w:t xml:space="preserve"> </w:t>
      </w:r>
      <w:r>
        <w:rPr>
          <w:iCs/>
          <w:i/>
        </w:rPr>
        <w:t xml:space="preserve">output</w:t>
      </w:r>
      <w:r>
        <w:t xml:space="preserve"> </w:t>
      </w:r>
      <w:r>
        <w:t xml:space="preserve">um modelo que traduz a probabilidade de distribuição da espécie para cada</w:t>
      </w:r>
      <w:r>
        <w:t xml:space="preserve"> </w:t>
      </w:r>
      <w:r>
        <w:rPr>
          <w:iCs/>
          <w:i/>
        </w:rPr>
        <w:t xml:space="preserve">grid cell</w:t>
      </w:r>
      <w:r>
        <w:t xml:space="preserve">, dada a aptidão às condições ambientais preditas para a espécie. Maxent procura, assim, a distribuição mais espalhada (de entropia máxima) para a espécie na região de estudo.</w:t>
      </w:r>
    </w:p>
    <w:p>
      <w:pPr>
        <w:pStyle w:val="BodyText"/>
      </w:pPr>
      <w:r>
        <w:t xml:space="preserve">O algoritmo foi escolhido devido a sua performance superior a outros quando utilizado quantidades pequenas de dados de ocorrência das espécies</w:t>
      </w:r>
      <w:r>
        <w:t xml:space="preserve"> </w:t>
      </w:r>
      <w:r>
        <w:t xml:space="preserve">(</w:t>
      </w:r>
      <w:hyperlink w:anchor="ref-hernandez2006">
        <w:r>
          <w:rPr>
            <w:rStyle w:val="Hyperlink"/>
          </w:rPr>
          <w:t xml:space="preserve">HERNANDEZ e colab., 2006</w:t>
        </w:r>
      </w:hyperlink>
      <w:r>
        <w:t xml:space="preserve">;</w:t>
      </w:r>
      <w:r>
        <w:t xml:space="preserve"> </w:t>
      </w:r>
      <w:hyperlink w:anchor="ref-hijmans2008">
        <w:r>
          <w:rPr>
            <w:rStyle w:val="Hyperlink"/>
          </w:rPr>
          <w:t xml:space="preserve">WISZ e colab., 2008</w:t>
        </w:r>
      </w:hyperlink>
      <w:r>
        <w:t xml:space="preserve">)</w:t>
      </w:r>
      <w:r>
        <w:t xml:space="preserve">, crucial para nós devido a quantidade pequena de dados para a espécie de morcego</w:t>
      </w:r>
      <w:r>
        <w:t xml:space="preserve"> </w:t>
      </w:r>
      <w:r>
        <w:rPr>
          <w:iCs/>
          <w:i/>
        </w:rPr>
        <w:t xml:space="preserve">L. bokermanni</w:t>
      </w:r>
      <w:r>
        <w:t xml:space="preserve">. Além disso, Maxent requer apenas ocorrências de presença das espécies, excluindo a necessidade de registros de ausência e facilitando o trabalho com espécies que possuem baixa quantidade de registros ou não possuam registros de ausência.</w:t>
      </w:r>
    </w:p>
    <w:p>
      <w:pPr>
        <w:pStyle w:val="BodyText"/>
      </w:pPr>
      <w:r>
        <w:t xml:space="preserve">Como parâmetros de modelagem para o Maxent, utilizamos regularização igual a 1 e prevalência de 50%, ambos valores padrão. O parâmetro de extrapolação e</w:t>
      </w:r>
      <w:r>
        <w:t xml:space="preserve"> </w:t>
      </w:r>
      <w:r>
        <w:rPr>
          <w:iCs/>
          <w:i/>
        </w:rPr>
        <w:t xml:space="preserve">clamping</w:t>
      </w:r>
      <w:r>
        <w:t xml:space="preserve"> </w:t>
      </w:r>
      <w:r>
        <w:t xml:space="preserve">foram permitidos para gerar predições além da distribuição presente das espécies. Para cada espécie foram geradas 50 replicações, metade usando o método de validação por</w:t>
      </w:r>
      <w:r>
        <w:t xml:space="preserve"> </w:t>
      </w:r>
      <w:r>
        <w:rPr>
          <w:iCs/>
          <w:i/>
        </w:rPr>
        <w:t xml:space="preserve">bootstrap</w:t>
      </w:r>
      <w:r>
        <w:t xml:space="preserve"> </w:t>
      </w:r>
      <w:r>
        <w:t xml:space="preserve">e a outra metade por subamostragem. 70% dos registros de ocorrência foram separados e utilizados para treino e 30% para o teste dos modelos. 10 mil pontos de</w:t>
      </w:r>
      <w:r>
        <w:t xml:space="preserve"> </w:t>
      </w:r>
      <w:r>
        <w:rPr>
          <w:iCs/>
          <w:i/>
        </w:rPr>
        <w:t xml:space="preserve">background</w:t>
      </w:r>
      <w:r>
        <w:t xml:space="preserve"> </w:t>
      </w:r>
      <w:r>
        <w:t xml:space="preserve">foram gerados aleatoriamente ao longo de cada camada ambiental, os quais foram usados para a modelagem como amostras das variáveis ambientais. Foram utilizados parâmetros padrão para a modelagem devido à falta de informação sobre o habitat e capacidade de dispersão das espécies modeladas. Para gerar um modelo consenso dentre as 50 replicações, usamos a média ponderada das área de distribuição das replicações.</w:t>
      </w:r>
    </w:p>
    <w:p>
      <w:pPr>
        <w:pStyle w:val="BodyText"/>
      </w:pPr>
      <w:r>
        <w:t xml:space="preserve">Fizemos uma modelagem prévia para cada espécie com os parâmetros mencionados e todas as variáveis ambientais. A partir de então, as quatro camadas ambientais com maior importância para os modelos (</w:t>
      </w:r>
      <w:hyperlink w:anchor="apêndice">
        <w:r>
          <w:rPr>
            <w:rStyle w:val="Hyperlink"/>
          </w:rPr>
          <w:t xml:space="preserve">gráficos 6 e 7</w:t>
        </w:r>
      </w:hyperlink>
      <w:r>
        <w:t xml:space="preserve">), de acordo com o AUC, foram selecionadas e separadas. A variável com maior valor VIF e menor importância dentre as quatros selecionadas foi retirada e as três camadas restantes foram utilizadas em uma nova modelagem final, com os parâmetros apresentados no parágrafo anterior, que gerou as projeções dos modelos.</w:t>
      </w:r>
    </w:p>
    <w:p>
      <w:pPr>
        <w:pStyle w:val="BodyText"/>
      </w:pPr>
      <w:r>
        <w:t xml:space="preserve">A fim de avaliar a performance dos modelos criados pelo Maxent, foi empregado o AUC (</w:t>
      </w:r>
      <w:r>
        <w:rPr>
          <w:iCs/>
          <w:i/>
        </w:rPr>
        <w:t xml:space="preserve">Area Under the Curve</w:t>
      </w:r>
      <w:r>
        <w:t xml:space="preserve">) parcial da curva ROC (</w:t>
      </w:r>
      <w:r>
        <w:rPr>
          <w:iCs/>
          <w:i/>
        </w:rPr>
        <w:t xml:space="preserve">Receiver Operating Characteristic Curve</w:t>
      </w:r>
      <w:r>
        <w:t xml:space="preserve">)</w:t>
      </w:r>
      <w:r>
        <w:t xml:space="preserve"> </w:t>
      </w:r>
      <w:r>
        <w:t xml:space="preserve">(</w:t>
      </w:r>
      <w:hyperlink w:anchor="ref-maxent">
        <w:r>
          <w:rPr>
            <w:rStyle w:val="Hyperlink"/>
          </w:rPr>
          <w:t xml:space="preserve">PHILLIPS e colab., 2006</w:t>
        </w:r>
      </w:hyperlink>
      <w:r>
        <w:t xml:space="preserve">)</w:t>
      </w:r>
      <w:r>
        <w:t xml:space="preserve">, obtido ao plotar valores de sensitividade no eixo y e 1-especificidade no eixo x e com valores variando de 0 (modelo com 100% de taxa de erro) a 1 (modelo totalmente em acordo com a distribuição observada). O AUC é uma medida estatística independente da escolha do limiar (</w:t>
      </w:r>
      <w:r>
        <w:rPr>
          <w:iCs/>
          <w:i/>
        </w:rPr>
        <w:t xml:space="preserve">threshold</w:t>
      </w:r>
      <w:r>
        <w:t xml:space="preserve">) e tornou-se muito popular para esimar a performance de modelos de distribuição. O valor de limiar para os modelos de cada espécie foi obtido a partir da maximização da especificidade mais a sensitividade</w:t>
      </w:r>
      <w:r>
        <w:t xml:space="preserve"> </w:t>
      </w:r>
      <w:r>
        <w:t xml:space="preserve">(</w:t>
      </w:r>
      <w:hyperlink w:anchor="ref-liu2013">
        <w:r>
          <w:rPr>
            <w:rStyle w:val="Hyperlink"/>
          </w:rPr>
          <w:t xml:space="preserve">LIU e colab., 2013</w:t>
        </w:r>
      </w:hyperlink>
      <w:r>
        <w:t xml:space="preserve">)</w:t>
      </w:r>
      <w:r>
        <w:t xml:space="preserve">, o qual é independente da quantidade de pseudo-ausências, o que pode ser vantajoso ao se utilizar pequenas quantidade de dados. Com o limiar é possível converter os mapas de adequabilidade das espécies para mapas binários (presença-ausência).</w:t>
      </w:r>
    </w:p>
    <w:p>
      <w:pPr>
        <w:pStyle w:val="BodyText"/>
      </w:pPr>
      <w:r>
        <w:t xml:space="preserve">O modelo de cada espécie foi então projetado para os cenários futuros, de RCP 4.5 e 8.5, e para o presente gerando como saída 6 mapas de distribuição potencial, 3 da planta e 3 do morcego. Foram então elaborados 5 mapas finais para cada espécie: 3 que mostram as distribuições nos cenários e 2 com as alterações nas distribuições com respeito ao presente. Criamos também 3 mapas com as sobreposições entre as distribuições das espécies nos três cenários distrintos.</w:t>
      </w:r>
    </w:p>
    <w:bookmarkEnd w:id="35"/>
    <w:bookmarkStart w:id="36" w:name="X4f5221f6dc609244e2b66cb427335506bfebad6"/>
    <w:p>
      <w:pPr>
        <w:pStyle w:val="Heading2"/>
      </w:pPr>
      <w:r>
        <w:t xml:space="preserve">2.5 Estimativa da sobreposição e</w:t>
      </w:r>
      <w:r>
        <w:t xml:space="preserve"> </w:t>
      </w:r>
      <w:r>
        <w:rPr>
          <w:iCs/>
          <w:i/>
        </w:rPr>
        <w:t xml:space="preserve">mismatch</w:t>
      </w:r>
      <w:r>
        <w:t xml:space="preserve"> </w:t>
      </w:r>
      <w:r>
        <w:t xml:space="preserve">espacial</w:t>
      </w:r>
    </w:p>
    <w:p>
      <w:pPr>
        <w:pStyle w:val="FirstParagraph"/>
      </w:pPr>
      <w:r>
        <w:t xml:space="preserve">    Seguindo o método apresentado por</w:t>
      </w:r>
      <w:r>
        <w:t xml:space="preserve"> </w:t>
      </w:r>
      <w:hyperlink w:anchor="ref-gorostiague2018">
        <w:r>
          <w:rPr>
            <w:rStyle w:val="Hyperlink"/>
          </w:rPr>
          <w:t xml:space="preserve">GOROSTIAGUE e colab.</w:t>
        </w:r>
      </w:hyperlink>
      <w:r>
        <w:t xml:space="preserve"> </w:t>
      </w:r>
      <w:r>
        <w:t xml:space="preserve">(</w:t>
      </w:r>
      <w:hyperlink w:anchor="ref-gorostiague2018">
        <w:r>
          <w:rPr>
            <w:rStyle w:val="Hyperlink"/>
          </w:rPr>
          <w:t xml:space="preserve">2018</w:t>
        </w:r>
      </w:hyperlink>
      <w:r>
        <w:t xml:space="preserve">)</w:t>
      </w:r>
      <w:r>
        <w:t xml:space="preserve">, para o cálculo dos potenciais impactos das mudanças climáticas na distribuição espacial das espécies utilizamos uma variável da alteração na distribuição nos cenários futuros em relação à distribuição potencial no presente. Também estimamos a distribuição compartilhada (sobreposta) entre a planta e o morcego e então calculamos a diferença entre essa área nos cenários futuros com respeito ao presente. A distribuição compartilhada representa a área de encontro entre o morcego polinizador e a planta (</w:t>
      </w:r>
      <w:r>
        <w:rPr>
          <w:iCs/>
          <w:i/>
        </w:rPr>
        <w:t xml:space="preserve">spatially matched range</w:t>
      </w:r>
      <w:r>
        <w:t xml:space="preserve">), assumindo que o morcego é efetivo e sua presença já garante a polinização da planta.</w:t>
      </w:r>
    </w:p>
    <w:p>
      <w:pPr>
        <w:pStyle w:val="BodyText"/>
      </w:pPr>
      <w:r>
        <w:t xml:space="preserve">A taxa de correspondência espacial (</w:t>
      </w:r>
      <w:r>
        <w:rPr>
          <w:iCs/>
          <w:i/>
        </w:rPr>
        <w:t xml:space="preserve">spatial match</w:t>
      </w:r>
      <w:r>
        <w:t xml:space="preserve">) foi calculada como a diferença entre a distribuição potencial de cada espécie e a distribuição não compartilhada. A índice de</w:t>
      </w:r>
      <w:r>
        <w:t xml:space="preserve"> </w:t>
      </w:r>
      <w:r>
        <w:rPr>
          <w:iCs/>
          <w:i/>
        </w:rPr>
        <w:t xml:space="preserve">mismatch</w:t>
      </w:r>
      <w:r>
        <w:t xml:space="preserve"> </w:t>
      </w:r>
      <w:r>
        <w:t xml:space="preserve">é a taxa de correspondência espacial subtraída de 100. Valores de</w:t>
      </w:r>
      <w:r>
        <w:t xml:space="preserve"> </w:t>
      </w:r>
      <w:r>
        <w:rPr>
          <w:iCs/>
          <w:i/>
        </w:rPr>
        <w:t xml:space="preserve">mismatch</w:t>
      </w:r>
      <w:r>
        <w:t xml:space="preserve"> </w:t>
      </w:r>
      <w:r>
        <w:t xml:space="preserve">abaixo de 20% foram considerados baixos, isto é, menos de 20% da distribuição de uma espécie não está sobreposta com a distribuição da outra</w:t>
      </w:r>
      <w:r>
        <w:t xml:space="preserve"> </w:t>
      </w:r>
      <w:r>
        <w:t xml:space="preserve">(</w:t>
      </w:r>
      <w:hyperlink w:anchor="ref-gorostiague2018">
        <w:r>
          <w:rPr>
            <w:rStyle w:val="Hyperlink"/>
          </w:rPr>
          <w:t xml:space="preserve">GOROSTIAGUE e colab., 2018</w:t>
        </w:r>
      </w:hyperlink>
      <w:r>
        <w:t xml:space="preserve">)</w:t>
      </w:r>
      <w:r>
        <w:t xml:space="preserve">.</w:t>
      </w:r>
    </w:p>
    <w:bookmarkEnd w:id="36"/>
    <w:bookmarkStart w:id="37" w:name="etapas-do-projeto"/>
    <w:p>
      <w:pPr>
        <w:pStyle w:val="Heading2"/>
      </w:pPr>
      <w:r>
        <w:t xml:space="preserve">2.6 Etapas do projeto</w:t>
      </w:r>
    </w:p>
    <w:p>
      <w:pPr>
        <w:pStyle w:val="FirstParagraph"/>
      </w:pPr>
      <w:r>
        <w:t xml:space="preserve">    O projeto segue as etapas para Modelagem de Distribuição de Espécie propostas por</w:t>
      </w:r>
      <w:r>
        <w:t xml:space="preserve"> </w:t>
      </w:r>
      <w:hyperlink w:anchor="ref-pinaya2013">
        <w:r>
          <w:rPr>
            <w:rStyle w:val="Hyperlink"/>
          </w:rPr>
          <w:t xml:space="preserve">PINAYA</w:t>
        </w:r>
      </w:hyperlink>
      <w:r>
        <w:t xml:space="preserve"> </w:t>
      </w:r>
      <w:r>
        <w:t xml:space="preserve">(</w:t>
      </w:r>
      <w:hyperlink w:anchor="ref-pinaya2013">
        <w:r>
          <w:rPr>
            <w:rStyle w:val="Hyperlink"/>
          </w:rPr>
          <w:t xml:space="preserve">2013</w:t>
        </w:r>
      </w:hyperlink>
      <w:r>
        <w:t xml:space="preserve">)</w:t>
      </w:r>
      <w:r>
        <w:t xml:space="preserve">, organizada em 5 etapas: 1. Construção da hipótese científica; 2. Pré-análise dos dados; 3. Modelagem; 4. Predição e 5. Validação da hipótese científica.</w:t>
      </w:r>
    </w:p>
    <w:p>
      <w:pPr>
        <w:numPr>
          <w:ilvl w:val="0"/>
          <w:numId w:val="1001"/>
        </w:numPr>
      </w:pPr>
      <w:r>
        <w:t xml:space="preserve">Construção da hipótese científica: foi definida a proposta do projeto, assim como os objetivos e hipóteses científicas a serem testadas.</w:t>
      </w:r>
    </w:p>
    <w:p>
      <w:pPr>
        <w:numPr>
          <w:ilvl w:val="0"/>
          <w:numId w:val="1001"/>
        </w:numPr>
      </w:pPr>
      <w:r>
        <w:t xml:space="preserve">Pré-análise dos dados: foram coletados os dados de ocorrência das espécies (descrito na seção 2.2) de banco de registros online e artigos (</w:t>
      </w:r>
      <w:hyperlink w:anchor="apêndice">
        <w:r>
          <w:rPr>
            <w:rStyle w:val="Hyperlink"/>
          </w:rPr>
          <w:t xml:space="preserve">tabela 1 e 2</w:t>
        </w:r>
      </w:hyperlink>
      <w:r>
        <w:t xml:space="preserve">), os registros foram então tratados. Nesta etapa, também foram obtidos as variáveis ambientais bioclimáticas para o uso na modelagem (descrito na seção 2.3). Os dados obtidos foram analisados a fim de verificar a viabilidade de utilizá-los.</w:t>
      </w:r>
    </w:p>
    <w:p>
      <w:pPr>
        <w:numPr>
          <w:ilvl w:val="0"/>
          <w:numId w:val="1001"/>
        </w:numPr>
      </w:pPr>
      <w:r>
        <w:t xml:space="preserve">Modelagem: diante dos dados obtidos, foi escolhido o algoritmo mais adequado para a modelagem de distribuição potencial (seção 2.4). As variáveis ambientais preditoras foram então selecionadas por meio de uma modelagem prévia para cada espécie, utilizando o algoritmo Maxent. Após selecionar as três camadas preditoras foi obtido um modelo final para cada espécie, o qual teve sua performance avaliada.</w:t>
      </w:r>
    </w:p>
    <w:p>
      <w:pPr>
        <w:numPr>
          <w:ilvl w:val="0"/>
          <w:numId w:val="1001"/>
        </w:numPr>
      </w:pPr>
      <w:r>
        <w:t xml:space="preserve">Predição: o modelo criado na etapa anterior foi utilizado para projetar a distribuição das espécies para o cenário climático presente e os do futuro, de RCP 4.5 e 8.5.</w:t>
      </w:r>
    </w:p>
    <w:p>
      <w:pPr>
        <w:numPr>
          <w:ilvl w:val="0"/>
          <w:numId w:val="1001"/>
        </w:numPr>
      </w:pPr>
      <w:r>
        <w:t xml:space="preserve">Validação da hipoótese científica: foram analisados os conjuntos de dados gerados pelos modelos de distribuição (</w:t>
      </w:r>
      <w:hyperlink w:anchor="resultados">
        <w:r>
          <w:rPr>
            <w:rStyle w:val="Hyperlink"/>
          </w:rPr>
          <w:t xml:space="preserve">ver resultados</w:t>
        </w:r>
      </w:hyperlink>
      <w:r>
        <w:t xml:space="preserve">), gerando os mapas de predição. A partir de então foi possível confrontá-los com as hipóteses propostas inicialmente.</w:t>
      </w:r>
    </w:p>
    <w:bookmarkEnd w:id="37"/>
    <w:bookmarkStart w:id="39" w:name="repositório-dos-códigos-e-dados"/>
    <w:p>
      <w:pPr>
        <w:pStyle w:val="Heading2"/>
      </w:pPr>
      <w:r>
        <w:t xml:space="preserve">2.7 Repositório dos códigos e dados</w:t>
      </w:r>
    </w:p>
    <w:p>
      <w:pPr>
        <w:pStyle w:val="FirstParagraph"/>
      </w:pPr>
      <w:r>
        <w:t xml:space="preserve">    Todos os dados e códigos utilizados no projeto, desde a obtenção e limpeza dos dados de ocorrência à elaboração dos mapas, estão disponíveis na plataforma online de hospedagem de códigos GitHub em</w:t>
      </w:r>
      <w:r>
        <w:t xml:space="preserve"> </w:t>
      </w:r>
      <w:hyperlink r:id="rId38">
        <w:r>
          <w:rPr>
            <w:rStyle w:val="Hyperlink"/>
          </w:rPr>
          <w:t xml:space="preserve">https://github.com/guilhermechicarolli/PDPD</w:t>
        </w:r>
      </w:hyperlink>
      <w:r>
        <w:t xml:space="preserve">, podendo ser baixados e reproduzidos.</w:t>
      </w:r>
    </w:p>
    <w:bookmarkEnd w:id="39"/>
    <w:bookmarkEnd w:id="40"/>
    <w:bookmarkStart w:id="41" w:name="resultados"/>
    <w:p>
      <w:pPr>
        <w:pStyle w:val="Heading1"/>
      </w:pPr>
      <w:r>
        <w:t xml:space="preserve">Resultados</w:t>
      </w:r>
    </w:p>
    <w:p>
      <w:pPr>
        <w:pStyle w:val="FirstParagraph"/>
      </w:pPr>
      <w:r>
        <w:t xml:space="preserve">    O algoritmo Maxent demonstrou boa performance preditiva, obtendo altos valores médios de AUC (</w:t>
      </w:r>
      <w:hyperlink w:anchor="apêndice">
        <w:r>
          <w:rPr>
            <w:rStyle w:val="Hyperlink"/>
          </w:rPr>
          <w:t xml:space="preserve">gráficos 8 e 9</w:t>
        </w:r>
      </w:hyperlink>
      <w:r>
        <w:t xml:space="preserve">). A proporção de área potencial ganha e perdida sob os diferentes cenários climáticos com relação ao presente variou entre ambas as espécies (</w:t>
      </w:r>
      <w:hyperlink w:anchor="apêndice">
        <w:r>
          <w:rPr>
            <w:rStyle w:val="Hyperlink"/>
          </w:rPr>
          <w:t xml:space="preserve">tabela 6</w:t>
        </w:r>
      </w:hyperlink>
      <w:r>
        <w:t xml:space="preserve">), todas apresentaram contração na área ambiental adequada nos cenários futuros de mudanças climáticas.</w:t>
      </w:r>
    </w:p>
    <w:p>
      <w:pPr>
        <w:pStyle w:val="BodyText"/>
      </w:pPr>
      <w:r>
        <w:t xml:space="preserve">Os modelos previram redução de 36.98% de áreas adequadas (com respeito à área presente) para</w:t>
      </w:r>
      <w:r>
        <w:t xml:space="preserve"> </w:t>
      </w:r>
      <w:r>
        <w:rPr>
          <w:iCs/>
          <w:i/>
        </w:rPr>
        <w:t xml:space="preserve">Lonchophylla bokermanni</w:t>
      </w:r>
      <w:r>
        <w:t xml:space="preserve"> </w:t>
      </w:r>
      <w:r>
        <w:t xml:space="preserve">no cenário de RCP 4.5 para o ano de 2050 e diminuição de 58.06% de área para o panorama de RCP 8.5, para 2050 (</w:t>
      </w:r>
      <w:hyperlink w:anchor="apêndice">
        <w:r>
          <w:rPr>
            <w:rStyle w:val="Hyperlink"/>
          </w:rPr>
          <w:t xml:space="preserve">tabela 7</w:t>
        </w:r>
      </w:hyperlink>
      <w:r>
        <w:t xml:space="preserve">). A mesma tendência foi observada para</w:t>
      </w:r>
      <w:r>
        <w:t xml:space="preserve"> </w:t>
      </w:r>
      <w:r>
        <w:rPr>
          <w:iCs/>
          <w:i/>
        </w:rPr>
        <w:t xml:space="preserve">Encholirium subsecundum</w:t>
      </w:r>
      <w:r>
        <w:t xml:space="preserve">, a qual previmos encolhimento de 72.70% de área apropriada (relativa à área do presente) para o futuro de RCP 4.5 (2050), enquanto que no cenário de RCP 8.5 a redução na área é de 81.11% (com respeito ao presente).</w:t>
      </w:r>
    </w:p>
    <w:p>
      <w:pPr>
        <w:pStyle w:val="BodyText"/>
      </w:pPr>
      <w:r>
        <w:t xml:space="preserve">Previmos uma diminuição na área de sobreposição potencial entre a distribuição de ambas as espécies (planta+morcego), a qual diminui 67.76% no cenário de RCP 4.5 e 79.86% no RCP 8.5, em relação à sobreposição no presente (</w:t>
      </w:r>
      <w:hyperlink w:anchor="apêndice">
        <w:r>
          <w:rPr>
            <w:rStyle w:val="Hyperlink"/>
          </w:rPr>
          <w:t xml:space="preserve">tabela 8</w:t>
        </w:r>
      </w:hyperlink>
      <w:r>
        <w:t xml:space="preserve">). A taxa de</w:t>
      </w:r>
      <w:r>
        <w:t xml:space="preserve"> </w:t>
      </w:r>
      <w:r>
        <w:rPr>
          <w:iCs/>
          <w:i/>
        </w:rPr>
        <w:t xml:space="preserve">mismatch</w:t>
      </w:r>
      <w:r>
        <w:t xml:space="preserve"> </w:t>
      </w:r>
      <w:r>
        <w:t xml:space="preserve">espacial (desencontro geográfico) entre a planta e o morcego aumentou com relação à distribuição de</w:t>
      </w:r>
      <w:r>
        <w:t xml:space="preserve"> </w:t>
      </w:r>
      <w:r>
        <w:rPr>
          <w:iCs/>
          <w:i/>
        </w:rPr>
        <w:t xml:space="preserve">Lonchophylla bokermanni</w:t>
      </w:r>
      <w:r>
        <w:t xml:space="preserve">, que apresentou 26.07% de sua distribuição potencial presente sem sobreposição com a da planta, no cenário de RCP 4.5, 61.56% da área do morcego não apresentou sobreposição e no RCP 8.5, 63.07% de sua área. Em contrapartida, observamos diminuição na taxa de</w:t>
      </w:r>
      <w:r>
        <w:t xml:space="preserve"> </w:t>
      </w:r>
      <w:r>
        <w:rPr>
          <w:iCs/>
          <w:i/>
        </w:rPr>
        <w:t xml:space="preserve">mismatch</w:t>
      </w:r>
      <w:r>
        <w:t xml:space="preserve"> </w:t>
      </w:r>
      <w:r>
        <w:t xml:space="preserve">para a planta, previmos 28.06% de sua área presente não tenha sobreposiçãp com a distribuição do morcego, 15.07% da área no futuro RCP 4.5 sem sobreposição e 23.30% da área no RCP 8.5 (</w:t>
      </w:r>
      <w:hyperlink w:anchor="apêndice">
        <w:r>
          <w:rPr>
            <w:rStyle w:val="Hyperlink"/>
          </w:rPr>
          <w:t xml:space="preserve">tabela 9</w:t>
        </w:r>
      </w:hyperlink>
      <w:r>
        <w:t xml:space="preserve">).</w:t>
      </w:r>
    </w:p>
    <w:bookmarkEnd w:id="41"/>
    <w:bookmarkStart w:id="44" w:name="conclusão"/>
    <w:p>
      <w:pPr>
        <w:pStyle w:val="Heading1"/>
      </w:pPr>
      <w:r>
        <w:t xml:space="preserve">Conclusão</w:t>
      </w:r>
    </w:p>
    <w:p>
      <w:pPr>
        <w:pStyle w:val="FirstParagraph"/>
      </w:pPr>
      <w:r>
        <w:t xml:space="preserve">    Nós desenvolvemos modelos correlativos com base unicamente em variáveis bioclimáticas, afim de uma primeira tentativa de acesso aproximado aos impactos potenciais das mudanças climáticas na distribuição da espécie de quiróptero</w:t>
      </w:r>
      <w:r>
        <w:t xml:space="preserve"> </w:t>
      </w:r>
      <w:r>
        <w:rPr>
          <w:iCs/>
          <w:i/>
        </w:rPr>
        <w:t xml:space="preserve">Lonchophylla bokermanni</w:t>
      </w:r>
      <w:r>
        <w:t xml:space="preserve"> </w:t>
      </w:r>
      <w:r>
        <w:t xml:space="preserve">Sazima</w:t>
      </w:r>
      <w:r>
        <w:t xml:space="preserve"> </w:t>
      </w:r>
      <w:r>
        <w:rPr>
          <w:iCs/>
          <w:i/>
        </w:rPr>
        <w:t xml:space="preserve">et al.</w:t>
      </w:r>
      <w:r>
        <w:t xml:space="preserve">, 1978, e seu parceiro mutualista, a bromélia</w:t>
      </w:r>
      <w:r>
        <w:t xml:space="preserve"> </w:t>
      </w:r>
      <w:r>
        <w:rPr>
          <w:iCs/>
          <w:i/>
        </w:rPr>
        <w:t xml:space="preserve">Encholirium subsecundum</w:t>
      </w:r>
      <w:r>
        <w:t xml:space="preserve"> </w:t>
      </w:r>
      <w:r>
        <w:t xml:space="preserve">(Baker) Mez.</w:t>
      </w:r>
    </w:p>
    <w:p>
      <w:pPr>
        <w:pStyle w:val="BodyText"/>
      </w:pPr>
      <w:r>
        <w:t xml:space="preserve">Os modelos para ambas as espécies mostraram que sob os dois cenários climáticos futuros (ano de 2050), é esperado redução de ambientes adequados, o que aumenta ainda mais sob o RCP (</w:t>
      </w:r>
      <w:r>
        <w:rPr>
          <w:iCs/>
          <w:i/>
        </w:rPr>
        <w:t xml:space="preserve">Respresentative Concentration Pathway</w:t>
      </w:r>
      <w:r>
        <w:t xml:space="preserve">) 8.5, o mais extremo.</w:t>
      </w:r>
      <w:r>
        <w:t xml:space="preserve"> </w:t>
      </w:r>
      <w:r>
        <w:rPr>
          <w:iCs/>
          <w:i/>
        </w:rPr>
        <w:t xml:space="preserve">E. subsecundum</w:t>
      </w:r>
      <w:r>
        <w:t xml:space="preserve"> </w:t>
      </w:r>
      <w:r>
        <w:t xml:space="preserve">apresentou as alterações mais severas em sua distribuição, chegando a perder até 81% de área potencial sob o cenário de RCP 8.5, em relação à área do presente (</w:t>
      </w:r>
      <w:hyperlink w:anchor="figuras">
        <w:r>
          <w:rPr>
            <w:rStyle w:val="Hyperlink"/>
          </w:rPr>
          <w:t xml:space="preserve">figura 15</w:t>
        </w:r>
      </w:hyperlink>
      <w:r>
        <w:t xml:space="preserve">).</w:t>
      </w:r>
      <w:r>
        <w:t xml:space="preserve"> </w:t>
      </w:r>
      <w:r>
        <w:rPr>
          <w:iCs/>
          <w:i/>
        </w:rPr>
        <w:t xml:space="preserve">L. bokermanni</w:t>
      </w:r>
      <w:r>
        <w:t xml:space="preserve"> </w:t>
      </w:r>
      <w:r>
        <w:t xml:space="preserve">também teve sua distribuição potencial afetada de maneira aguda, perdendo até 58% de sua área potencial original no RCP 8.5 (</w:t>
      </w:r>
      <w:hyperlink w:anchor="figuras">
        <w:r>
          <w:rPr>
            <w:rStyle w:val="Hyperlink"/>
          </w:rPr>
          <w:t xml:space="preserve">figura 20</w:t>
        </w:r>
      </w:hyperlink>
      <w:r>
        <w:t xml:space="preserve">). A maior perda de habitat sob o cenário pessimista sugere menor tolerância das espécies às mudanças climáticas mais intensas, além de ambas demonstarem a tendência de contrair suas distribuições em direção ao bioma da Mata Atlântica.</w:t>
      </w:r>
    </w:p>
    <w:p>
      <w:pPr>
        <w:pStyle w:val="BodyText"/>
      </w:pPr>
      <w:r>
        <w:t xml:space="preserve">Nos RCPs futuros, ambas as espécies apresentaram perda significativa de distribuição potencial nos biomas do Cerrado e da Caatinga (</w:t>
      </w:r>
      <w:hyperlink w:anchor="figuras">
        <w:r>
          <w:rPr>
            <w:rStyle w:val="Hyperlink"/>
          </w:rPr>
          <w:t xml:space="preserve">figuras 14, 15, 19 e 20</w:t>
        </w:r>
      </w:hyperlink>
      <w:r>
        <w:t xml:space="preserve">). A aptidão à perda de habitat no Cerrado pelas espécies é plausível a medida em que o bioma é bastante ameaçado devido a processos antrópicos de uso exploratório do solo, desmatamento e queimadas, afetando diretamente o clima</w:t>
      </w:r>
      <w:r>
        <w:t xml:space="preserve"> </w:t>
      </w:r>
      <w:r>
        <w:t xml:space="preserve">(</w:t>
      </w:r>
      <w:hyperlink w:anchor="ref-carneiro2016">
        <w:r>
          <w:rPr>
            <w:rStyle w:val="Hyperlink"/>
          </w:rPr>
          <w:t xml:space="preserve">FILHO e COSTA, 2016</w:t>
        </w:r>
      </w:hyperlink>
      <w:r>
        <w:t xml:space="preserve">;</w:t>
      </w:r>
      <w:r>
        <w:t xml:space="preserve"> </w:t>
      </w:r>
      <w:hyperlink w:anchor="ref-inpe">
        <w:r>
          <w:rPr>
            <w:rStyle w:val="Hyperlink"/>
          </w:rPr>
          <w:t xml:space="preserve">INPE, 2021</w:t>
        </w:r>
      </w:hyperlink>
      <w:r>
        <w:t xml:space="preserve">)</w:t>
      </w:r>
      <w:r>
        <w:t xml:space="preserve">. O panorama negativo é previso ainda a continuar, com previsões climáticas indicando intesificação dos períodos de seca e alterações no ciclo hidrológico do Cerrado no futuro</w:t>
      </w:r>
      <w:r>
        <w:t xml:space="preserve"> </w:t>
      </w:r>
      <w:r>
        <w:t xml:space="preserve">(</w:t>
      </w:r>
      <w:hyperlink w:anchor="ref-arantes2016">
        <w:r>
          <w:rPr>
            <w:rStyle w:val="Hyperlink"/>
          </w:rPr>
          <w:t xml:space="preserve">ARANTES e colab., 2016</w:t>
        </w:r>
      </w:hyperlink>
      <w:r>
        <w:t xml:space="preserve">;</w:t>
      </w:r>
      <w:r>
        <w:t xml:space="preserve"> </w:t>
      </w:r>
      <w:hyperlink w:anchor="ref-pbmc2013">
        <w:r>
          <w:rPr>
            <w:rStyle w:val="Hyperlink"/>
          </w:rPr>
          <w:t xml:space="preserve">PBMC, 2014</w:t>
        </w:r>
      </w:hyperlink>
      <w:r>
        <w:t xml:space="preserve">;</w:t>
      </w:r>
      <w:r>
        <w:t xml:space="preserve"> </w:t>
      </w:r>
      <w:hyperlink w:anchor="ref-marinez2003">
        <w:r>
          <w:rPr>
            <w:rStyle w:val="Hyperlink"/>
          </w:rPr>
          <w:t xml:space="preserve">SIQUEIRA e PETERSON, 2003</w:t>
        </w:r>
      </w:hyperlink>
      <w:r>
        <w:t xml:space="preserve">)</w:t>
      </w:r>
      <w:r>
        <w:t xml:space="preserve">.</w:t>
      </w:r>
    </w:p>
    <w:p>
      <w:pPr>
        <w:pStyle w:val="BodyText"/>
      </w:pPr>
      <w:r>
        <w:t xml:space="preserve">A área de sobreposição espacial potencial entre ambas as espécies também apresentou a propensão de contração nos cenários futuros, perdendo quase 80% da área de sobreposição com respeito ao presente, sob o cenário de RCP 8.5 (</w:t>
      </w:r>
      <w:hyperlink w:anchor="conclusão">
        <w:r>
          <w:rPr>
            <w:rStyle w:val="Hyperlink"/>
          </w:rPr>
          <w:t xml:space="preserve">figura 6</w:t>
        </w:r>
      </w:hyperlink>
      <w:r>
        <w:t xml:space="preserve">). Porém, a relação entre a sobreposição e a distribuição potencial é distinta entre ambas as espécies.</w:t>
      </w:r>
      <w:r>
        <w:t xml:space="preserve"> </w:t>
      </w:r>
      <w:r>
        <w:rPr>
          <w:iCs/>
          <w:i/>
        </w:rPr>
        <w:t xml:space="preserve">L. bokermanni</w:t>
      </w:r>
      <w:r>
        <w:t xml:space="preserve"> </w:t>
      </w:r>
      <w:r>
        <w:t xml:space="preserve">mostrou diminuição na taxa de sobreposição com relação à sua distribuição nos cenários futuros, obtendo apenas 36.9% de sobreposição espacial com a planta no cenário de RCP 8.5 (</w:t>
      </w:r>
      <w:hyperlink w:anchor="apêndice">
        <w:r>
          <w:rPr>
            <w:rStyle w:val="Hyperlink"/>
          </w:rPr>
          <w:t xml:space="preserve">tabelas 8 e 9</w:t>
        </w:r>
      </w:hyperlink>
      <w:r>
        <w:t xml:space="preserve">). Nos dois cenários climáticos futuros analisados, os modelos mostraram que mais de 60% da distribuição potencial do morcego não possuía correspondência espacial com a planta, caracterizando o</w:t>
      </w:r>
      <w:r>
        <w:t xml:space="preserve"> </w:t>
      </w:r>
      <w:r>
        <w:rPr>
          <w:iCs/>
          <w:i/>
        </w:rPr>
        <w:t xml:space="preserve">mismatch</w:t>
      </w:r>
      <w:r>
        <w:t xml:space="preserve"> </w:t>
      </w:r>
      <w:r>
        <w:t xml:space="preserve">espacial</w:t>
      </w:r>
      <w:r>
        <w:t xml:space="preserve"> </w:t>
      </w:r>
      <w:r>
        <w:t xml:space="preserve">(</w:t>
      </w:r>
      <w:hyperlink w:anchor="ref-hegland2008">
        <w:r>
          <w:rPr>
            <w:rStyle w:val="Hyperlink"/>
          </w:rPr>
          <w:t xml:space="preserve">HEGLAND e colab., 2008</w:t>
        </w:r>
      </w:hyperlink>
      <w:r>
        <w:t xml:space="preserve">;</w:t>
      </w:r>
      <w:r>
        <w:t xml:space="preserve"> </w:t>
      </w:r>
      <w:hyperlink w:anchor="ref-schweiger2008">
        <w:r>
          <w:rPr>
            <w:rStyle w:val="Hyperlink"/>
          </w:rPr>
          <w:t xml:space="preserve">SCHWEIGER e colab., 2008</w:t>
        </w:r>
      </w:hyperlink>
      <w:r>
        <w:t xml:space="preserve">)</w:t>
      </w:r>
      <w:r>
        <w:t xml:space="preserve"> </w:t>
      </w:r>
      <w:r>
        <w:t xml:space="preserve">por parte do morcego.</w:t>
      </w:r>
    </w:p>
    <w:p>
      <w:pPr>
        <w:pStyle w:val="BodyText"/>
      </w:pPr>
      <w:r>
        <w:t xml:space="preserve">Em contrapartida,</w:t>
      </w:r>
      <w:r>
        <w:t xml:space="preserve"> </w:t>
      </w:r>
      <w:r>
        <w:rPr>
          <w:iCs/>
          <w:i/>
        </w:rPr>
        <w:t xml:space="preserve">E. subsecundum</w:t>
      </w:r>
      <w:r>
        <w:t xml:space="preserve"> </w:t>
      </w:r>
      <w:r>
        <w:t xml:space="preserve">apresentou aumento na taxa de sobreposição em relação a sua distribuição nos cenários futuros (</w:t>
      </w:r>
      <w:hyperlink w:anchor="apêndice">
        <w:r>
          <w:rPr>
            <w:rStyle w:val="Hyperlink"/>
          </w:rPr>
          <w:t xml:space="preserve">tabelas 8 e 9</w:t>
        </w:r>
      </w:hyperlink>
      <w:r>
        <w:t xml:space="preserve">), chegando a uma alta porcentagem de 84.9% de sobreposição sob RCP 4.5, o que implica que apenas 15% de sua distribuição potencial nesse cenário está em desencontro geográfico com o morcego. No RCP 8.5, o desencontro espacial cresce para 23.3% da área potencial da planta. Os resultados apontam portanto a possibilidade de não ocorrer o</w:t>
      </w:r>
      <w:r>
        <w:t xml:space="preserve"> </w:t>
      </w:r>
      <w:r>
        <w:rPr>
          <w:iCs/>
          <w:i/>
        </w:rPr>
        <w:t xml:space="preserve">mismatch</w:t>
      </w:r>
      <w:r>
        <w:t xml:space="preserve"> </w:t>
      </w:r>
      <w:r>
        <w:t xml:space="preserve">espacial com respeito à distribuição da planta, a qual pode chegar a aumentar a sobreposição com o morcego.</w:t>
      </w:r>
    </w:p>
    <w:p>
      <w:pPr>
        <w:pStyle w:val="BodyText"/>
      </w:pPr>
      <w:r>
        <w:drawing>
          <wp:inline>
            <wp:extent cx="5334000" cy="5778499"/>
            <wp:effectExtent b="0" l="0" r="0" t="0"/>
            <wp:docPr descr="Mapas de sobreposição entre as distribuições da planta e do morcego no RCP 4.5 (acima) e RCP 8.5 (abaixo)." title="" id="1" name="Picture"/>
            <a:graphic>
              <a:graphicData uri="http://schemas.openxmlformats.org/drawingml/2006/picture">
                <pic:pic>
                  <pic:nvPicPr>
                    <pic:cNvPr descr="../Graficos/sobreposicoes_mapas_feitos/RCP45.jpeg" id="0" name="Picture"/>
                    <pic:cNvPicPr>
                      <a:picLocks noChangeArrowheads="1" noChangeAspect="1"/>
                    </pic:cNvPicPr>
                  </pic:nvPicPr>
                  <pic:blipFill>
                    <a:blip r:embed="rId42"/>
                    <a:stretch>
                      <a:fillRect/>
                    </a:stretch>
                  </pic:blipFill>
                  <pic:spPr bwMode="auto">
                    <a:xfrm>
                      <a:off x="0" y="0"/>
                      <a:ext cx="5334000" cy="5778499"/>
                    </a:xfrm>
                    <a:prstGeom prst="rect">
                      <a:avLst/>
                    </a:prstGeom>
                    <a:noFill/>
                    <a:ln w="9525">
                      <a:noFill/>
                      <a:headEnd/>
                      <a:tailEnd/>
                    </a:ln>
                  </pic:spPr>
                </pic:pic>
              </a:graphicData>
            </a:graphic>
          </wp:inline>
        </w:drawing>
      </w:r>
      <w:r>
        <w:drawing>
          <wp:inline>
            <wp:extent cx="5334000" cy="5778499"/>
            <wp:effectExtent b="0" l="0" r="0" t="0"/>
            <wp:docPr descr="Mapas de sobreposição entre as distribuições da planta e do morcego no RCP 4.5 (acima) e RCP 8.5 (abaixo)." title="" id="1" name="Picture"/>
            <a:graphic>
              <a:graphicData uri="http://schemas.openxmlformats.org/drawingml/2006/picture">
                <pic:pic>
                  <pic:nvPicPr>
                    <pic:cNvPr descr="../Graficos/sobreposicoes_mapas_feitos/RCP85.jpeg" id="0" name="Picture"/>
                    <pic:cNvPicPr>
                      <a:picLocks noChangeArrowheads="1" noChangeAspect="1"/>
                    </pic:cNvPicPr>
                  </pic:nvPicPr>
                  <pic:blipFill>
                    <a:blip r:embed="rId43"/>
                    <a:stretch>
                      <a:fillRect/>
                    </a:stretch>
                  </pic:blipFill>
                  <pic:spPr bwMode="auto">
                    <a:xfrm>
                      <a:off x="0" y="0"/>
                      <a:ext cx="5334000" cy="5778499"/>
                    </a:xfrm>
                    <a:prstGeom prst="rect">
                      <a:avLst/>
                    </a:prstGeom>
                    <a:noFill/>
                    <a:ln w="9525">
                      <a:noFill/>
                      <a:headEnd/>
                      <a:tailEnd/>
                    </a:ln>
                  </pic:spPr>
                </pic:pic>
              </a:graphicData>
            </a:graphic>
          </wp:inline>
        </w:drawing>
      </w:r>
    </w:p>
    <w:bookmarkEnd w:id="44"/>
    <w:bookmarkStart w:id="62" w:name="apêndice"/>
    <w:p>
      <w:pPr>
        <w:pStyle w:val="Heading1"/>
      </w:pPr>
      <w:r>
        <w:t xml:space="preserve">Apêndice</w:t>
      </w:r>
    </w:p>
    <w:bookmarkStart w:id="45" w:name="tabelas"/>
    <w:p>
      <w:pPr>
        <w:pStyle w:val="Heading2"/>
      </w:pPr>
      <w:r>
        <w:t xml:space="preserve">Tabelas</w:t>
      </w:r>
    </w:p>
    <w:p>
      <w:pPr>
        <w:pStyle w:val="FirstParagraph"/>
      </w:pPr>
      <w:r>
        <w:t xml:space="preserve"> </w:t>
      </w:r>
      <w:r>
        <w:rPr>
          <w:bCs/>
          <w:b/>
        </w:rPr>
        <w:t xml:space="preserve">Tabela 1:</w:t>
      </w:r>
      <w:r>
        <w:t xml:space="preserve"> </w:t>
      </w:r>
      <w:r>
        <w:t xml:space="preserve">Pontos de ocorrências de</w:t>
      </w:r>
      <w:r>
        <w:t xml:space="preserve"> </w:t>
      </w:r>
      <w:r>
        <w:rPr>
          <w:iCs/>
          <w:i/>
        </w:rPr>
        <w:t xml:space="preserve">Encholirium subsecundum</w:t>
      </w:r>
      <w:r>
        <w:t xml:space="preserve"> </w:t>
      </w:r>
      <w:r>
        <w:t xml:space="preserve">(Barker Mez).</w:t>
      </w:r>
    </w:p>
    <w:tbl>
      <w:tblPr>
        <w:tblStyle w:val="Table"/>
        <w:tblW w:type="pct" w:w="5000.0"/>
        <w:tblLook w:firstRow="1" w:lastRow="0" w:firstColumn="0" w:lastColumn="0" w:noHBand="0" w:noVBand="0" w:val="0020"/>
      </w:tblPr>
      <w:tblGrid>
        <w:gridCol w:w="1911"/>
        <w:gridCol w:w="1502"/>
        <w:gridCol w:w="1502"/>
        <w:gridCol w:w="1502"/>
        <w:gridCol w:w="1502"/>
      </w:tblGrid>
      <w:tr>
        <w:tc>
          <w:p>
            <w:pPr>
              <w:pStyle w:val="Compact"/>
              <w:jc w:val="left"/>
            </w:pPr>
            <w:r>
              <w:t xml:space="preserve">Estado</w:t>
            </w:r>
          </w:p>
        </w:tc>
        <w:tc>
          <w:p>
            <w:pPr>
              <w:pStyle w:val="Compact"/>
              <w:jc w:val="left"/>
            </w:pPr>
            <w:r>
              <w:t xml:space="preserve">Município</w:t>
            </w:r>
          </w:p>
        </w:tc>
        <w:tc>
          <w:p>
            <w:pPr>
              <w:pStyle w:val="Compact"/>
              <w:jc w:val="left"/>
            </w:pPr>
            <w:r>
              <w:t xml:space="preserve">Longitude</w:t>
            </w:r>
          </w:p>
        </w:tc>
        <w:tc>
          <w:p>
            <w:pPr>
              <w:pStyle w:val="Compact"/>
              <w:jc w:val="left"/>
            </w:pPr>
            <w:r>
              <w:t xml:space="preserve">Latitude</w:t>
            </w:r>
          </w:p>
        </w:tc>
        <w:tc>
          <w:p>
            <w:pPr>
              <w:pStyle w:val="Compact"/>
              <w:jc w:val="left"/>
            </w:pPr>
            <w:r>
              <w:t xml:space="preserve">Referência</w:t>
            </w:r>
          </w:p>
        </w:tc>
      </w:tr>
      <w:tr>
        <w:tc>
          <w:p>
            <w:pPr>
              <w:pStyle w:val="Compact"/>
              <w:jc w:val="left"/>
            </w:pPr>
            <w:r>
              <w:t xml:space="preserve">Minas Gerais</w:t>
            </w:r>
          </w:p>
        </w:tc>
        <w:tc>
          <w:p>
            <w:pPr>
              <w:pStyle w:val="Compact"/>
              <w:jc w:val="left"/>
            </w:pPr>
            <w:r>
              <w:t xml:space="preserve">Belo Horizonte</w:t>
            </w:r>
          </w:p>
        </w:tc>
        <w:tc>
          <w:p>
            <w:pPr>
              <w:pStyle w:val="Compact"/>
              <w:jc w:val="left"/>
            </w:pPr>
            <w:r>
              <w:t xml:space="preserve">-43.93780</w:t>
            </w:r>
          </w:p>
        </w:tc>
        <w:tc>
          <w:p>
            <w:pPr>
              <w:pStyle w:val="Compact"/>
              <w:jc w:val="left"/>
            </w:pPr>
            <w:r>
              <w:t xml:space="preserve">-19.92080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Conceição do Mato Dentro</w:t>
            </w:r>
          </w:p>
        </w:tc>
        <w:tc>
          <w:p>
            <w:pPr>
              <w:pStyle w:val="Compact"/>
              <w:jc w:val="left"/>
            </w:pPr>
            <w:r>
              <w:t xml:space="preserve">-43.42500</w:t>
            </w:r>
          </w:p>
        </w:tc>
        <w:tc>
          <w:p>
            <w:pPr>
              <w:pStyle w:val="Compact"/>
              <w:jc w:val="left"/>
            </w:pPr>
            <w:r>
              <w:t xml:space="preserve">-19.03720</w:t>
            </w:r>
          </w:p>
        </w:tc>
        <w:tc>
          <w:p>
            <w:pPr>
              <w:pStyle w:val="Compact"/>
              <w:jc w:val="left"/>
            </w:pPr>
            <w:r>
              <w:t xml:space="preserve">Fundação Zoo-Botânica de Belo Horizonte</w:t>
            </w:r>
          </w:p>
        </w:tc>
      </w:tr>
      <w:tr>
        <w:tc>
          <w:p>
            <w:pPr>
              <w:pStyle w:val="Compact"/>
              <w:jc w:val="left"/>
            </w:pPr>
            <w:r>
              <w:t xml:space="preserve">Minas Gerais</w:t>
            </w:r>
          </w:p>
        </w:tc>
        <w:tc>
          <w:p>
            <w:pPr>
              <w:pStyle w:val="Compact"/>
              <w:jc w:val="left"/>
            </w:pPr>
            <w:r>
              <w:t xml:space="preserve">Serro</w:t>
            </w:r>
          </w:p>
        </w:tc>
        <w:tc>
          <w:p>
            <w:pPr>
              <w:pStyle w:val="Compact"/>
              <w:jc w:val="left"/>
            </w:pPr>
            <w:r>
              <w:t xml:space="preserve">-43.37940</w:t>
            </w:r>
          </w:p>
        </w:tc>
        <w:tc>
          <w:p>
            <w:pPr>
              <w:pStyle w:val="Compact"/>
              <w:jc w:val="left"/>
            </w:pPr>
            <w:r>
              <w:t xml:space="preserve">-18.60470</w:t>
            </w:r>
          </w:p>
        </w:tc>
        <w:tc>
          <w:p>
            <w:pPr>
              <w:pStyle w:val="Compact"/>
              <w:jc w:val="left"/>
            </w:pPr>
            <w:r>
              <w:t xml:space="preserve">Coleção da Escola Superior de Agronomia Luiz de Queiroz - USP</w:t>
            </w:r>
          </w:p>
        </w:tc>
      </w:tr>
      <w:tr>
        <w:tc>
          <w:p>
            <w:pPr>
              <w:pStyle w:val="Compact"/>
              <w:jc w:val="left"/>
            </w:pPr>
            <w:r>
              <w:t xml:space="preserve">Minas Gerais</w:t>
            </w:r>
          </w:p>
        </w:tc>
        <w:tc>
          <w:p>
            <w:pPr>
              <w:pStyle w:val="Compact"/>
              <w:jc w:val="left"/>
            </w:pPr>
            <w:r>
              <w:t xml:space="preserve">Serro</w:t>
            </w:r>
          </w:p>
        </w:tc>
        <w:tc>
          <w:p>
            <w:pPr>
              <w:pStyle w:val="Compact"/>
              <w:jc w:val="left"/>
            </w:pPr>
            <w:r>
              <w:t xml:space="preserve">-43.44500</w:t>
            </w:r>
          </w:p>
        </w:tc>
        <w:tc>
          <w:p>
            <w:pPr>
              <w:pStyle w:val="Compact"/>
              <w:jc w:val="left"/>
            </w:pPr>
            <w:r>
              <w:t xml:space="preserve">-18.47250</w:t>
            </w:r>
          </w:p>
        </w:tc>
        <w:tc>
          <w:p>
            <w:pPr>
              <w:pStyle w:val="Compact"/>
              <w:jc w:val="left"/>
            </w:pPr>
            <w:r>
              <w:t xml:space="preserve">Herbário do Museu Nacional</w:t>
            </w:r>
          </w:p>
        </w:tc>
      </w:tr>
      <w:tr>
        <w:tc>
          <w:p>
            <w:pPr>
              <w:pStyle w:val="Compact"/>
              <w:jc w:val="left"/>
            </w:pPr>
            <w:r>
              <w:t xml:space="preserve">Minas Gerais</w:t>
            </w:r>
          </w:p>
        </w:tc>
        <w:tc>
          <w:p>
            <w:pPr>
              <w:pStyle w:val="Compact"/>
              <w:jc w:val="left"/>
            </w:pPr>
            <w:r>
              <w:t xml:space="preserve">Jequitaí</w:t>
            </w:r>
          </w:p>
        </w:tc>
        <w:tc>
          <w:p>
            <w:pPr>
              <w:pStyle w:val="Compact"/>
              <w:jc w:val="left"/>
            </w:pPr>
            <w:r>
              <w:t xml:space="preserve">-44.44560</w:t>
            </w:r>
          </w:p>
        </w:tc>
        <w:tc>
          <w:p>
            <w:pPr>
              <w:pStyle w:val="Compact"/>
              <w:jc w:val="left"/>
            </w:pPr>
            <w:r>
              <w:t xml:space="preserve">-17.23560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-44.18000</w:t>
            </w:r>
          </w:p>
        </w:tc>
        <w:tc>
          <w:p>
            <w:pPr>
              <w:pStyle w:val="Compact"/>
              <w:jc w:val="left"/>
            </w:pPr>
            <w:r>
              <w:t xml:space="preserve">-17.87330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-44.23389</w:t>
            </w:r>
          </w:p>
        </w:tc>
        <w:tc>
          <w:p>
            <w:pPr>
              <w:pStyle w:val="Compact"/>
              <w:jc w:val="left"/>
            </w:pPr>
            <w:r>
              <w:t xml:space="preserve">-17.92389</w:t>
            </w:r>
          </w:p>
        </w:tc>
        <w:tc>
          <w:p>
            <w:pPr>
              <w:pStyle w:val="Compact"/>
              <w:jc w:val="left"/>
            </w:pPr>
            <w:r>
              <w:t xml:space="preserve">Coleção da Universidade Federal do Maranhão</w:t>
            </w:r>
          </w:p>
        </w:tc>
      </w:tr>
      <w:tr>
        <w:tc>
          <w:p>
            <w:pPr>
              <w:pStyle w:val="Compact"/>
              <w:jc w:val="left"/>
            </w:pPr>
            <w:r>
              <w:t xml:space="preserve">Minas Gerais</w:t>
            </w:r>
          </w:p>
        </w:tc>
        <w:tc>
          <w:p>
            <w:pPr>
              <w:pStyle w:val="Compact"/>
              <w:jc w:val="left"/>
            </w:pPr>
            <w:r>
              <w:t xml:space="preserve">Buenópolis</w:t>
            </w:r>
          </w:p>
        </w:tc>
        <w:tc>
          <w:p>
            <w:pPr>
              <w:pStyle w:val="Compact"/>
              <w:jc w:val="left"/>
            </w:pPr>
            <w:r>
              <w:t xml:space="preserve">-44.24944</w:t>
            </w:r>
          </w:p>
        </w:tc>
        <w:tc>
          <w:p>
            <w:pPr>
              <w:pStyle w:val="Compact"/>
              <w:jc w:val="left"/>
            </w:pPr>
            <w:r>
              <w:t xml:space="preserve">-17.90917</w:t>
            </w:r>
          </w:p>
        </w:tc>
        <w:tc>
          <w:p>
            <w:pPr>
              <w:pStyle w:val="Compact"/>
              <w:jc w:val="left"/>
            </w:pPr>
            <w:r>
              <w:t xml:space="preserve">Coleção da Universidade Federal do Maranhão</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Mariana</w:t>
            </w:r>
          </w:p>
        </w:tc>
        <w:tc>
          <w:p>
            <w:pPr>
              <w:pStyle w:val="Compact"/>
              <w:jc w:val="left"/>
            </w:pPr>
            <w:r>
              <w:t xml:space="preserve">-43.41610</w:t>
            </w:r>
          </w:p>
        </w:tc>
        <w:tc>
          <w:p>
            <w:pPr>
              <w:pStyle w:val="Compact"/>
              <w:jc w:val="left"/>
            </w:pPr>
            <w:r>
              <w:t xml:space="preserve">-20.37780</w:t>
            </w:r>
          </w:p>
        </w:tc>
        <w:tc>
          <w:p>
            <w:pPr>
              <w:pStyle w:val="Compact"/>
              <w:jc w:val="left"/>
            </w:pPr>
            <w:r>
              <w:t xml:space="preserve">Coleção da Universidade Federal de Viçosa</w:t>
            </w:r>
          </w:p>
        </w:tc>
      </w:tr>
      <w:tr>
        <w:tc>
          <w:p>
            <w:pPr>
              <w:pStyle w:val="Compact"/>
              <w:jc w:val="left"/>
            </w:pPr>
            <w:r>
              <w:t xml:space="preserve">Minas Gerais</w:t>
            </w:r>
          </w:p>
        </w:tc>
        <w:tc>
          <w:p>
            <w:pPr>
              <w:pStyle w:val="Compact"/>
              <w:jc w:val="left"/>
            </w:pPr>
            <w:r>
              <w:t xml:space="preserve">Datas</w:t>
            </w:r>
          </w:p>
        </w:tc>
        <w:tc>
          <w:p>
            <w:pPr>
              <w:pStyle w:val="Compact"/>
              <w:jc w:val="left"/>
            </w:pPr>
            <w:r>
              <w:t xml:space="preserve">-43.65580</w:t>
            </w:r>
          </w:p>
        </w:tc>
        <w:tc>
          <w:p>
            <w:pPr>
              <w:pStyle w:val="Compact"/>
              <w:jc w:val="left"/>
            </w:pPr>
            <w:r>
              <w:t xml:space="preserve">-18.44560</w:t>
            </w:r>
          </w:p>
        </w:tc>
        <w:tc>
          <w:p>
            <w:pPr>
              <w:pStyle w:val="Compact"/>
              <w:jc w:val="left"/>
            </w:pPr>
            <w:r>
              <w:t xml:space="preserve">Herbário do Museu Botânico Municipal</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-44.17220</w:t>
            </w:r>
          </w:p>
        </w:tc>
        <w:tc>
          <w:p>
            <w:pPr>
              <w:pStyle w:val="Compact"/>
              <w:jc w:val="left"/>
            </w:pPr>
            <w:r>
              <w:t xml:space="preserve">-17.75750</w:t>
            </w:r>
          </w:p>
        </w:tc>
        <w:tc>
          <w:p>
            <w:pPr>
              <w:pStyle w:val="Compact"/>
              <w:jc w:val="left"/>
            </w:pPr>
            <w:r>
              <w:t xml:space="preserve">Coleção da Universidade Estadual de Feira de Santana</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-44.29190</w:t>
            </w:r>
          </w:p>
        </w:tc>
        <w:tc>
          <w:p>
            <w:pPr>
              <w:pStyle w:val="Compact"/>
              <w:jc w:val="left"/>
            </w:pPr>
            <w:r>
              <w:t xml:space="preserve">-17.69890</w:t>
            </w:r>
          </w:p>
        </w:tc>
        <w:tc>
          <w:p>
            <w:pPr>
              <w:pStyle w:val="Compact"/>
              <w:jc w:val="left"/>
            </w:pPr>
            <w:r>
              <w:t xml:space="preserve">The New York Botanical Garden</w:t>
            </w:r>
          </w:p>
        </w:tc>
      </w:tr>
      <w:tr>
        <w:tc>
          <w:p>
            <w:pPr>
              <w:pStyle w:val="Compact"/>
              <w:jc w:val="left"/>
            </w:pPr>
            <w:r>
              <w:t xml:space="preserve">Minas Gerais</w:t>
            </w:r>
          </w:p>
        </w:tc>
        <w:tc>
          <w:p>
            <w:pPr>
              <w:pStyle w:val="Compact"/>
              <w:jc w:val="left"/>
            </w:pPr>
            <w:r>
              <w:t xml:space="preserve">Joaquim Felício</w:t>
            </w:r>
          </w:p>
        </w:tc>
        <w:tc>
          <w:p>
            <w:pPr>
              <w:pStyle w:val="Compact"/>
              <w:jc w:val="left"/>
            </w:pPr>
            <w:r>
              <w:t xml:space="preserve">-44.17220</w:t>
            </w:r>
          </w:p>
        </w:tc>
        <w:tc>
          <w:p>
            <w:pPr>
              <w:pStyle w:val="Compact"/>
              <w:jc w:val="left"/>
            </w:pPr>
            <w:r>
              <w:t xml:space="preserve">-17.75750</w:t>
            </w:r>
          </w:p>
        </w:tc>
        <w:tc>
          <w:p>
            <w:pPr>
              <w:pStyle w:val="Compact"/>
              <w:jc w:val="left"/>
            </w:pPr>
            <w:r>
              <w:t xml:space="preserve">Herbário da Universidade Estadual de Feira de Santana</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-43.71440</w:t>
            </w:r>
          </w:p>
        </w:tc>
        <w:tc>
          <w:p>
            <w:pPr>
              <w:pStyle w:val="Compact"/>
              <w:jc w:val="left"/>
            </w:pPr>
            <w:r>
              <w:t xml:space="preserve">-19.16890</w:t>
            </w:r>
          </w:p>
        </w:tc>
        <w:tc>
          <w:p>
            <w:pPr>
              <w:pStyle w:val="Compact"/>
              <w:jc w:val="left"/>
            </w:pPr>
            <w:r>
              <w:t xml:space="preserve">Instituto de Botânica</w:t>
            </w:r>
          </w:p>
        </w:tc>
      </w:tr>
      <w:tr>
        <w:tc>
          <w:p>
            <w:pPr>
              <w:pStyle w:val="Compact"/>
              <w:jc w:val="left"/>
            </w:pPr>
            <w:r>
              <w:t xml:space="preserve">Minas Gerais</w:t>
            </w:r>
          </w:p>
        </w:tc>
        <w:tc>
          <w:p>
            <w:pPr>
              <w:pStyle w:val="Compact"/>
              <w:jc w:val="left"/>
            </w:pPr>
            <w:r>
              <w:t xml:space="preserve">Penha da França</w:t>
            </w:r>
          </w:p>
        </w:tc>
        <w:tc>
          <w:p>
            <w:pPr>
              <w:pStyle w:val="Compact"/>
              <w:jc w:val="left"/>
            </w:pPr>
            <w:r>
              <w:t xml:space="preserve">-43.83333</w:t>
            </w:r>
          </w:p>
        </w:tc>
        <w:tc>
          <w:p>
            <w:pPr>
              <w:pStyle w:val="Compact"/>
              <w:jc w:val="left"/>
            </w:pPr>
            <w:r>
              <w:t xml:space="preserve">-18.83333</w:t>
            </w:r>
          </w:p>
        </w:tc>
        <w:tc>
          <w:p>
            <w:pPr>
              <w:pStyle w:val="Compact"/>
              <w:jc w:val="left"/>
            </w:pPr>
            <w:r>
              <w:t xml:space="preserve">Coleção da Universidade de Brasília</w:t>
            </w:r>
          </w:p>
        </w:tc>
      </w:tr>
      <w:tr>
        <w:tc>
          <w:p>
            <w:pPr>
              <w:pStyle w:val="Compact"/>
              <w:jc w:val="left"/>
            </w:pPr>
            <w:r>
              <w:t xml:space="preserve">Minas Gerais</w:t>
            </w:r>
          </w:p>
        </w:tc>
        <w:tc>
          <w:p>
            <w:pPr>
              <w:pStyle w:val="Compact"/>
              <w:jc w:val="left"/>
            </w:pPr>
            <w:r>
              <w:t xml:space="preserve">Montes Claros</w:t>
            </w:r>
          </w:p>
        </w:tc>
        <w:tc>
          <w:p>
            <w:pPr>
              <w:pStyle w:val="Compact"/>
              <w:jc w:val="left"/>
            </w:pPr>
            <w:r>
              <w:t xml:space="preserve">-43.86170</w:t>
            </w:r>
          </w:p>
        </w:tc>
        <w:tc>
          <w:p>
            <w:pPr>
              <w:pStyle w:val="Compact"/>
              <w:jc w:val="left"/>
            </w:pPr>
            <w:r>
              <w:t xml:space="preserve">-16.73500</w:t>
            </w:r>
          </w:p>
        </w:tc>
        <w:tc>
          <w:p>
            <w:pPr>
              <w:pStyle w:val="Compact"/>
              <w:jc w:val="left"/>
            </w:pPr>
            <w:r>
              <w:t xml:space="preserve">Coleção da UNICAMP</w:t>
            </w:r>
          </w:p>
        </w:tc>
      </w:tr>
      <w:tr>
        <w:tc>
          <w:p>
            <w:pPr>
              <w:pStyle w:val="Compact"/>
              <w:jc w:val="left"/>
            </w:pPr>
            <w:r>
              <w:t xml:space="preserve">Minas Gerais</w:t>
            </w:r>
          </w:p>
        </w:tc>
        <w:tc>
          <w:p>
            <w:pPr>
              <w:pStyle w:val="Compact"/>
              <w:jc w:val="left"/>
            </w:pPr>
            <w:r>
              <w:t xml:space="preserve">Santo Antônio do Itambé</w:t>
            </w:r>
          </w:p>
        </w:tc>
        <w:tc>
          <w:p>
            <w:pPr>
              <w:pStyle w:val="Compact"/>
              <w:jc w:val="left"/>
            </w:pPr>
            <w:r>
              <w:t xml:space="preserve">-43.33944</w:t>
            </w:r>
          </w:p>
        </w:tc>
        <w:tc>
          <w:p>
            <w:pPr>
              <w:pStyle w:val="Compact"/>
              <w:jc w:val="left"/>
            </w:pPr>
            <w:r>
              <w:t xml:space="preserve">-18.45694</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Pedro Leopoldo</w:t>
            </w:r>
          </w:p>
        </w:tc>
        <w:tc>
          <w:p>
            <w:pPr>
              <w:pStyle w:val="Compact"/>
              <w:jc w:val="left"/>
            </w:pPr>
            <w:r>
              <w:t xml:space="preserve">-44.04310</w:t>
            </w:r>
          </w:p>
        </w:tc>
        <w:tc>
          <w:p>
            <w:pPr>
              <w:pStyle w:val="Compact"/>
              <w:jc w:val="left"/>
            </w:pPr>
            <w:r>
              <w:t xml:space="preserve">-19.61810</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Itacambira</w:t>
            </w:r>
          </w:p>
        </w:tc>
        <w:tc>
          <w:p>
            <w:pPr>
              <w:pStyle w:val="Compact"/>
              <w:jc w:val="left"/>
            </w:pPr>
            <w:r>
              <w:t xml:space="preserve">-43.30890</w:t>
            </w:r>
          </w:p>
        </w:tc>
        <w:tc>
          <w:p>
            <w:pPr>
              <w:pStyle w:val="Compact"/>
              <w:jc w:val="left"/>
            </w:pPr>
            <w:r>
              <w:t xml:space="preserve">-17.06470</w:t>
            </w:r>
          </w:p>
        </w:tc>
        <w:tc>
          <w:p>
            <w:pPr>
              <w:pStyle w:val="Compact"/>
              <w:jc w:val="left"/>
            </w:pPr>
            <w:r>
              <w:t xml:space="preserve">Herbário da UFMG</w:t>
            </w:r>
          </w:p>
        </w:tc>
      </w:tr>
      <w:tr>
        <w:tc>
          <w:p>
            <w:pPr>
              <w:pStyle w:val="Compact"/>
              <w:jc w:val="left"/>
            </w:pPr>
            <w:r>
              <w:t xml:space="preserve">Minas Gerais</w:t>
            </w:r>
          </w:p>
        </w:tc>
        <w:tc>
          <w:p>
            <w:pPr>
              <w:pStyle w:val="Compact"/>
              <w:jc w:val="left"/>
            </w:pPr>
            <w:r>
              <w:t xml:space="preserve">Dom Joaquim</w:t>
            </w:r>
          </w:p>
        </w:tc>
        <w:tc>
          <w:p>
            <w:pPr>
              <w:pStyle w:val="Compact"/>
              <w:jc w:val="left"/>
            </w:pPr>
            <w:r>
              <w:t xml:space="preserve">-43.23333</w:t>
            </w:r>
          </w:p>
        </w:tc>
        <w:tc>
          <w:p>
            <w:pPr>
              <w:pStyle w:val="Compact"/>
              <w:jc w:val="left"/>
            </w:pPr>
            <w:r>
              <w:t xml:space="preserve">-18.86667</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Mato Verde</w:t>
            </w:r>
          </w:p>
        </w:tc>
        <w:tc>
          <w:p>
            <w:pPr>
              <w:pStyle w:val="Compact"/>
              <w:jc w:val="left"/>
            </w:pPr>
            <w:r>
              <w:t xml:space="preserve">-42.77889</w:t>
            </w:r>
          </w:p>
        </w:tc>
        <w:tc>
          <w:p>
            <w:pPr>
              <w:pStyle w:val="Compact"/>
              <w:jc w:val="left"/>
            </w:pPr>
            <w:r>
              <w:t xml:space="preserve">-15.38667</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Santana de Pirapama</w:t>
            </w:r>
          </w:p>
        </w:tc>
        <w:tc>
          <w:p>
            <w:pPr>
              <w:pStyle w:val="Compact"/>
              <w:jc w:val="left"/>
            </w:pPr>
            <w:r>
              <w:t xml:space="preserve">-43.75556</w:t>
            </w:r>
          </w:p>
        </w:tc>
        <w:tc>
          <w:p>
            <w:pPr>
              <w:pStyle w:val="Compact"/>
              <w:jc w:val="left"/>
            </w:pPr>
            <w:r>
              <w:t xml:space="preserve">-19.00611</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-43.55278</w:t>
            </w:r>
          </w:p>
        </w:tc>
        <w:tc>
          <w:p>
            <w:pPr>
              <w:pStyle w:val="Compact"/>
              <w:jc w:val="left"/>
            </w:pPr>
            <w:r>
              <w:t xml:space="preserve">-18.35500</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-43.62806</w:t>
            </w:r>
          </w:p>
        </w:tc>
        <w:tc>
          <w:p>
            <w:pPr>
              <w:pStyle w:val="Compact"/>
              <w:jc w:val="left"/>
            </w:pPr>
            <w:r>
              <w:t xml:space="preserve">-18.19194</w:t>
            </w:r>
          </w:p>
        </w:tc>
        <w:tc>
          <w:p>
            <w:pPr>
              <w:pStyle w:val="Compact"/>
              <w:jc w:val="left"/>
            </w:pPr>
            <w:r>
              <w:t xml:space="preserve">Herbário do Museu do Jardim Botânico do Rio de Janeiro</w:t>
            </w:r>
          </w:p>
        </w:tc>
      </w:tr>
      <w:tr>
        <w:tc>
          <w:p>
            <w:pPr>
              <w:pStyle w:val="Compact"/>
              <w:jc w:val="left"/>
            </w:pPr>
            <w:r>
              <w:t xml:space="preserve">Minas Gerais</w:t>
            </w:r>
          </w:p>
        </w:tc>
        <w:tc>
          <w:p>
            <w:pPr>
              <w:pStyle w:val="Compact"/>
              <w:jc w:val="left"/>
            </w:pPr>
            <w:r>
              <w:t xml:space="preserve">Presidente Kubitschek</w:t>
            </w:r>
          </w:p>
        </w:tc>
        <w:tc>
          <w:p>
            <w:pPr>
              <w:pStyle w:val="Compact"/>
              <w:jc w:val="left"/>
            </w:pPr>
            <w:r>
              <w:t xml:space="preserve">-43.55722</w:t>
            </w:r>
          </w:p>
        </w:tc>
        <w:tc>
          <w:p>
            <w:pPr>
              <w:pStyle w:val="Compact"/>
              <w:jc w:val="left"/>
            </w:pPr>
            <w:r>
              <w:t xml:space="preserve">-18.65389</w:t>
            </w:r>
          </w:p>
        </w:tc>
        <w:tc>
          <w:p>
            <w:pPr>
              <w:pStyle w:val="Compact"/>
              <w:jc w:val="left"/>
            </w:pPr>
            <w:hyperlink w:anchor="ref-mariana2014">
              <w:r>
                <w:rPr>
                  <w:rStyle w:val="Hyperlink"/>
                </w:rPr>
                <w:t xml:space="preserve">MOURA</w:t>
              </w:r>
            </w:hyperlink>
            <w:r>
              <w:t xml:space="preserve"> </w:t>
            </w:r>
            <w:r>
              <w:t xml:space="preserve">(</w:t>
            </w:r>
            <w:hyperlink w:anchor="ref-mariana2014">
              <w:r>
                <w:rPr>
                  <w:rStyle w:val="Hyperlink"/>
                </w:rPr>
                <w:t xml:space="preserve">2014</w:t>
              </w:r>
            </w:hyperlink>
            <w:r>
              <w:t xml:space="preserve">)</w:t>
            </w:r>
          </w:p>
        </w:tc>
      </w:tr>
      <w:tr>
        <w:tc>
          <w:p>
            <w:pPr>
              <w:pStyle w:val="Compact"/>
              <w:jc w:val="left"/>
            </w:pPr>
            <w:r>
              <w:t xml:space="preserve">Minas Gerais</w:t>
            </w:r>
          </w:p>
        </w:tc>
        <w:tc>
          <w:p>
            <w:pPr>
              <w:pStyle w:val="Compact"/>
              <w:jc w:val="left"/>
            </w:pPr>
            <w:r>
              <w:t xml:space="preserve">Santana do Riacho</w:t>
            </w:r>
          </w:p>
        </w:tc>
        <w:tc>
          <w:p>
            <w:pPr>
              <w:pStyle w:val="Compact"/>
              <w:jc w:val="left"/>
            </w:pPr>
            <w:r>
              <w:t xml:space="preserve">-43.51667</w:t>
            </w:r>
          </w:p>
        </w:tc>
        <w:tc>
          <w:p>
            <w:pPr>
              <w:pStyle w:val="Compact"/>
              <w:jc w:val="left"/>
            </w:pPr>
            <w:r>
              <w:t xml:space="preserve">19.25000</w:t>
            </w:r>
          </w:p>
        </w:tc>
        <w:tc>
          <w:p>
            <w:pPr>
              <w:pStyle w:val="Compact"/>
              <w:jc w:val="left"/>
            </w:pPr>
            <w:r>
              <w:t xml:space="preserve">Herbário da UFMG</w:t>
            </w:r>
          </w:p>
        </w:tc>
      </w:tr>
      <w:tr>
        <w:tc>
          <w:p>
            <w:pPr>
              <w:pStyle w:val="Compact"/>
              <w:jc w:val="left"/>
            </w:pPr>
            <w:r>
              <w:t xml:space="preserve">Bahia</w:t>
            </w:r>
          </w:p>
        </w:tc>
        <w:tc>
          <w:p>
            <w:pPr>
              <w:pStyle w:val="Compact"/>
              <w:jc w:val="left"/>
            </w:pPr>
            <w:r>
              <w:t xml:space="preserve">Itatim</w:t>
            </w:r>
          </w:p>
        </w:tc>
        <w:tc>
          <w:p>
            <w:pPr>
              <w:pStyle w:val="Compact"/>
              <w:jc w:val="left"/>
            </w:pPr>
            <w:r>
              <w:t xml:space="preserve">-39.69810</w:t>
            </w:r>
          </w:p>
        </w:tc>
        <w:tc>
          <w:p>
            <w:pPr>
              <w:pStyle w:val="Compact"/>
              <w:jc w:val="left"/>
            </w:pPr>
            <w:r>
              <w:t xml:space="preserve">-12.71190</w:t>
            </w:r>
          </w:p>
        </w:tc>
        <w:tc>
          <w:p>
            <w:pPr>
              <w:pStyle w:val="Compact"/>
              <w:jc w:val="left"/>
            </w:pPr>
            <w:r>
              <w:t xml:space="preserve">Instituto de Botânica</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-43.74500</w:t>
            </w:r>
          </w:p>
        </w:tc>
        <w:tc>
          <w:p>
            <w:pPr>
              <w:pStyle w:val="Compact"/>
              <w:jc w:val="left"/>
            </w:pPr>
            <w:r>
              <w:t xml:space="preserve">-19.51360</w:t>
            </w:r>
          </w:p>
        </w:tc>
        <w:tc>
          <w:p>
            <w:pPr>
              <w:pStyle w:val="Compact"/>
              <w:jc w:val="left"/>
            </w:pPr>
            <w:r>
              <w:t xml:space="preserve">The New York Botanical Garden</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-43.58333</w:t>
            </w:r>
          </w:p>
        </w:tc>
        <w:tc>
          <w:p>
            <w:pPr>
              <w:pStyle w:val="Compact"/>
              <w:jc w:val="left"/>
            </w:pPr>
            <w:r>
              <w:t xml:space="preserve">-19.16667</w:t>
            </w:r>
          </w:p>
        </w:tc>
        <w:tc>
          <w:p>
            <w:pPr>
              <w:pStyle w:val="Compact"/>
              <w:jc w:val="left"/>
            </w:pPr>
            <w:r>
              <w:t xml:space="preserve">Herbário do Museu Nacional</w:t>
            </w:r>
          </w:p>
        </w:tc>
      </w:tr>
    </w:tbl>
    <w:p>
      <w:pPr>
        <w:pStyle w:val="BodyText"/>
      </w:pPr>
      <w:r>
        <w:rPr>
          <w:bCs/>
          <w:b/>
        </w:rPr>
        <w:t xml:space="preserve">Tabela 2:</w:t>
      </w:r>
      <w:r>
        <w:t xml:space="preserve"> </w:t>
      </w:r>
      <w:r>
        <w:t xml:space="preserve">Pontos de ocorrências de</w:t>
      </w:r>
      <w:r>
        <w:t xml:space="preserve"> </w:t>
      </w:r>
      <w:r>
        <w:rPr>
          <w:iCs/>
          <w:i/>
        </w:rPr>
        <w:t xml:space="preserve">Lonchophylla bokermanni</w:t>
      </w:r>
      <w:r>
        <w:t xml:space="preserve"> </w:t>
      </w:r>
      <w:r>
        <w:t xml:space="preserve">(Sazima, Vizotto &amp; Taddei).</w:t>
      </w:r>
    </w:p>
    <w:tbl>
      <w:tblPr>
        <w:tblStyle w:val="Table"/>
        <w:tblW w:type="pct" w:w="5000.0"/>
        <w:tblLook w:firstRow="1" w:lastRow="0" w:firstColumn="0" w:lastColumn="0" w:noHBand="0" w:noVBand="0" w:val="0020"/>
      </w:tblPr>
      <w:tblGrid>
        <w:gridCol w:w="1705"/>
        <w:gridCol w:w="1949"/>
        <w:gridCol w:w="1462"/>
        <w:gridCol w:w="1462"/>
        <w:gridCol w:w="1340"/>
      </w:tblGrid>
      <w:tr>
        <w:tc>
          <w:p>
            <w:pPr>
              <w:pStyle w:val="Compact"/>
              <w:jc w:val="left"/>
            </w:pPr>
            <w:r>
              <w:t xml:space="preserve">Estado</w:t>
            </w:r>
          </w:p>
        </w:tc>
        <w:tc>
          <w:p>
            <w:pPr>
              <w:pStyle w:val="Compact"/>
              <w:jc w:val="left"/>
            </w:pPr>
            <w:r>
              <w:t xml:space="preserve">Município</w:t>
            </w:r>
          </w:p>
        </w:tc>
        <w:tc>
          <w:p>
            <w:pPr>
              <w:pStyle w:val="Compact"/>
              <w:jc w:val="left"/>
            </w:pPr>
            <w:r>
              <w:t xml:space="preserve">Longitude</w:t>
            </w:r>
          </w:p>
        </w:tc>
        <w:tc>
          <w:p>
            <w:pPr>
              <w:pStyle w:val="Compact"/>
              <w:jc w:val="left"/>
            </w:pPr>
            <w:r>
              <w:t xml:space="preserve">Latitude</w:t>
            </w:r>
          </w:p>
        </w:tc>
        <w:tc>
          <w:p>
            <w:pPr>
              <w:pStyle w:val="Compact"/>
              <w:jc w:val="left"/>
            </w:pPr>
            <w:r>
              <w:t xml:space="preserve">Referência</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-43.74472</w:t>
            </w:r>
          </w:p>
        </w:tc>
        <w:tc>
          <w:p>
            <w:pPr>
              <w:pStyle w:val="Compact"/>
              <w:jc w:val="left"/>
            </w:pPr>
            <w:r>
              <w:t xml:space="preserve">-19.51361</w:t>
            </w:r>
          </w:p>
        </w:tc>
        <w:tc>
          <w:p>
            <w:pPr>
              <w:pStyle w:val="Compact"/>
              <w:jc w:val="left"/>
            </w:pPr>
            <w:r>
              <w:t xml:space="preserve">Coleção de Mamíferos do Museu de Zoologia da UNICAMP</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-43.74540</w:t>
            </w:r>
          </w:p>
        </w:tc>
        <w:tc>
          <w:p>
            <w:pPr>
              <w:pStyle w:val="Compact"/>
              <w:jc w:val="left"/>
            </w:pPr>
            <w:r>
              <w:t xml:space="preserve">-19.52210</w:t>
            </w:r>
          </w:p>
        </w:tc>
        <w:tc>
          <w:p>
            <w:pPr>
              <w:pStyle w:val="Compact"/>
              <w:jc w:val="left"/>
            </w:pPr>
            <w:r>
              <w:t xml:space="preserve">Coleção de Quirópteros da UNESP</w:t>
            </w:r>
          </w:p>
        </w:tc>
      </w:tr>
      <w:tr>
        <w:tc>
          <w:p>
            <w:pPr>
              <w:pStyle w:val="Compact"/>
              <w:jc w:val="left"/>
            </w:pPr>
            <w:r>
              <w:t xml:space="preserve">Minas gerais</w:t>
            </w:r>
          </w:p>
        </w:tc>
        <w:tc>
          <w:p>
            <w:pPr>
              <w:pStyle w:val="Compact"/>
              <w:jc w:val="left"/>
            </w:pPr>
            <w:r>
              <w:t xml:space="preserve">Jaboticatubas</w:t>
            </w:r>
          </w:p>
        </w:tc>
        <w:tc>
          <w:p>
            <w:pPr>
              <w:pStyle w:val="Compact"/>
              <w:jc w:val="left"/>
            </w:pPr>
            <w:r>
              <w:t xml:space="preserve">-43.60000</w:t>
            </w:r>
          </w:p>
        </w:tc>
        <w:tc>
          <w:p>
            <w:pPr>
              <w:pStyle w:val="Compact"/>
              <w:jc w:val="left"/>
            </w:pPr>
            <w:r>
              <w:t xml:space="preserve">-19.270000</w:t>
            </w:r>
          </w:p>
        </w:tc>
        <w:tc>
          <w:p>
            <w:pPr>
              <w:pStyle w:val="Compact"/>
              <w:jc w:val="left"/>
            </w:pPr>
            <w:hyperlink w:anchor="ref-nascimento2013">
              <w:r>
                <w:rPr>
                  <w:rStyle w:val="Hyperlink"/>
                </w:rPr>
                <w:t xml:space="preserve">NASCIMENTO e colab.</w:t>
              </w:r>
            </w:hyperlink>
            <w:r>
              <w:t xml:space="preserve"> </w:t>
            </w:r>
            <w:r>
              <w:t xml:space="preserve">(</w:t>
            </w:r>
            <w:hyperlink w:anchor="ref-nascimento2013">
              <w:r>
                <w:rPr>
                  <w:rStyle w:val="Hyperlink"/>
                </w:rPr>
                <w:t xml:space="preserve">2013</w:t>
              </w:r>
            </w:hyperlink>
            <w:r>
              <w:t xml:space="preserve">)</w:t>
            </w:r>
          </w:p>
        </w:tc>
      </w:tr>
      <w:tr>
        <w:tc>
          <w:p>
            <w:pPr>
              <w:pStyle w:val="Compact"/>
              <w:jc w:val="left"/>
            </w:pPr>
            <w:r>
              <w:t xml:space="preserve">Minas gerais</w:t>
            </w:r>
          </w:p>
        </w:tc>
        <w:tc>
          <w:p>
            <w:pPr>
              <w:pStyle w:val="Compact"/>
              <w:jc w:val="left"/>
            </w:pPr>
            <w:r>
              <w:t xml:space="preserve">Serra do Cipó</w:t>
            </w:r>
          </w:p>
        </w:tc>
        <w:tc>
          <w:p>
            <w:pPr>
              <w:pStyle w:val="Compact"/>
              <w:jc w:val="left"/>
            </w:pPr>
            <w:r>
              <w:t xml:space="preserve">-43.60000</w:t>
            </w:r>
          </w:p>
        </w:tc>
        <w:tc>
          <w:p>
            <w:pPr>
              <w:pStyle w:val="Compact"/>
              <w:jc w:val="left"/>
            </w:pPr>
            <w:r>
              <w:t xml:space="preserve">-19.26667</w:t>
            </w:r>
          </w:p>
        </w:tc>
        <w:tc>
          <w:p>
            <w:pPr>
              <w:pStyle w:val="Compact"/>
              <w:jc w:val="left"/>
            </w:pPr>
            <w:r>
              <w:t xml:space="preserve">Coleção de Mamíferos do Museu de Zoologia da UNICAMP</w:t>
            </w:r>
          </w:p>
        </w:tc>
      </w:tr>
      <w:tr>
        <w:tc>
          <w:p>
            <w:pPr>
              <w:pStyle w:val="Compact"/>
              <w:jc w:val="left"/>
            </w:pPr>
            <w:r>
              <w:t xml:space="preserve">Minas gerais</w:t>
            </w:r>
          </w:p>
        </w:tc>
        <w:tc>
          <w:p>
            <w:pPr>
              <w:pStyle w:val="Compact"/>
              <w:jc w:val="left"/>
            </w:pPr>
            <w:r>
              <w:t xml:space="preserve">Itambé do Mato Dentro</w:t>
            </w:r>
          </w:p>
        </w:tc>
        <w:tc>
          <w:p>
            <w:pPr>
              <w:pStyle w:val="Compact"/>
              <w:jc w:val="left"/>
            </w:pPr>
            <w:r>
              <w:t xml:space="preserve">-43.349444</w:t>
            </w:r>
          </w:p>
        </w:tc>
        <w:tc>
          <w:p>
            <w:pPr>
              <w:pStyle w:val="Compact"/>
              <w:jc w:val="left"/>
            </w:pPr>
            <w:r>
              <w:t xml:space="preserve">-19.410278</w:t>
            </w:r>
          </w:p>
        </w:tc>
        <w:tc>
          <w:p>
            <w:pPr>
              <w:pStyle w:val="Compact"/>
              <w:jc w:val="left"/>
            </w:pPr>
            <w:hyperlink w:anchor="ref-nascimento2013">
              <w:r>
                <w:rPr>
                  <w:rStyle w:val="Hyperlink"/>
                </w:rPr>
                <w:t xml:space="preserve">NASCIMENTO e colab.</w:t>
              </w:r>
            </w:hyperlink>
            <w:r>
              <w:t xml:space="preserve"> </w:t>
            </w:r>
            <w:r>
              <w:t xml:space="preserve">(</w:t>
            </w:r>
            <w:hyperlink w:anchor="ref-nascimento2013">
              <w:r>
                <w:rPr>
                  <w:rStyle w:val="Hyperlink"/>
                </w:rPr>
                <w:t xml:space="preserve">2013</w:t>
              </w:r>
            </w:hyperlink>
            <w:r>
              <w:t xml:space="preserve">)</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-43.516667</w:t>
            </w:r>
          </w:p>
        </w:tc>
        <w:tc>
          <w:p>
            <w:pPr>
              <w:pStyle w:val="Compact"/>
              <w:jc w:val="left"/>
            </w:pPr>
            <w:r>
              <w:t xml:space="preserve">-18.383333</w:t>
            </w:r>
          </w:p>
        </w:tc>
        <w:tc>
          <w:p>
            <w:pPr>
              <w:pStyle w:val="Compact"/>
              <w:jc w:val="left"/>
            </w:pPr>
            <w:hyperlink w:anchor="ref-dias2013">
              <w:r>
                <w:rPr>
                  <w:rStyle w:val="Hyperlink"/>
                </w:rPr>
                <w:t xml:space="preserve">DIAS e colab.</w:t>
              </w:r>
            </w:hyperlink>
            <w:r>
              <w:t xml:space="preserve"> </w:t>
            </w:r>
            <w:r>
              <w:t xml:space="preserve">(</w:t>
            </w:r>
            <w:hyperlink w:anchor="ref-dias2013">
              <w:r>
                <w:rPr>
                  <w:rStyle w:val="Hyperlink"/>
                </w:rPr>
                <w:t xml:space="preserve">2013</w:t>
              </w:r>
            </w:hyperlink>
            <w:r>
              <w:t xml:space="preserve">)</w:t>
            </w:r>
          </w:p>
        </w:tc>
      </w:tr>
      <w:tr>
        <w:tc>
          <w:p>
            <w:pPr>
              <w:pStyle w:val="Compact"/>
              <w:jc w:val="left"/>
            </w:pPr>
            <w:r>
              <w:t xml:space="preserve">Minas gerais</w:t>
            </w:r>
          </w:p>
        </w:tc>
        <w:tc>
          <w:p>
            <w:pPr>
              <w:pStyle w:val="Compact"/>
              <w:jc w:val="left"/>
            </w:pPr>
            <w:r>
              <w:t xml:space="preserve">Diamantina</w:t>
            </w:r>
          </w:p>
        </w:tc>
        <w:tc>
          <w:p>
            <w:pPr>
              <w:pStyle w:val="Compact"/>
              <w:jc w:val="left"/>
            </w:pPr>
            <w:r>
              <w:t xml:space="preserve">-43.383333</w:t>
            </w:r>
          </w:p>
        </w:tc>
        <w:tc>
          <w:p>
            <w:pPr>
              <w:pStyle w:val="Compact"/>
              <w:jc w:val="left"/>
            </w:pPr>
            <w:r>
              <w:t xml:space="preserve">-18.383333</w:t>
            </w:r>
          </w:p>
        </w:tc>
        <w:tc>
          <w:p>
            <w:pPr>
              <w:pStyle w:val="Compact"/>
              <w:jc w:val="left"/>
            </w:pPr>
            <w:hyperlink w:anchor="ref-almeida2016">
              <w:r>
                <w:rPr>
                  <w:rStyle w:val="Hyperlink"/>
                </w:rPr>
                <w:t xml:space="preserve">ALMEIDA e colab.</w:t>
              </w:r>
            </w:hyperlink>
            <w:r>
              <w:t xml:space="preserve"> </w:t>
            </w:r>
            <w:r>
              <w:t xml:space="preserve">(</w:t>
            </w:r>
            <w:hyperlink w:anchor="ref-almeida2016">
              <w:r>
                <w:rPr>
                  <w:rStyle w:val="Hyperlink"/>
                </w:rPr>
                <w:t xml:space="preserve">2016</w:t>
              </w:r>
            </w:hyperlink>
            <w:r>
              <w:t xml:space="preserve">)</w:t>
            </w:r>
          </w:p>
        </w:tc>
      </w:tr>
      <w:tr>
        <w:tc>
          <w:p>
            <w:pPr>
              <w:pStyle w:val="Compact"/>
              <w:jc w:val="left"/>
            </w:pPr>
            <w:r>
              <w:t xml:space="preserve">Bahia</w:t>
            </w:r>
          </w:p>
        </w:tc>
        <w:tc>
          <w:p>
            <w:pPr>
              <w:pStyle w:val="Compact"/>
              <w:jc w:val="left"/>
            </w:pPr>
            <w:r>
              <w:t xml:space="preserve">Caetité</w:t>
            </w:r>
          </w:p>
        </w:tc>
        <w:tc>
          <w:p>
            <w:pPr>
              <w:pStyle w:val="Compact"/>
              <w:jc w:val="left"/>
            </w:pPr>
            <w:r>
              <w:t xml:space="preserve">-42.500000</w:t>
            </w:r>
          </w:p>
        </w:tc>
        <w:tc>
          <w:p>
            <w:pPr>
              <w:pStyle w:val="Compact"/>
              <w:jc w:val="left"/>
            </w:pPr>
            <w:r>
              <w:t xml:space="preserve">-14.266667</w:t>
            </w:r>
          </w:p>
        </w:tc>
        <w:tc>
          <w:p>
            <w:pPr>
              <w:pStyle w:val="Compact"/>
              <w:jc w:val="left"/>
            </w:pP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tc>
      </w:tr>
      <w:tr>
        <w:tc>
          <w:p>
            <w:pPr>
              <w:pStyle w:val="Compact"/>
              <w:jc w:val="left"/>
            </w:pPr>
            <w:r>
              <w:t xml:space="preserve">Bahia</w:t>
            </w:r>
          </w:p>
        </w:tc>
        <w:tc>
          <w:p>
            <w:pPr>
              <w:pStyle w:val="Compact"/>
              <w:jc w:val="left"/>
            </w:pPr>
            <w:r>
              <w:t xml:space="preserve">Ourolândia</w:t>
            </w:r>
          </w:p>
        </w:tc>
        <w:tc>
          <w:p>
            <w:pPr>
              <w:pStyle w:val="Compact"/>
              <w:jc w:val="left"/>
            </w:pPr>
            <w:r>
              <w:t xml:space="preserve">-41.083333</w:t>
            </w:r>
          </w:p>
        </w:tc>
        <w:tc>
          <w:p>
            <w:pPr>
              <w:pStyle w:val="Compact"/>
              <w:jc w:val="left"/>
            </w:pPr>
            <w:r>
              <w:t xml:space="preserve">-11.083333</w:t>
            </w:r>
          </w:p>
        </w:tc>
        <w:tc>
          <w:p>
            <w:pPr>
              <w:pStyle w:val="Compact"/>
              <w:jc w:val="left"/>
            </w:pPr>
            <w:hyperlink w:anchor="ref-claudio2018">
              <w:r>
                <w:rPr>
                  <w:rStyle w:val="Hyperlink"/>
                </w:rPr>
                <w:t xml:space="preserve">CLÁUDIO e colab.</w:t>
              </w:r>
            </w:hyperlink>
            <w:r>
              <w:t xml:space="preserve"> </w:t>
            </w:r>
            <w:r>
              <w:t xml:space="preserve">(</w:t>
            </w:r>
            <w:hyperlink w:anchor="ref-claudio2018">
              <w:r>
                <w:rPr>
                  <w:rStyle w:val="Hyperlink"/>
                </w:rPr>
                <w:t xml:space="preserve">2018</w:t>
              </w:r>
            </w:hyperlink>
            <w:r>
              <w:t xml:space="preserve">)</w:t>
            </w:r>
          </w:p>
        </w:tc>
      </w:tr>
    </w:tbl>
    <w:p>
      <w:pPr>
        <w:pStyle w:val="BodyText"/>
      </w:pPr>
      <w:r>
        <w:rPr>
          <w:bCs/>
          <w:b/>
        </w:rPr>
        <w:t xml:space="preserve">Tabela 3:</w:t>
      </w:r>
      <w:r>
        <w:t xml:space="preserve"> </w:t>
      </w:r>
      <w:r>
        <w:t xml:space="preserve">Descrição das variáveis bioclimáticas derivadas de valores de temperatura e pluviosidade</w:t>
      </w:r>
      <w:r>
        <w:t xml:space="preserve"> </w:t>
      </w:r>
      <w:r>
        <w:t xml:space="preserve">(</w:t>
      </w:r>
      <w:hyperlink w:anchor="ref-worldclim">
        <w:r>
          <w:rPr>
            <w:rStyle w:val="Hyperlink"/>
          </w:rPr>
          <w:t xml:space="preserve">FICK e HIJMANS, 2017</w:t>
        </w:r>
      </w:hyperlink>
      <w:r>
        <w:t xml:space="preserve">)</w:t>
      </w:r>
      <w:r>
        <w:t xml:space="preserve">.</w:t>
      </w:r>
    </w:p>
    <w:tbl>
      <w:tblPr>
        <w:tblStyle w:val="Table"/>
        <w:tblW w:type="pct" w:w="0.0"/>
        <w:tblLook w:firstRow="1" w:lastRow="0" w:firstColumn="0" w:lastColumn="0" w:noHBand="0" w:noVBand="0" w:val="0020"/>
      </w:tblPr>
      <w:tblGrid/>
      <w:tr>
        <w:tc>
          <w:p>
            <w:pPr>
              <w:pStyle w:val="Compact"/>
              <w:jc w:val="center"/>
            </w:pPr>
            <w:r>
              <w:t xml:space="preserve">Variáveis bioclimáticas</w:t>
            </w:r>
          </w:p>
        </w:tc>
        <w:tc>
          <w:p>
            <w:pPr>
              <w:pStyle w:val="Compact"/>
              <w:jc w:val="center"/>
            </w:pPr>
            <w:r>
              <w:t xml:space="preserve">Descrição</w:t>
            </w:r>
          </w:p>
        </w:tc>
      </w:tr>
      <w:tr>
        <w:tc>
          <w:p>
            <w:pPr>
              <w:pStyle w:val="Compact"/>
              <w:jc w:val="center"/>
            </w:pPr>
            <w:r>
              <w:t xml:space="preserve">Bio 1</w:t>
            </w:r>
          </w:p>
        </w:tc>
        <w:tc>
          <w:p>
            <w:pPr>
              <w:pStyle w:val="Compact"/>
              <w:jc w:val="center"/>
            </w:pPr>
            <w:r>
              <w:t xml:space="preserve">Temperatura média anual</w:t>
            </w:r>
          </w:p>
        </w:tc>
      </w:tr>
      <w:tr>
        <w:tc>
          <w:p>
            <w:pPr>
              <w:pStyle w:val="Compact"/>
              <w:jc w:val="center"/>
            </w:pPr>
            <w:r>
              <w:t xml:space="preserve">Bio 2</w:t>
            </w:r>
          </w:p>
        </w:tc>
        <w:tc>
          <w:p>
            <w:pPr>
              <w:pStyle w:val="Compact"/>
              <w:jc w:val="center"/>
            </w:pPr>
            <w:r>
              <w:t xml:space="preserve">Intervalo médio diurno (Média mensal (máx. temp. - mín temp.))</w:t>
            </w:r>
          </w:p>
        </w:tc>
      </w:tr>
      <w:tr>
        <w:tc>
          <w:p>
            <w:pPr>
              <w:pStyle w:val="Compact"/>
              <w:jc w:val="center"/>
            </w:pPr>
            <w:r>
              <w:t xml:space="preserve">Bio 3</w:t>
            </w:r>
          </w:p>
        </w:tc>
        <w:tc>
          <w:p>
            <w:pPr>
              <w:pStyle w:val="Compact"/>
              <w:jc w:val="center"/>
            </w:pPr>
            <w:r>
              <w:t xml:space="preserve">Isotermalidade</w:t>
            </w:r>
          </w:p>
        </w:tc>
      </w:tr>
      <w:tr>
        <w:tc>
          <w:p>
            <w:pPr>
              <w:pStyle w:val="Compact"/>
              <w:jc w:val="center"/>
            </w:pPr>
            <w:r>
              <w:t xml:space="preserve">Bio 4</w:t>
            </w:r>
          </w:p>
        </w:tc>
        <w:tc>
          <w:p>
            <w:pPr>
              <w:pStyle w:val="Compact"/>
              <w:jc w:val="center"/>
            </w:pPr>
            <w:r>
              <w:t xml:space="preserve">Sazonalidade de Temperatura (desvio padrão *100)</w:t>
            </w:r>
          </w:p>
        </w:tc>
      </w:tr>
      <w:tr>
        <w:tc>
          <w:p>
            <w:pPr>
              <w:pStyle w:val="Compact"/>
              <w:jc w:val="center"/>
            </w:pPr>
            <w:r>
              <w:t xml:space="preserve">Bio 5</w:t>
            </w:r>
          </w:p>
        </w:tc>
        <w:tc>
          <w:p>
            <w:pPr>
              <w:pStyle w:val="Compact"/>
              <w:jc w:val="center"/>
            </w:pPr>
            <w:r>
              <w:t xml:space="preserve">Temperatura máxima do mês mais quente</w:t>
            </w:r>
          </w:p>
        </w:tc>
      </w:tr>
      <w:tr>
        <w:tc>
          <w:p>
            <w:pPr>
              <w:pStyle w:val="Compact"/>
              <w:jc w:val="center"/>
            </w:pPr>
            <w:r>
              <w:t xml:space="preserve">Bio 6</w:t>
            </w:r>
          </w:p>
        </w:tc>
        <w:tc>
          <w:p>
            <w:pPr>
              <w:pStyle w:val="Compact"/>
              <w:jc w:val="center"/>
            </w:pPr>
            <w:r>
              <w:t xml:space="preserve">Temperatura mínima do mês mais frio</w:t>
            </w:r>
          </w:p>
        </w:tc>
      </w:tr>
      <w:tr>
        <w:tc>
          <w:p>
            <w:pPr>
              <w:pStyle w:val="Compact"/>
              <w:jc w:val="center"/>
            </w:pPr>
            <w:r>
              <w:t xml:space="preserve">Bio 7</w:t>
            </w:r>
          </w:p>
        </w:tc>
        <w:tc>
          <w:p>
            <w:pPr>
              <w:pStyle w:val="Compact"/>
              <w:jc w:val="center"/>
            </w:pPr>
            <w:r>
              <w:t xml:space="preserve">Intervalo da temperatura anual</w:t>
            </w:r>
          </w:p>
        </w:tc>
      </w:tr>
      <w:tr>
        <w:tc>
          <w:p>
            <w:pPr>
              <w:pStyle w:val="Compact"/>
              <w:jc w:val="center"/>
            </w:pPr>
            <w:r>
              <w:t xml:space="preserve">Bio 8</w:t>
            </w:r>
          </w:p>
        </w:tc>
        <w:tc>
          <w:p>
            <w:pPr>
              <w:pStyle w:val="Compact"/>
              <w:jc w:val="center"/>
            </w:pPr>
            <w:r>
              <w:t xml:space="preserve">Média da temperatura do quarto de ano mais úmido</w:t>
            </w:r>
          </w:p>
        </w:tc>
      </w:tr>
      <w:tr>
        <w:tc>
          <w:p>
            <w:pPr>
              <w:pStyle w:val="Compact"/>
              <w:jc w:val="center"/>
            </w:pPr>
            <w:r>
              <w:t xml:space="preserve">Bio 9</w:t>
            </w:r>
          </w:p>
        </w:tc>
        <w:tc>
          <w:p>
            <w:pPr>
              <w:pStyle w:val="Compact"/>
              <w:jc w:val="center"/>
            </w:pPr>
            <w:r>
              <w:t xml:space="preserve">Média da temperatura do quarto de ano mais seco</w:t>
            </w:r>
          </w:p>
        </w:tc>
      </w:tr>
      <w:tr>
        <w:tc>
          <w:p>
            <w:pPr>
              <w:pStyle w:val="Compact"/>
              <w:jc w:val="center"/>
            </w:pPr>
            <w:r>
              <w:t xml:space="preserve">Bio 10</w:t>
            </w:r>
          </w:p>
        </w:tc>
        <w:tc>
          <w:p>
            <w:pPr>
              <w:pStyle w:val="Compact"/>
              <w:jc w:val="center"/>
            </w:pPr>
            <w:r>
              <w:t xml:space="preserve">Média da temperatura do quarto de ano mais quente</w:t>
            </w:r>
          </w:p>
        </w:tc>
      </w:tr>
      <w:tr>
        <w:tc>
          <w:p>
            <w:pPr>
              <w:pStyle w:val="Compact"/>
              <w:jc w:val="center"/>
            </w:pPr>
            <w:r>
              <w:t xml:space="preserve">Bio 11</w:t>
            </w:r>
          </w:p>
        </w:tc>
        <w:tc>
          <w:p>
            <w:pPr>
              <w:pStyle w:val="Compact"/>
              <w:jc w:val="center"/>
            </w:pPr>
            <w:r>
              <w:t xml:space="preserve">Média da temperatura do quarto de ano mais frio</w:t>
            </w:r>
          </w:p>
        </w:tc>
      </w:tr>
      <w:tr>
        <w:tc>
          <w:p>
            <w:pPr>
              <w:pStyle w:val="Compact"/>
              <w:jc w:val="center"/>
            </w:pPr>
            <w:r>
              <w:t xml:space="preserve">Bio 12</w:t>
            </w:r>
          </w:p>
        </w:tc>
        <w:tc>
          <w:p>
            <w:pPr>
              <w:pStyle w:val="Compact"/>
              <w:jc w:val="center"/>
            </w:pPr>
            <w:r>
              <w:t xml:space="preserve">Precipitação anual</w:t>
            </w:r>
          </w:p>
        </w:tc>
      </w:tr>
      <w:tr>
        <w:tc>
          <w:p>
            <w:pPr>
              <w:pStyle w:val="Compact"/>
              <w:jc w:val="center"/>
            </w:pPr>
            <w:r>
              <w:t xml:space="preserve">Bio 13</w:t>
            </w:r>
          </w:p>
        </w:tc>
        <w:tc>
          <w:p>
            <w:pPr>
              <w:pStyle w:val="Compact"/>
              <w:jc w:val="center"/>
            </w:pPr>
            <w:r>
              <w:t xml:space="preserve">Precipitação do mês mais frio</w:t>
            </w:r>
          </w:p>
        </w:tc>
      </w:tr>
      <w:tr>
        <w:tc>
          <w:p>
            <w:pPr>
              <w:pStyle w:val="Compact"/>
              <w:jc w:val="center"/>
            </w:pPr>
            <w:r>
              <w:t xml:space="preserve">Bio 14</w:t>
            </w:r>
          </w:p>
        </w:tc>
        <w:tc>
          <w:p>
            <w:pPr>
              <w:pStyle w:val="Compact"/>
              <w:jc w:val="center"/>
            </w:pPr>
            <w:r>
              <w:t xml:space="preserve">Precipitação do mês mais seco</w:t>
            </w:r>
          </w:p>
        </w:tc>
      </w:tr>
      <w:tr>
        <w:tc>
          <w:p>
            <w:pPr>
              <w:pStyle w:val="Compact"/>
              <w:jc w:val="center"/>
            </w:pPr>
            <w:r>
              <w:t xml:space="preserve">Bio 15</w:t>
            </w:r>
          </w:p>
        </w:tc>
        <w:tc>
          <w:p>
            <w:pPr>
              <w:pStyle w:val="Compact"/>
              <w:jc w:val="center"/>
            </w:pPr>
            <w:r>
              <w:t xml:space="preserve">Sazonalidade de precipitação (Coeficiente de variação)</w:t>
            </w:r>
          </w:p>
        </w:tc>
      </w:tr>
      <w:tr>
        <w:tc>
          <w:p>
            <w:pPr>
              <w:pStyle w:val="Compact"/>
              <w:jc w:val="center"/>
            </w:pPr>
            <w:r>
              <w:t xml:space="preserve">Bio 16</w:t>
            </w:r>
          </w:p>
        </w:tc>
        <w:tc>
          <w:p>
            <w:pPr>
              <w:pStyle w:val="Compact"/>
              <w:jc w:val="center"/>
            </w:pPr>
            <w:r>
              <w:t xml:space="preserve">Precipitação do quadrimestre mais úmido</w:t>
            </w:r>
          </w:p>
        </w:tc>
      </w:tr>
      <w:tr>
        <w:tc>
          <w:p>
            <w:pPr>
              <w:pStyle w:val="Compact"/>
              <w:jc w:val="center"/>
            </w:pPr>
            <w:r>
              <w:t xml:space="preserve">Bio 17</w:t>
            </w:r>
          </w:p>
        </w:tc>
        <w:tc>
          <w:p>
            <w:pPr>
              <w:pStyle w:val="Compact"/>
              <w:jc w:val="center"/>
            </w:pPr>
            <w:r>
              <w:t xml:space="preserve">Precipitação do quadrimestre mais seco</w:t>
            </w:r>
          </w:p>
        </w:tc>
      </w:tr>
      <w:tr>
        <w:tc>
          <w:p>
            <w:pPr>
              <w:pStyle w:val="Compact"/>
              <w:jc w:val="center"/>
            </w:pPr>
            <w:r>
              <w:t xml:space="preserve">Bio 18</w:t>
            </w:r>
          </w:p>
        </w:tc>
        <w:tc>
          <w:p>
            <w:pPr>
              <w:pStyle w:val="Compact"/>
              <w:jc w:val="center"/>
            </w:pPr>
            <w:r>
              <w:t xml:space="preserve">Precipitação do quadrimestre mais quente</w:t>
            </w:r>
          </w:p>
        </w:tc>
      </w:tr>
      <w:tr>
        <w:tc>
          <w:p>
            <w:pPr>
              <w:pStyle w:val="Compact"/>
              <w:jc w:val="center"/>
            </w:pPr>
            <w:r>
              <w:t xml:space="preserve">Bio 19</w:t>
            </w:r>
          </w:p>
        </w:tc>
        <w:tc>
          <w:p>
            <w:pPr>
              <w:pStyle w:val="Compact"/>
              <w:jc w:val="center"/>
            </w:pPr>
            <w:r>
              <w:t xml:space="preserve">Precipitação do quadrimestre mais frio</w:t>
            </w:r>
          </w:p>
        </w:tc>
      </w:tr>
    </w:tbl>
    <w:p>
      <w:pPr>
        <w:pStyle w:val="BodyText"/>
      </w:pPr>
      <w:r>
        <w:rPr>
          <w:bCs/>
          <w:b/>
        </w:rPr>
        <w:t xml:space="preserve">Tabela 4:</w:t>
      </w:r>
      <w:r>
        <w:t xml:space="preserve"> </w:t>
      </w:r>
      <w:r>
        <w:t xml:space="preserve">Valores VIF das variáveis sem problema de colinearidade (VIF &lt; 10) da espécie</w:t>
      </w:r>
      <w:r>
        <w:t xml:space="preserve"> </w:t>
      </w:r>
      <w:r>
        <w:rPr>
          <w:iCs/>
          <w:i/>
        </w:rPr>
        <w:t xml:space="preserve">E. subsecundum</w:t>
      </w:r>
      <w:r>
        <w:t xml:space="preserve">.</w:t>
      </w:r>
    </w:p>
    <w:tbl>
      <w:tblPr>
        <w:tblStyle w:val="Table"/>
        <w:tblW w:type="pct" w:w="0.0"/>
        <w:tblLook w:firstRow="1" w:lastRow="0" w:firstColumn="0" w:lastColumn="0" w:noHBand="0" w:noVBand="0" w:val="0020"/>
      </w:tblPr>
      <w:tblGrid/>
      <w:tr>
        <w:tc>
          <w:p>
            <w:pPr>
              <w:pStyle w:val="Compact"/>
              <w:jc w:val="left"/>
            </w:pPr>
            <w:r>
              <w:t xml:space="preserve">Variável</w:t>
            </w:r>
          </w:p>
        </w:tc>
        <w:tc>
          <w:p>
            <w:pPr>
              <w:pStyle w:val="Compact"/>
              <w:jc w:val="left"/>
            </w:pPr>
            <w:r>
              <w:t xml:space="preserve">VIF</w:t>
            </w:r>
          </w:p>
        </w:tc>
      </w:tr>
      <w:tr>
        <w:tc>
          <w:p>
            <w:pPr>
              <w:pStyle w:val="Compact"/>
              <w:jc w:val="left"/>
            </w:pPr>
            <w:r>
              <w:t xml:space="preserve">Bio 3</w:t>
            </w:r>
          </w:p>
        </w:tc>
        <w:tc>
          <w:p>
            <w:pPr>
              <w:pStyle w:val="Compact"/>
              <w:jc w:val="left"/>
            </w:pPr>
            <w:r>
              <w:t xml:space="preserve">4.266921</w:t>
            </w:r>
          </w:p>
        </w:tc>
      </w:tr>
      <w:tr>
        <w:tc>
          <w:p>
            <w:pPr>
              <w:pStyle w:val="Compact"/>
              <w:jc w:val="left"/>
            </w:pPr>
            <w:r>
              <w:t xml:space="preserve">Bio 4</w:t>
            </w:r>
          </w:p>
        </w:tc>
        <w:tc>
          <w:p>
            <w:pPr>
              <w:pStyle w:val="Compact"/>
              <w:jc w:val="left"/>
            </w:pPr>
            <w:r>
              <w:t xml:space="preserve">6.135108</w:t>
            </w:r>
          </w:p>
        </w:tc>
      </w:tr>
      <w:tr>
        <w:tc>
          <w:p>
            <w:pPr>
              <w:pStyle w:val="Compact"/>
              <w:jc w:val="left"/>
            </w:pPr>
            <w:r>
              <w:t xml:space="preserve">Bio 7</w:t>
            </w:r>
          </w:p>
        </w:tc>
        <w:tc>
          <w:p>
            <w:pPr>
              <w:pStyle w:val="Compact"/>
              <w:jc w:val="left"/>
            </w:pPr>
            <w:r>
              <w:t xml:space="preserve">7.469114</w:t>
            </w:r>
          </w:p>
        </w:tc>
      </w:tr>
      <w:tr>
        <w:tc>
          <w:p>
            <w:pPr>
              <w:pStyle w:val="Compact"/>
              <w:jc w:val="left"/>
            </w:pPr>
            <w:r>
              <w:t xml:space="preserve">Bio 9</w:t>
            </w:r>
          </w:p>
        </w:tc>
        <w:tc>
          <w:p>
            <w:pPr>
              <w:pStyle w:val="Compact"/>
              <w:jc w:val="left"/>
            </w:pPr>
            <w:r>
              <w:t xml:space="preserve">2.401162</w:t>
            </w:r>
          </w:p>
        </w:tc>
      </w:tr>
      <w:tr>
        <w:tc>
          <w:p>
            <w:pPr>
              <w:pStyle w:val="Compact"/>
              <w:jc w:val="left"/>
            </w:pPr>
            <w:r>
              <w:t xml:space="preserve">Bio 13</w:t>
            </w:r>
          </w:p>
        </w:tc>
        <w:tc>
          <w:p>
            <w:pPr>
              <w:pStyle w:val="Compact"/>
              <w:jc w:val="left"/>
            </w:pPr>
            <w:r>
              <w:t xml:space="preserve">6.836922</w:t>
            </w:r>
          </w:p>
        </w:tc>
      </w:tr>
      <w:tr>
        <w:tc>
          <w:p>
            <w:pPr>
              <w:pStyle w:val="Compact"/>
              <w:jc w:val="left"/>
            </w:pPr>
            <w:r>
              <w:t xml:space="preserve">Bio 14</w:t>
            </w:r>
          </w:p>
        </w:tc>
        <w:tc>
          <w:p>
            <w:pPr>
              <w:pStyle w:val="Compact"/>
              <w:jc w:val="left"/>
            </w:pPr>
            <w:r>
              <w:t xml:space="preserve">6.308869</w:t>
            </w:r>
          </w:p>
        </w:tc>
      </w:tr>
      <w:tr>
        <w:tc>
          <w:p>
            <w:pPr>
              <w:pStyle w:val="Compact"/>
              <w:jc w:val="left"/>
            </w:pPr>
            <w:r>
              <w:t xml:space="preserve">Bio 19</w:t>
            </w:r>
          </w:p>
        </w:tc>
        <w:tc>
          <w:p>
            <w:pPr>
              <w:pStyle w:val="Compact"/>
              <w:jc w:val="left"/>
            </w:pPr>
            <w:r>
              <w:t xml:space="preserve">4.786559</w:t>
            </w:r>
          </w:p>
        </w:tc>
      </w:tr>
    </w:tbl>
    <w:p>
      <w:pPr>
        <w:pStyle w:val="BodyText"/>
      </w:pPr>
      <w:r>
        <w:rPr>
          <w:bCs/>
          <w:b/>
        </w:rPr>
        <w:t xml:space="preserve">Tabela 5:</w:t>
      </w:r>
      <w:r>
        <w:t xml:space="preserve"> </w:t>
      </w:r>
      <w:r>
        <w:t xml:space="preserve">Valores VIF das variáveis sem problema de colinearidade (VIF &lt; 10) da espécie</w:t>
      </w:r>
      <w:r>
        <w:t xml:space="preserve"> </w:t>
      </w:r>
      <w:r>
        <w:rPr>
          <w:iCs/>
          <w:i/>
        </w:rPr>
        <w:t xml:space="preserve">L. bokermanni</w:t>
      </w:r>
      <w:r>
        <w:t xml:space="preserve">.</w:t>
      </w:r>
    </w:p>
    <w:tbl>
      <w:tblPr>
        <w:tblStyle w:val="Table"/>
        <w:tblW w:type="pct" w:w="0.0"/>
        <w:tblLook w:firstRow="1" w:lastRow="0" w:firstColumn="0" w:lastColumn="0" w:noHBand="0" w:noVBand="0" w:val="0020"/>
      </w:tblPr>
      <w:tblGrid/>
      <w:tr>
        <w:tc>
          <w:p>
            <w:pPr>
              <w:pStyle w:val="Compact"/>
              <w:jc w:val="left"/>
            </w:pPr>
            <w:r>
              <w:t xml:space="preserve">Variável</w:t>
            </w:r>
          </w:p>
        </w:tc>
        <w:tc>
          <w:p>
            <w:pPr>
              <w:pStyle w:val="Compact"/>
              <w:jc w:val="left"/>
            </w:pPr>
            <w:r>
              <w:t xml:space="preserve">VIF</w:t>
            </w:r>
          </w:p>
        </w:tc>
      </w:tr>
      <w:tr>
        <w:tc>
          <w:p>
            <w:pPr>
              <w:pStyle w:val="Compact"/>
              <w:jc w:val="left"/>
            </w:pPr>
            <w:r>
              <w:t xml:space="preserve">Bio 15</w:t>
            </w:r>
          </w:p>
        </w:tc>
        <w:tc>
          <w:p>
            <w:pPr>
              <w:pStyle w:val="Compact"/>
              <w:jc w:val="left"/>
            </w:pPr>
            <w:r>
              <w:t xml:space="preserve">1.200694</w:t>
            </w:r>
          </w:p>
        </w:tc>
      </w:tr>
      <w:tr>
        <w:tc>
          <w:p>
            <w:pPr>
              <w:pStyle w:val="Compact"/>
              <w:jc w:val="left"/>
            </w:pPr>
            <w:r>
              <w:t xml:space="preserve">Bio 18</w:t>
            </w:r>
          </w:p>
        </w:tc>
        <w:tc>
          <w:p>
            <w:pPr>
              <w:pStyle w:val="Compact"/>
              <w:jc w:val="left"/>
            </w:pPr>
            <w:r>
              <w:t xml:space="preserve">1.200694</w:t>
            </w:r>
          </w:p>
        </w:tc>
      </w:tr>
    </w:tbl>
    <w:p>
      <w:pPr>
        <w:pStyle w:val="BodyText"/>
      </w:pPr>
      <w:r>
        <w:rPr>
          <w:bCs/>
          <w:b/>
        </w:rPr>
        <w:t xml:space="preserve">Tabela 6:</w:t>
      </w:r>
      <w:r>
        <w:t xml:space="preserve"> </w:t>
      </w:r>
      <w:r>
        <w:t xml:space="preserve">Área potencial (em</w:t>
      </w:r>
      <w:r>
        <w:t xml:space="preserve"> </w:t>
      </w:r>
      <m:oMath>
        <m:r>
          <m:t>k</m:t>
        </m:r>
        <m:sSup>
          <m:e>
            <m:r>
              <m:t>m</m:t>
            </m:r>
          </m:e>
          <m:sup>
            <m:r>
              <m:t>2</m:t>
            </m:r>
          </m:sup>
        </m:sSup>
      </m:oMath>
      <w:r>
        <w:t xml:space="preserve">) das espécies de acordo com o presente e os dois cenários climpaticos futuros.</w:t>
      </w:r>
      <w:r>
        <w:t xml:space="preserve"> </w:t>
      </w:r>
    </w:p>
    <w:tbl>
      <w:tblPr>
        <w:tblStyle w:val="Table"/>
        <w:tblW w:type="pct" w:w="0.0"/>
        <w:tblLook w:firstRow="1" w:lastRow="0" w:firstColumn="0" w:lastColumn="0" w:noHBand="0" w:noVBand="0" w:val="0020"/>
      </w:tblPr>
      <w:tblGrid/>
      <w:tr>
        <w:tc>
          <w:p>
            <w:pPr>
              <w:pStyle w:val="Compact"/>
              <w:jc w:val="left"/>
            </w:pPr>
            <w:r>
              <w:t xml:space="preserve">Espécie</w:t>
            </w:r>
          </w:p>
        </w:tc>
        <w:tc>
          <w:p>
            <w:pPr>
              <w:pStyle w:val="Compact"/>
              <w:jc w:val="left"/>
            </w:pPr>
            <w:r>
              <w:t xml:space="preserve">Cenário climático</w:t>
            </w:r>
          </w:p>
        </w:tc>
        <w:tc>
          <w:p>
            <w:pPr>
              <w:pStyle w:val="Compact"/>
              <w:jc w:val="left"/>
            </w:pPr>
            <w:r>
              <w:t xml:space="preserve">Área potencial</w:t>
            </w:r>
          </w:p>
        </w:tc>
      </w:tr>
      <w:tr>
        <w:tc>
          <w:p>
            <w:pPr>
              <w:pStyle w:val="Compact"/>
              <w:jc w:val="left"/>
            </w:pPr>
            <w:r>
              <w:rPr>
                <w:iCs/>
                <w:i/>
              </w:rPr>
              <w:t xml:space="preserve">Lonchophylla bokermanni</w:t>
            </w:r>
          </w:p>
        </w:tc>
        <w:tc>
          <w:p>
            <w:pPr>
              <w:pStyle w:val="Compact"/>
              <w:jc w:val="left"/>
            </w:pPr>
            <w:r>
              <w:t xml:space="preserve">Presente</w:t>
            </w:r>
          </w:p>
        </w:tc>
        <w:tc>
          <w:p>
            <w:pPr>
              <w:pStyle w:val="Compact"/>
              <w:jc w:val="left"/>
            </w:pPr>
            <w:r>
              <w:t xml:space="preserve">499674.7</w:t>
            </w:r>
          </w:p>
        </w:tc>
      </w:tr>
      <w:tr>
        <w:tc>
          <w:p/>
        </w:tc>
        <w:tc>
          <w:p>
            <w:pPr>
              <w:pStyle w:val="Compact"/>
              <w:jc w:val="left"/>
            </w:pPr>
            <w:r>
              <w:t xml:space="preserve">RCP 4.5 (2050)</w:t>
            </w:r>
          </w:p>
        </w:tc>
        <w:tc>
          <w:p>
            <w:pPr>
              <w:pStyle w:val="Compact"/>
              <w:jc w:val="left"/>
            </w:pPr>
            <w:r>
              <w:t xml:space="preserve">309803.4</w:t>
            </w:r>
          </w:p>
        </w:tc>
      </w:tr>
      <w:tr>
        <w:tc>
          <w:p/>
        </w:tc>
        <w:tc>
          <w:p>
            <w:pPr>
              <w:pStyle w:val="Compact"/>
              <w:jc w:val="left"/>
            </w:pPr>
            <w:r>
              <w:t xml:space="preserve">RCP 8.5 (2050)</w:t>
            </w:r>
          </w:p>
        </w:tc>
        <w:tc>
          <w:p>
            <w:pPr>
              <w:pStyle w:val="Compact"/>
              <w:jc w:val="left"/>
            </w:pPr>
            <w:r>
              <w:t xml:space="preserve">201510.3</w:t>
            </w:r>
          </w:p>
        </w:tc>
      </w:tr>
      <w:tr>
        <w:tc>
          <w:p>
            <w:pPr>
              <w:pStyle w:val="Compact"/>
              <w:jc w:val="left"/>
            </w:pPr>
            <w:r>
              <w:rPr>
                <w:iCs/>
                <w:i/>
              </w:rPr>
              <w:t xml:space="preserve">Encholirium subsecundum</w:t>
            </w:r>
          </w:p>
        </w:tc>
        <w:tc>
          <w:p>
            <w:pPr>
              <w:pStyle w:val="Compact"/>
              <w:jc w:val="left"/>
            </w:pPr>
            <w:r>
              <w:t xml:space="preserve">Presente</w:t>
            </w:r>
          </w:p>
        </w:tc>
        <w:tc>
          <w:p>
            <w:pPr>
              <w:pStyle w:val="Compact"/>
              <w:jc w:val="left"/>
            </w:pPr>
            <w:r>
              <w:t xml:space="preserve">513506.5</w:t>
            </w:r>
          </w:p>
        </w:tc>
      </w:tr>
      <w:tr>
        <w:tc>
          <w:p/>
        </w:tc>
        <w:tc>
          <w:p>
            <w:pPr>
              <w:pStyle w:val="Compact"/>
              <w:jc w:val="left"/>
            </w:pPr>
            <w:r>
              <w:t xml:space="preserve">RCP 4.5 (2050)</w:t>
            </w:r>
          </w:p>
        </w:tc>
        <w:tc>
          <w:p>
            <w:pPr>
              <w:pStyle w:val="Compact"/>
              <w:jc w:val="left"/>
            </w:pPr>
            <w:r>
              <w:t xml:space="preserve">140215.9</w:t>
            </w:r>
          </w:p>
        </w:tc>
      </w:tr>
      <w:tr>
        <w:tc>
          <w:p/>
        </w:tc>
        <w:tc>
          <w:p>
            <w:pPr>
              <w:pStyle w:val="Compact"/>
              <w:jc w:val="left"/>
            </w:pPr>
            <w:r>
              <w:t xml:space="preserve">RCP 8.5 (2050)</w:t>
            </w:r>
          </w:p>
        </w:tc>
        <w:tc>
          <w:p>
            <w:pPr>
              <w:pStyle w:val="Compact"/>
              <w:jc w:val="left"/>
            </w:pPr>
            <w:r>
              <w:t xml:space="preserve">97012.5</w:t>
            </w:r>
          </w:p>
        </w:tc>
      </w:tr>
    </w:tbl>
    <w:p>
      <w:pPr>
        <w:pStyle w:val="BodyText"/>
      </w:pPr>
      <w:r>
        <w:rPr>
          <w:bCs/>
          <w:b/>
        </w:rPr>
        <w:t xml:space="preserve">Tabela 7:</w:t>
      </w:r>
      <w:r>
        <w:t xml:space="preserve"> </w:t>
      </w:r>
      <w:r>
        <w:t xml:space="preserve">Contração, expansão ou não alteração relativa (em porcentagem) para a espécie de planta e morcego sob os dois cenários climáticos futuro, com relação à distribuição presente.</w:t>
      </w:r>
    </w:p>
    <w:tbl>
      <w:tblPr>
        <w:tblStyle w:val="Table"/>
        <w:tblW w:type="pct" w:w="5000.0"/>
        <w:tblLook w:firstRow="1" w:lastRow="0" w:firstColumn="0" w:lastColumn="0" w:noHBand="0" w:noVBand="0" w:val="0020"/>
      </w:tblPr>
      <w:tblGrid>
        <w:gridCol w:w="2491"/>
        <w:gridCol w:w="1512"/>
        <w:gridCol w:w="1067"/>
        <w:gridCol w:w="1067"/>
        <w:gridCol w:w="1779"/>
      </w:tblGrid>
      <w:tr>
        <w:tc>
          <w:p>
            <w:pPr>
              <w:pStyle w:val="Compact"/>
              <w:jc w:val="left"/>
            </w:pPr>
            <w:r>
              <w:t xml:space="preserve">Espécie</w:t>
            </w:r>
          </w:p>
        </w:tc>
        <w:tc>
          <w:p>
            <w:pPr>
              <w:pStyle w:val="Compact"/>
              <w:jc w:val="left"/>
            </w:pPr>
            <w:r>
              <w:t xml:space="preserve">Cenário</w:t>
            </w:r>
          </w:p>
        </w:tc>
        <w:tc>
          <w:p>
            <w:pPr>
              <w:pStyle w:val="Compact"/>
              <w:jc w:val="left"/>
            </w:pPr>
            <w:r>
              <w:t xml:space="preserve">Ganho (%)</w:t>
            </w:r>
          </w:p>
        </w:tc>
        <w:tc>
          <w:p>
            <w:pPr>
              <w:pStyle w:val="Compact"/>
              <w:jc w:val="left"/>
            </w:pPr>
            <w:r>
              <w:t xml:space="preserve">Perda (%)</w:t>
            </w:r>
          </w:p>
        </w:tc>
        <w:tc>
          <w:p>
            <w:pPr>
              <w:pStyle w:val="Compact"/>
              <w:jc w:val="left"/>
            </w:pPr>
            <w:r>
              <w:t xml:space="preserve">Sem alteração (%)</w:t>
            </w:r>
          </w:p>
        </w:tc>
      </w:tr>
      <w:tr>
        <w:tc>
          <w:p>
            <w:pPr>
              <w:pStyle w:val="Compact"/>
              <w:jc w:val="left"/>
            </w:pPr>
            <w:r>
              <w:rPr>
                <w:iCs/>
                <w:i/>
              </w:rPr>
              <w:t xml:space="preserve">Lonchophylla bokermanni</w:t>
            </w:r>
          </w:p>
        </w:tc>
        <w:tc>
          <w:p>
            <w:pPr>
              <w:pStyle w:val="Compact"/>
              <w:jc w:val="left"/>
            </w:pPr>
            <w:r>
              <w:t xml:space="preserve">RCP 4.5 (2050)</w:t>
            </w:r>
          </w:p>
        </w:tc>
        <w:tc>
          <w:p>
            <w:pPr>
              <w:pStyle w:val="Compact"/>
              <w:jc w:val="left"/>
            </w:pPr>
            <w:r>
              <w:t xml:space="preserve">0.67</w:t>
            </w:r>
          </w:p>
        </w:tc>
        <w:tc>
          <w:p>
            <w:pPr>
              <w:pStyle w:val="Compact"/>
              <w:jc w:val="left"/>
            </w:pPr>
            <w:r>
              <w:t xml:space="preserve">37.65</w:t>
            </w:r>
          </w:p>
        </w:tc>
        <w:tc>
          <w:p>
            <w:pPr>
              <w:pStyle w:val="Compact"/>
              <w:jc w:val="left"/>
            </w:pPr>
            <w:r>
              <w:t xml:space="preserve">61.68</w:t>
            </w:r>
          </w:p>
        </w:tc>
      </w:tr>
      <w:tr>
        <w:tc>
          <w:p/>
        </w:tc>
        <w:tc>
          <w:p>
            <w:pPr>
              <w:pStyle w:val="Compact"/>
              <w:jc w:val="left"/>
            </w:pPr>
            <w:r>
              <w:t xml:space="preserve">RCP 8.5 (2050)</w:t>
            </w:r>
          </w:p>
        </w:tc>
        <w:tc>
          <w:p>
            <w:pPr>
              <w:pStyle w:val="Compact"/>
              <w:jc w:val="left"/>
            </w:pPr>
            <w:r>
              <w:t xml:space="preserve">0.06</w:t>
            </w:r>
          </w:p>
        </w:tc>
        <w:tc>
          <w:p>
            <w:pPr>
              <w:pStyle w:val="Compact"/>
              <w:jc w:val="left"/>
            </w:pPr>
            <w:r>
              <w:t xml:space="preserve">58.12</w:t>
            </w:r>
          </w:p>
        </w:tc>
        <w:tc>
          <w:p>
            <w:pPr>
              <w:pStyle w:val="Compact"/>
              <w:jc w:val="left"/>
            </w:pPr>
            <w:r>
              <w:t xml:space="preserve">41.81</w:t>
            </w:r>
          </w:p>
        </w:tc>
      </w:tr>
      <w:tr>
        <w:tc>
          <w:p>
            <w:pPr>
              <w:pStyle w:val="Compact"/>
              <w:jc w:val="left"/>
            </w:pPr>
            <w:r>
              <w:rPr>
                <w:iCs/>
                <w:i/>
              </w:rPr>
              <w:t xml:space="preserve">Encholirium subsecundum</w:t>
            </w:r>
          </w:p>
        </w:tc>
        <w:tc>
          <w:p>
            <w:pPr>
              <w:pStyle w:val="Compact"/>
              <w:jc w:val="left"/>
            </w:pPr>
            <w:r>
              <w:t xml:space="preserve">RCP 4.5 (2050)</w:t>
            </w:r>
          </w:p>
        </w:tc>
        <w:tc>
          <w:p>
            <w:pPr>
              <w:pStyle w:val="Compact"/>
              <w:jc w:val="left"/>
            </w:pPr>
            <w:r>
              <w:t xml:space="preserve">0.08</w:t>
            </w:r>
          </w:p>
        </w:tc>
        <w:tc>
          <w:p>
            <w:pPr>
              <w:pStyle w:val="Compact"/>
              <w:jc w:val="left"/>
            </w:pPr>
            <w:r>
              <w:t xml:space="preserve">72.78</w:t>
            </w:r>
          </w:p>
        </w:tc>
        <w:tc>
          <w:p>
            <w:pPr>
              <w:pStyle w:val="Compact"/>
              <w:jc w:val="left"/>
            </w:pPr>
            <w:r>
              <w:t xml:space="preserve">27.14</w:t>
            </w:r>
          </w:p>
        </w:tc>
      </w:tr>
      <w:tr>
        <w:tc>
          <w:p/>
        </w:tc>
        <w:tc>
          <w:p>
            <w:pPr>
              <w:pStyle w:val="Compact"/>
              <w:jc w:val="left"/>
            </w:pPr>
            <w:r>
              <w:t xml:space="preserve">RCP 8.5 (2050)</w:t>
            </w:r>
          </w:p>
        </w:tc>
        <w:tc>
          <w:p>
            <w:pPr>
              <w:pStyle w:val="Compact"/>
              <w:jc w:val="left"/>
            </w:pPr>
            <w:r>
              <w:t xml:space="preserve">0.00</w:t>
            </w:r>
          </w:p>
        </w:tc>
        <w:tc>
          <w:p>
            <w:pPr>
              <w:pStyle w:val="Compact"/>
              <w:jc w:val="left"/>
            </w:pPr>
            <w:r>
              <w:t xml:space="preserve">81.11</w:t>
            </w:r>
          </w:p>
        </w:tc>
        <w:tc>
          <w:p>
            <w:pPr>
              <w:pStyle w:val="Compact"/>
              <w:jc w:val="left"/>
            </w:pPr>
            <w:r>
              <w:t xml:space="preserve">18.89</w:t>
            </w:r>
          </w:p>
        </w:tc>
      </w:tr>
    </w:tbl>
    <w:p>
      <w:pPr>
        <w:pStyle w:val="BodyText"/>
      </w:pPr>
      <w:r>
        <w:rPr>
          <w:bCs/>
          <w:b/>
        </w:rPr>
        <w:t xml:space="preserve">Tabela 8:</w:t>
      </w:r>
      <w:r>
        <w:t xml:space="preserve"> </w:t>
      </w:r>
      <w:r>
        <w:t xml:space="preserve">Distribuição com sobreposição (planta+morcego) nos 3 cenário climáticos e alteração com respeito à sobreposição do presente.</w:t>
      </w:r>
    </w:p>
    <w:tbl>
      <w:tblPr>
        <w:tblStyle w:val="Table"/>
        <w:tblW w:type="pct" w:w="5000.0"/>
        <w:tblLook w:firstRow="1" w:lastRow="0" w:firstColumn="0" w:lastColumn="0" w:noHBand="0" w:noVBand="0" w:val="0020"/>
      </w:tblPr>
      <w:tblGrid>
        <w:gridCol w:w="838"/>
        <w:gridCol w:w="1382"/>
        <w:gridCol w:w="2849"/>
        <w:gridCol w:w="2849"/>
      </w:tblGrid>
      <w:tr>
        <w:tc>
          <w:p>
            <w:pPr>
              <w:pStyle w:val="Compact"/>
              <w:jc w:val="left"/>
            </w:pPr>
            <w:r>
              <w:t xml:space="preserve">Cenário climático</w:t>
            </w:r>
          </w:p>
        </w:tc>
        <w:tc>
          <w:p>
            <w:pPr>
              <w:pStyle w:val="Compact"/>
              <w:jc w:val="left"/>
            </w:pPr>
            <w:r>
              <w:t xml:space="preserve">Área de sobreposição (</w:t>
            </w:r>
            <m:oMath>
              <m:r>
                <m:t>k</m:t>
              </m:r>
              <m:r>
                <m:t>m</m:t>
              </m:r>
              <m:r>
                <m:t>2</m:t>
              </m:r>
            </m:oMath>
            <w:r>
              <w:t xml:space="preserve">)</w:t>
            </w:r>
          </w:p>
        </w:tc>
        <w:tc>
          <w:p>
            <w:pPr>
              <w:pStyle w:val="Compact"/>
              <w:jc w:val="left"/>
            </w:pPr>
            <w:r>
              <w:t xml:space="preserve">Sobreposição com relação à distribuição do morcego no cenário (%)</w:t>
            </w:r>
          </w:p>
        </w:tc>
        <w:tc>
          <w:p>
            <w:pPr>
              <w:pStyle w:val="Compact"/>
              <w:jc w:val="left"/>
            </w:pPr>
            <w:r>
              <w:t xml:space="preserve">Sobreposição com relação à distribuição da planta no cenário (%)</w:t>
            </w:r>
          </w:p>
        </w:tc>
      </w:tr>
      <w:tr>
        <w:tc>
          <w:p>
            <w:pPr>
              <w:pStyle w:val="Compact"/>
              <w:jc w:val="left"/>
            </w:pPr>
            <w:r>
              <w:t xml:space="preserve">Presente</w:t>
            </w:r>
          </w:p>
        </w:tc>
        <w:tc>
          <w:p>
            <w:pPr>
              <w:pStyle w:val="Compact"/>
              <w:jc w:val="left"/>
            </w:pPr>
            <w:r>
              <w:t xml:space="preserve">369410.9</w:t>
            </w:r>
          </w:p>
        </w:tc>
        <w:tc>
          <w:p>
            <w:pPr>
              <w:pStyle w:val="Compact"/>
              <w:jc w:val="left"/>
            </w:pPr>
            <w:r>
              <w:t xml:space="preserve">73.93</w:t>
            </w:r>
          </w:p>
        </w:tc>
        <w:tc>
          <w:p>
            <w:pPr>
              <w:pStyle w:val="Compact"/>
              <w:jc w:val="left"/>
            </w:pPr>
            <w:r>
              <w:t xml:space="preserve">71.94</w:t>
            </w:r>
          </w:p>
        </w:tc>
      </w:tr>
      <w:tr>
        <w:tc>
          <w:p>
            <w:pPr>
              <w:pStyle w:val="Compact"/>
              <w:jc w:val="left"/>
            </w:pPr>
            <w:r>
              <w:t xml:space="preserve">RCP 4.5 (2050)</w:t>
            </w:r>
          </w:p>
        </w:tc>
        <w:tc>
          <w:p>
            <w:pPr>
              <w:pStyle w:val="Compact"/>
              <w:jc w:val="left"/>
            </w:pPr>
            <w:r>
              <w:t xml:space="preserve">119088.6</w:t>
            </w:r>
          </w:p>
        </w:tc>
        <w:tc>
          <w:p>
            <w:pPr>
              <w:pStyle w:val="Compact"/>
              <w:jc w:val="left"/>
            </w:pPr>
            <w:r>
              <w:t xml:space="preserve">38.44</w:t>
            </w:r>
          </w:p>
        </w:tc>
        <w:tc>
          <w:p>
            <w:pPr>
              <w:pStyle w:val="Compact"/>
              <w:jc w:val="left"/>
            </w:pPr>
            <w:r>
              <w:t xml:space="preserve">84.93</w:t>
            </w:r>
          </w:p>
        </w:tc>
      </w:tr>
      <w:tr>
        <w:tc>
          <w:p>
            <w:pPr>
              <w:pStyle w:val="Compact"/>
              <w:jc w:val="left"/>
            </w:pPr>
            <w:r>
              <w:t xml:space="preserve">RCP 8.5 (2050)</w:t>
            </w:r>
          </w:p>
        </w:tc>
        <w:tc>
          <w:p>
            <w:pPr>
              <w:pStyle w:val="Compact"/>
              <w:jc w:val="left"/>
            </w:pPr>
            <w:r>
              <w:t xml:space="preserve">74409.3</w:t>
            </w:r>
          </w:p>
        </w:tc>
        <w:tc>
          <w:p>
            <w:pPr>
              <w:pStyle w:val="Compact"/>
              <w:jc w:val="left"/>
            </w:pPr>
            <w:r>
              <w:t xml:space="preserve">36.92</w:t>
            </w:r>
          </w:p>
        </w:tc>
        <w:tc>
          <w:p>
            <w:pPr>
              <w:pStyle w:val="Compact"/>
              <w:jc w:val="left"/>
            </w:pPr>
            <w:r>
              <w:t xml:space="preserve">76.70</w:t>
            </w:r>
          </w:p>
        </w:tc>
      </w:tr>
    </w:tbl>
    <w:p>
      <w:pPr>
        <w:pStyle w:val="BodyText"/>
      </w:pPr>
      <w:r>
        <w:rPr>
          <w:bCs/>
          <w:b/>
        </w:rPr>
        <w:t xml:space="preserve">Tabela 9:</w:t>
      </w:r>
      <w:r>
        <w:t xml:space="preserve"> </w:t>
      </w:r>
      <w:r>
        <w:t xml:space="preserve">Distribuição sem sobreposição (desencontro geográfico) entre planta e morcego nos três cenários climáticos.</w:t>
      </w:r>
    </w:p>
    <w:tbl>
      <w:tblPr>
        <w:tblStyle w:val="Table"/>
        <w:tblW w:type="pct" w:w="5000.0"/>
        <w:tblLook w:firstRow="1" w:lastRow="0" w:firstColumn="0" w:lastColumn="0" w:noHBand="0" w:noVBand="0" w:val="0020"/>
      </w:tblPr>
      <w:tblGrid>
        <w:gridCol w:w="1572"/>
        <w:gridCol w:w="954"/>
        <w:gridCol w:w="1853"/>
        <w:gridCol w:w="3538"/>
      </w:tblGrid>
      <w:tr>
        <w:tc>
          <w:p>
            <w:pPr>
              <w:pStyle w:val="Compact"/>
              <w:jc w:val="left"/>
            </w:pPr>
            <w:r>
              <w:t xml:space="preserve">Espécie</w:t>
            </w:r>
          </w:p>
        </w:tc>
        <w:tc>
          <w:p>
            <w:pPr>
              <w:pStyle w:val="Compact"/>
              <w:jc w:val="left"/>
            </w:pPr>
            <w:r>
              <w:t xml:space="preserve">Cenário</w:t>
            </w:r>
          </w:p>
        </w:tc>
        <w:tc>
          <w:p>
            <w:pPr>
              <w:pStyle w:val="Compact"/>
              <w:jc w:val="left"/>
            </w:pPr>
            <w:r>
              <w:t xml:space="preserve">Área de desencontro geográfico</w:t>
            </w:r>
          </w:p>
        </w:tc>
        <w:tc>
          <w:p>
            <w:pPr>
              <w:pStyle w:val="Compact"/>
              <w:jc w:val="left"/>
            </w:pPr>
            <w:r>
              <w:t xml:space="preserve">Porcentagem com relação à distribuição da espécie no cenário</w:t>
            </w:r>
          </w:p>
        </w:tc>
      </w:tr>
      <w:tr>
        <w:tc>
          <w:p>
            <w:pPr>
              <w:pStyle w:val="Compact"/>
              <w:jc w:val="left"/>
            </w:pPr>
            <w:r>
              <w:rPr>
                <w:iCs/>
                <w:i/>
              </w:rPr>
              <w:t xml:space="preserve">Lonchophylla bokermanni</w:t>
            </w:r>
          </w:p>
        </w:tc>
        <w:tc>
          <w:p>
            <w:pPr>
              <w:pStyle w:val="Compact"/>
              <w:jc w:val="left"/>
            </w:pPr>
            <w:r>
              <w:t xml:space="preserve">Presente</w:t>
            </w:r>
          </w:p>
        </w:tc>
        <w:tc>
          <w:p>
            <w:pPr>
              <w:pStyle w:val="Compact"/>
              <w:jc w:val="left"/>
            </w:pPr>
            <w:r>
              <w:t xml:space="preserve">130263.7</w:t>
            </w:r>
          </w:p>
        </w:tc>
        <w:tc>
          <w:p>
            <w:pPr>
              <w:pStyle w:val="Compact"/>
              <w:jc w:val="left"/>
            </w:pPr>
            <w:r>
              <w:t xml:space="preserve">26.07</w:t>
            </w:r>
          </w:p>
        </w:tc>
      </w:tr>
      <w:tr>
        <w:tc>
          <w:p/>
        </w:tc>
        <w:tc>
          <w:p>
            <w:pPr>
              <w:pStyle w:val="Compact"/>
              <w:jc w:val="left"/>
            </w:pPr>
            <w:r>
              <w:t xml:space="preserve">RCP 4.5 (2050)</w:t>
            </w:r>
          </w:p>
        </w:tc>
        <w:tc>
          <w:p>
            <w:pPr>
              <w:pStyle w:val="Compact"/>
              <w:jc w:val="left"/>
            </w:pPr>
            <w:r>
              <w:t xml:space="preserve">190714.7</w:t>
            </w:r>
          </w:p>
        </w:tc>
        <w:tc>
          <w:p>
            <w:pPr>
              <w:pStyle w:val="Compact"/>
              <w:jc w:val="left"/>
            </w:pPr>
            <w:r>
              <w:t xml:space="preserve">61.56</w:t>
            </w:r>
          </w:p>
        </w:tc>
      </w:tr>
      <w:tr>
        <w:tc>
          <w:p/>
        </w:tc>
        <w:tc>
          <w:p>
            <w:pPr>
              <w:pStyle w:val="Compact"/>
              <w:jc w:val="left"/>
            </w:pPr>
            <w:r>
              <w:t xml:space="preserve">RCP 8.5 (2050)</w:t>
            </w:r>
          </w:p>
        </w:tc>
        <w:tc>
          <w:p>
            <w:pPr>
              <w:pStyle w:val="Compact"/>
              <w:jc w:val="left"/>
            </w:pPr>
            <w:r>
              <w:t xml:space="preserve">127101.0</w:t>
            </w:r>
          </w:p>
        </w:tc>
        <w:tc>
          <w:p>
            <w:pPr>
              <w:pStyle w:val="Compact"/>
              <w:jc w:val="left"/>
            </w:pPr>
            <w:r>
              <w:t xml:space="preserve">63.07</w:t>
            </w:r>
          </w:p>
        </w:tc>
      </w:tr>
      <w:tr>
        <w:tc>
          <w:p>
            <w:pPr>
              <w:pStyle w:val="Compact"/>
              <w:jc w:val="left"/>
            </w:pPr>
            <w:r>
              <w:rPr>
                <w:iCs/>
                <w:i/>
              </w:rPr>
              <w:t xml:space="preserve">Encholirium subsecundum</w:t>
            </w:r>
          </w:p>
        </w:tc>
        <w:tc>
          <w:p>
            <w:pPr>
              <w:pStyle w:val="Compact"/>
              <w:jc w:val="left"/>
            </w:pPr>
            <w:r>
              <w:t xml:space="preserve">Presente</w:t>
            </w:r>
          </w:p>
        </w:tc>
        <w:tc>
          <w:p>
            <w:pPr>
              <w:pStyle w:val="Compact"/>
              <w:jc w:val="left"/>
            </w:pPr>
            <w:r>
              <w:t xml:space="preserve">144095.6</w:t>
            </w:r>
          </w:p>
        </w:tc>
        <w:tc>
          <w:p>
            <w:pPr>
              <w:pStyle w:val="Compact"/>
              <w:jc w:val="left"/>
            </w:pPr>
            <w:r>
              <w:t xml:space="preserve">28.06</w:t>
            </w:r>
          </w:p>
        </w:tc>
      </w:tr>
      <w:tr>
        <w:tc>
          <w:p/>
        </w:tc>
        <w:tc>
          <w:p>
            <w:pPr>
              <w:pStyle w:val="Compact"/>
              <w:jc w:val="left"/>
            </w:pPr>
            <w:r>
              <w:t xml:space="preserve">RCP 4.5 (2050)</w:t>
            </w:r>
          </w:p>
        </w:tc>
        <w:tc>
          <w:p>
            <w:pPr>
              <w:pStyle w:val="Compact"/>
              <w:jc w:val="left"/>
            </w:pPr>
            <w:r>
              <w:t xml:space="preserve">21127.3</w:t>
            </w:r>
          </w:p>
        </w:tc>
        <w:tc>
          <w:p>
            <w:pPr>
              <w:pStyle w:val="Compact"/>
              <w:jc w:val="left"/>
            </w:pPr>
            <w:r>
              <w:t xml:space="preserve">15.07</w:t>
            </w:r>
          </w:p>
        </w:tc>
      </w:tr>
      <w:tr>
        <w:tc>
          <w:p/>
        </w:tc>
        <w:tc>
          <w:p>
            <w:pPr>
              <w:pStyle w:val="Compact"/>
              <w:jc w:val="left"/>
            </w:pPr>
            <w:r>
              <w:t xml:space="preserve">RCP 8.5 (2050)</w:t>
            </w:r>
          </w:p>
        </w:tc>
        <w:tc>
          <w:p>
            <w:pPr>
              <w:pStyle w:val="Compact"/>
              <w:jc w:val="left"/>
            </w:pPr>
            <w:r>
              <w:t xml:space="preserve">22603.2</w:t>
            </w:r>
          </w:p>
        </w:tc>
        <w:tc>
          <w:p>
            <w:pPr>
              <w:pStyle w:val="Compact"/>
              <w:jc w:val="left"/>
            </w:pPr>
            <w:r>
              <w:t xml:space="preserve">23.30</w:t>
            </w:r>
          </w:p>
        </w:tc>
      </w:tr>
    </w:tbl>
    <w:bookmarkEnd w:id="45"/>
    <w:bookmarkStart w:id="60" w:name="figuras"/>
    <w:p>
      <w:pPr>
        <w:pStyle w:val="Heading2"/>
      </w:pPr>
      <w:r>
        <w:t xml:space="preserve">Figuras</w:t>
      </w:r>
    </w:p>
    <w:p>
      <w:pPr>
        <w:pStyle w:val="FirstParagraph"/>
      </w:pPr>
      <w:r>
        <w:drawing>
          <wp:inline>
            <wp:extent cx="5334000" cy="3577293"/>
            <wp:effectExtent b="0" l="0" r="0" t="0"/>
            <wp:docPr descr="Importância relativa das variáveis para o modelo cheio da espécie de planta (acima) e para o morcego (abaixo)" title="" id="1" name="Picture"/>
            <a:graphic>
              <a:graphicData uri="http://schemas.openxmlformats.org/drawingml/2006/picture">
                <pic:pic>
                  <pic:nvPicPr>
                    <pic:cNvPr descr="../Rmarkdown/importancia_vars_planta.png" id="0" name="Picture"/>
                    <pic:cNvPicPr>
                      <a:picLocks noChangeArrowheads="1" noChangeAspect="1"/>
                    </pic:cNvPicPr>
                  </pic:nvPicPr>
                  <pic:blipFill>
                    <a:blip r:embed="rId46"/>
                    <a:stretch>
                      <a:fillRect/>
                    </a:stretch>
                  </pic:blipFill>
                  <pic:spPr bwMode="auto">
                    <a:xfrm>
                      <a:off x="0" y="0"/>
                      <a:ext cx="5334000" cy="3577293"/>
                    </a:xfrm>
                    <a:prstGeom prst="rect">
                      <a:avLst/>
                    </a:prstGeom>
                    <a:noFill/>
                    <a:ln w="9525">
                      <a:noFill/>
                      <a:headEnd/>
                      <a:tailEnd/>
                    </a:ln>
                  </pic:spPr>
                </pic:pic>
              </a:graphicData>
            </a:graphic>
          </wp:inline>
        </w:drawing>
      </w:r>
      <w:r>
        <w:drawing>
          <wp:inline>
            <wp:extent cx="5334000" cy="3579113"/>
            <wp:effectExtent b="0" l="0" r="0" t="0"/>
            <wp:docPr descr="Importância relativa das variáveis para o modelo cheio da espécie de planta (acima) e para o morcego (abaixo)" title="" id="1" name="Picture"/>
            <a:graphic>
              <a:graphicData uri="http://schemas.openxmlformats.org/drawingml/2006/picture">
                <pic:pic>
                  <pic:nvPicPr>
                    <pic:cNvPr descr="importancia_vars_morcego.png" id="0" name="Picture"/>
                    <pic:cNvPicPr>
                      <a:picLocks noChangeArrowheads="1" noChangeAspect="1"/>
                    </pic:cNvPicPr>
                  </pic:nvPicPr>
                  <pic:blipFill>
                    <a:blip r:embed="rId47"/>
                    <a:stretch>
                      <a:fillRect/>
                    </a:stretch>
                  </pic:blipFill>
                  <pic:spPr bwMode="auto">
                    <a:xfrm>
                      <a:off x="0" y="0"/>
                      <a:ext cx="5334000" cy="3579113"/>
                    </a:xfrm>
                    <a:prstGeom prst="rect">
                      <a:avLst/>
                    </a:prstGeom>
                    <a:noFill/>
                    <a:ln w="9525">
                      <a:noFill/>
                      <a:headEnd/>
                      <a:tailEnd/>
                    </a:ln>
                  </pic:spPr>
                </pic:pic>
              </a:graphicData>
            </a:graphic>
          </wp:inline>
        </w:drawing>
      </w:r>
    </w:p>
    <w:p>
      <w:pPr>
        <w:pStyle w:val="CaptionedFigure"/>
      </w:pPr>
      <w:r>
        <w:drawing>
          <wp:inline>
            <wp:extent cx="5334000" cy="3043651"/>
            <wp:effectExtent b="0" l="0" r="0" t="0"/>
            <wp:docPr descr="Valores médio de AUC para os 25 modelos gerados para a espécie Encholirium subsecundum com replicação por subsampling (à esquerda) e 25 por bootstrap (à direita)" title="" id="1" name="Picture"/>
            <a:graphic>
              <a:graphicData uri="http://schemas.openxmlformats.org/drawingml/2006/picture">
                <pic:pic>
                  <pic:nvPicPr>
                    <pic:cNvPr descr="AUC_subsecundum.png" id="0" name="Picture"/>
                    <pic:cNvPicPr>
                      <a:picLocks noChangeArrowheads="1" noChangeAspect="1"/>
                    </pic:cNvPicPr>
                  </pic:nvPicPr>
                  <pic:blipFill>
                    <a:blip r:embed="rId48"/>
                    <a:stretch>
                      <a:fillRect/>
                    </a:stretch>
                  </pic:blipFill>
                  <pic:spPr bwMode="auto">
                    <a:xfrm>
                      <a:off x="0" y="0"/>
                      <a:ext cx="5334000" cy="3043651"/>
                    </a:xfrm>
                    <a:prstGeom prst="rect">
                      <a:avLst/>
                    </a:prstGeom>
                    <a:noFill/>
                    <a:ln w="9525">
                      <a:noFill/>
                      <a:headEnd/>
                      <a:tailEnd/>
                    </a:ln>
                  </pic:spPr>
                </pic:pic>
              </a:graphicData>
            </a:graphic>
          </wp:inline>
        </w:drawing>
      </w:r>
    </w:p>
    <w:p>
      <w:pPr>
        <w:pStyle w:val="ImageCaption"/>
      </w:pPr>
      <w:r>
        <w:t xml:space="preserve">Valores médio de AUC para os 25 modelos gerados para a espécie</w:t>
      </w:r>
      <w:r>
        <w:t xml:space="preserve"> </w:t>
      </w:r>
      <w:r>
        <w:rPr>
          <w:iCs/>
          <w:i/>
        </w:rPr>
        <w:t xml:space="preserve">Encholirium subsecundum</w:t>
      </w:r>
      <w:r>
        <w:t xml:space="preserve"> </w:t>
      </w:r>
      <w:r>
        <w:t xml:space="preserve">com replicação por</w:t>
      </w:r>
      <w:r>
        <w:t xml:space="preserve"> </w:t>
      </w:r>
      <w:r>
        <w:rPr>
          <w:iCs/>
          <w:i/>
        </w:rPr>
        <w:t xml:space="preserve">subsampling</w:t>
      </w:r>
      <w:r>
        <w:t xml:space="preserve"> </w:t>
      </w:r>
      <w:r>
        <w:t xml:space="preserve">(à esquerda) e 25 por</w:t>
      </w:r>
      <w:r>
        <w:t xml:space="preserve"> </w:t>
      </w:r>
      <w:r>
        <w:rPr>
          <w:iCs/>
          <w:i/>
        </w:rPr>
        <w:t xml:space="preserve">bootstrap</w:t>
      </w:r>
      <w:r>
        <w:t xml:space="preserve"> </w:t>
      </w:r>
      <w:r>
        <w:t xml:space="preserve">(à direita)</w:t>
      </w:r>
    </w:p>
    <w:p>
      <w:pPr>
        <w:pStyle w:val="CaptionedFigure"/>
      </w:pPr>
      <w:r>
        <w:drawing>
          <wp:inline>
            <wp:extent cx="5334000" cy="3043651"/>
            <wp:effectExtent b="0" l="0" r="0" t="0"/>
            <wp:docPr descr="Valores médio de AUC para os 25 modelos gerados para a espécie Lonchophylla bokermanni com replicação por subsampling (à esquerda) e 25 por bootstrap (à direita)" title="" id="1" name="Picture"/>
            <a:graphic>
              <a:graphicData uri="http://schemas.openxmlformats.org/drawingml/2006/picture">
                <pic:pic>
                  <pic:nvPicPr>
                    <pic:cNvPr descr="AUC_bokermanni.png" id="0" name="Picture"/>
                    <pic:cNvPicPr>
                      <a:picLocks noChangeArrowheads="1" noChangeAspect="1"/>
                    </pic:cNvPicPr>
                  </pic:nvPicPr>
                  <pic:blipFill>
                    <a:blip r:embed="rId49"/>
                    <a:stretch>
                      <a:fillRect/>
                    </a:stretch>
                  </pic:blipFill>
                  <pic:spPr bwMode="auto">
                    <a:xfrm>
                      <a:off x="0" y="0"/>
                      <a:ext cx="5334000" cy="3043651"/>
                    </a:xfrm>
                    <a:prstGeom prst="rect">
                      <a:avLst/>
                    </a:prstGeom>
                    <a:noFill/>
                    <a:ln w="9525">
                      <a:noFill/>
                      <a:headEnd/>
                      <a:tailEnd/>
                    </a:ln>
                  </pic:spPr>
                </pic:pic>
              </a:graphicData>
            </a:graphic>
          </wp:inline>
        </w:drawing>
      </w:r>
    </w:p>
    <w:p>
      <w:pPr>
        <w:pStyle w:val="ImageCaption"/>
      </w:pPr>
      <w:r>
        <w:t xml:space="preserve">Valores médio de AUC para os 25 modelos gerados para a espécie</w:t>
      </w:r>
      <w:r>
        <w:t xml:space="preserve"> </w:t>
      </w:r>
      <w:r>
        <w:rPr>
          <w:iCs/>
          <w:i/>
        </w:rPr>
        <w:t xml:space="preserve">Lonchophylla bokermanni</w:t>
      </w:r>
      <w:r>
        <w:t xml:space="preserve"> </w:t>
      </w:r>
      <w:r>
        <w:t xml:space="preserve">com replicação por</w:t>
      </w:r>
      <w:r>
        <w:t xml:space="preserve"> </w:t>
      </w:r>
      <w:r>
        <w:rPr>
          <w:iCs/>
          <w:i/>
        </w:rPr>
        <w:t xml:space="preserve">subsampling</w:t>
      </w:r>
      <w:r>
        <w:t xml:space="preserve"> </w:t>
      </w:r>
      <w:r>
        <w:t xml:space="preserve">(à esquerda) e 25 por</w:t>
      </w:r>
      <w:r>
        <w:t xml:space="preserve"> </w:t>
      </w:r>
      <w:r>
        <w:rPr>
          <w:iCs/>
          <w:i/>
        </w:rPr>
        <w:t xml:space="preserve">bootstrap</w:t>
      </w:r>
      <w:r>
        <w:t xml:space="preserve"> </w:t>
      </w:r>
      <w:r>
        <w:t xml:space="preserve">(à direita)</w:t>
      </w:r>
    </w:p>
    <w:p>
      <w:pPr>
        <w:pStyle w:val="CaptionedFigure"/>
      </w:pPr>
      <w:r>
        <w:drawing>
          <wp:inline>
            <wp:extent cx="5334000" cy="5778499"/>
            <wp:effectExtent b="0" l="0" r="0" t="0"/>
            <wp:docPr descr="Distribuição potencial de Encholirium subsecundum (em vermelho) para o presente." title="" id="1" name="Picture"/>
            <a:graphic>
              <a:graphicData uri="http://schemas.openxmlformats.org/drawingml/2006/picture">
                <pic:pic>
                  <pic:nvPicPr>
                    <pic:cNvPr descr="../Graficos/E_subsecundum_mapas_feitos/presente_e_biomas.jpeg" id="0" name="Picture"/>
                    <pic:cNvPicPr>
                      <a:picLocks noChangeArrowheads="1" noChangeAspect="1"/>
                    </pic:cNvPicPr>
                  </pic:nvPicPr>
                  <pic:blipFill>
                    <a:blip r:embed="rId50"/>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presente.</w:t>
      </w:r>
    </w:p>
    <w:p>
      <w:pPr>
        <w:pStyle w:val="CaptionedFigure"/>
      </w:pPr>
      <w:r>
        <w:drawing>
          <wp:inline>
            <wp:extent cx="5334000" cy="5778499"/>
            <wp:effectExtent b="0" l="0" r="0" t="0"/>
            <wp:docPr descr="Distribuição potencial de Encholirium subsecundum (em vermelho) para o cenário futuro de RCP 4.5 (2050)." title="" id="1" name="Picture"/>
            <a:graphic>
              <a:graphicData uri="http://schemas.openxmlformats.org/drawingml/2006/picture">
                <pic:pic>
                  <pic:nvPicPr>
                    <pic:cNvPr descr="../Graficos/E_subsecundum_mapas_feitos/RCP45.jpeg" id="0" name="Picture"/>
                    <pic:cNvPicPr>
                      <a:picLocks noChangeArrowheads="1" noChangeAspect="1"/>
                    </pic:cNvPicPr>
                  </pic:nvPicPr>
                  <pic:blipFill>
                    <a:blip r:embed="rId51"/>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cenário futuro de RCP 4.5 (2050).</w:t>
      </w:r>
    </w:p>
    <w:p>
      <w:pPr>
        <w:pStyle w:val="CaptionedFigure"/>
      </w:pPr>
      <w:r>
        <w:drawing>
          <wp:inline>
            <wp:extent cx="5334000" cy="5778499"/>
            <wp:effectExtent b="0" l="0" r="0" t="0"/>
            <wp:docPr descr="Distribuição potencial de Encholirium subsecundum (em vermelho) para o cenário futuro de RCP 8.5 (2050)." title="" id="1" name="Picture"/>
            <a:graphic>
              <a:graphicData uri="http://schemas.openxmlformats.org/drawingml/2006/picture">
                <pic:pic>
                  <pic:nvPicPr>
                    <pic:cNvPr descr="../Graficos/E_subsecundum_mapas_feitos/RCP85.jpeg" id="0" name="Picture"/>
                    <pic:cNvPicPr>
                      <a:picLocks noChangeArrowheads="1" noChangeAspect="1"/>
                    </pic:cNvPicPr>
                  </pic:nvPicPr>
                  <pic:blipFill>
                    <a:blip r:embed="rId52"/>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Encholirium subsecundum</w:t>
      </w:r>
      <w:r>
        <w:t xml:space="preserve"> </w:t>
      </w:r>
      <w:r>
        <w:t xml:space="preserve">(em vermelho) para o cenário futuro de RCP 8.5 (2050).</w:t>
      </w:r>
    </w:p>
    <w:p>
      <w:pPr>
        <w:pStyle w:val="CaptionedFigure"/>
      </w:pPr>
      <w:r>
        <w:drawing>
          <wp:inline>
            <wp:extent cx="5334000" cy="5778499"/>
            <wp:effectExtent b="0" l="0" r="0" t="0"/>
            <wp:docPr descr="Mapa de alteração da distribuição potencial de Encholirium subsecundum no cenário RCP 4.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E_subsecundum_mapas_feitos/alteracao_RCP45.jpeg" id="0" name="Picture"/>
                    <pic:cNvPicPr>
                      <a:picLocks noChangeArrowheads="1" noChangeAspect="1"/>
                    </pic:cNvPicPr>
                  </pic:nvPicPr>
                  <pic:blipFill>
                    <a:blip r:embed="rId53"/>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Encholirium subsecundum</w:t>
      </w:r>
      <w:r>
        <w:t xml:space="preserve"> </w:t>
      </w:r>
      <w:r>
        <w:t xml:space="preserve">no cenário RCP 4.5 (2050) em relação à distribuição do presente. A área em vermelho, amarelo e azul representam a distribuição sem alteração, perdida e ganha, respectivamente.</w:t>
      </w:r>
    </w:p>
    <w:p>
      <w:pPr>
        <w:pStyle w:val="CaptionedFigure"/>
      </w:pPr>
      <w:r>
        <w:drawing>
          <wp:inline>
            <wp:extent cx="5334000" cy="5778499"/>
            <wp:effectExtent b="0" l="0" r="0" t="0"/>
            <wp:docPr descr="Mapa de alteração da distribuição potencial de Encholirium subsecundum no cenário RCP 8.5 (2050) em relação à distribuição do presente. A área em vermelho e amarelo representam a distribuição sem alteração e perdida. Não houve distribuição ganha da planta no RCP 8.5." title="" id="1" name="Picture"/>
            <a:graphic>
              <a:graphicData uri="http://schemas.openxmlformats.org/drawingml/2006/picture">
                <pic:pic>
                  <pic:nvPicPr>
                    <pic:cNvPr descr="../Graficos/E_subsecundum_mapas_feitos/alteracao_RCP85.jpeg" id="0" name="Picture"/>
                    <pic:cNvPicPr>
                      <a:picLocks noChangeArrowheads="1" noChangeAspect="1"/>
                    </pic:cNvPicPr>
                  </pic:nvPicPr>
                  <pic:blipFill>
                    <a:blip r:embed="rId54"/>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Encholirium subsecundum</w:t>
      </w:r>
      <w:r>
        <w:t xml:space="preserve"> </w:t>
      </w:r>
      <w:r>
        <w:t xml:space="preserve">no cenário RCP 8.5 (2050) em relação à distribuição do presente. A área em vermelho e amarelo representam a distribuição sem alteração e perdida. Não houve distribuição ganha da planta no RCP 8.5.</w:t>
      </w:r>
    </w:p>
    <w:p>
      <w:pPr>
        <w:pStyle w:val="CaptionedFigure"/>
      </w:pPr>
      <w:r>
        <w:drawing>
          <wp:inline>
            <wp:extent cx="5334000" cy="5778499"/>
            <wp:effectExtent b="0" l="0" r="0" t="0"/>
            <wp:docPr descr="Distribuição potencial de Lonchophylla bokermanni (em vermelho) para o presente." title="" id="1" name="Picture"/>
            <a:graphic>
              <a:graphicData uri="http://schemas.openxmlformats.org/drawingml/2006/picture">
                <pic:pic>
                  <pic:nvPicPr>
                    <pic:cNvPr descr="../Graficos/L_bokermanni_mapas_feitos/presente_e_biomas.jpeg" id="0" name="Picture"/>
                    <pic:cNvPicPr>
                      <a:picLocks noChangeArrowheads="1" noChangeAspect="1"/>
                    </pic:cNvPicPr>
                  </pic:nvPicPr>
                  <pic:blipFill>
                    <a:blip r:embed="rId55"/>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presente.</w:t>
      </w:r>
    </w:p>
    <w:p>
      <w:pPr>
        <w:pStyle w:val="CaptionedFigure"/>
      </w:pPr>
      <w:r>
        <w:drawing>
          <wp:inline>
            <wp:extent cx="5334000" cy="5778499"/>
            <wp:effectExtent b="0" l="0" r="0" t="0"/>
            <wp:docPr descr="Distribuição potencial de Lonchophylla bokermanni (em vermelho) para o cenário futuro de RCP 4.5." title="" id="1" name="Picture"/>
            <a:graphic>
              <a:graphicData uri="http://schemas.openxmlformats.org/drawingml/2006/picture">
                <pic:pic>
                  <pic:nvPicPr>
                    <pic:cNvPr descr="../Graficos/L_bokermanni_mapas_feitos/RCP45.jpeg" id="0" name="Picture"/>
                    <pic:cNvPicPr>
                      <a:picLocks noChangeArrowheads="1" noChangeAspect="1"/>
                    </pic:cNvPicPr>
                  </pic:nvPicPr>
                  <pic:blipFill>
                    <a:blip r:embed="rId56"/>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cenário futuro de RCP 4.5.</w:t>
      </w:r>
    </w:p>
    <w:p>
      <w:pPr>
        <w:pStyle w:val="CaptionedFigure"/>
      </w:pPr>
      <w:r>
        <w:drawing>
          <wp:inline>
            <wp:extent cx="5334000" cy="5778499"/>
            <wp:effectExtent b="0" l="0" r="0" t="0"/>
            <wp:docPr descr="Distribuição potencial de Lonchophylla bokermanni (em vermelho) para o cenário futuro de RCP 8.5." title="" id="1" name="Picture"/>
            <a:graphic>
              <a:graphicData uri="http://schemas.openxmlformats.org/drawingml/2006/picture">
                <pic:pic>
                  <pic:nvPicPr>
                    <pic:cNvPr descr="../Graficos/L_bokermanni_mapas_feitos/RCP85.jpeg" id="0" name="Picture"/>
                    <pic:cNvPicPr>
                      <a:picLocks noChangeArrowheads="1" noChangeAspect="1"/>
                    </pic:cNvPicPr>
                  </pic:nvPicPr>
                  <pic:blipFill>
                    <a:blip r:embed="rId57"/>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Distribuição potencial de</w:t>
      </w:r>
      <w:r>
        <w:t xml:space="preserve"> </w:t>
      </w:r>
      <w:r>
        <w:rPr>
          <w:iCs/>
          <w:i/>
        </w:rPr>
        <w:t xml:space="preserve">Lonchophylla bokermanni</w:t>
      </w:r>
      <w:r>
        <w:t xml:space="preserve"> </w:t>
      </w:r>
      <w:r>
        <w:t xml:space="preserve">(em vermelho) para o cenário futuro de RCP 8.5.</w:t>
      </w:r>
    </w:p>
    <w:p>
      <w:pPr>
        <w:pStyle w:val="CaptionedFigure"/>
      </w:pPr>
      <w:r>
        <w:drawing>
          <wp:inline>
            <wp:extent cx="5334000" cy="5778499"/>
            <wp:effectExtent b="0" l="0" r="0" t="0"/>
            <wp:docPr descr="Mapa de alteração da distribuição potencial de Lonchophylla bokermanni no cenário RCP 4.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L_bokermanni_mapas_feitos/alteracao_RCP45.jpeg" id="0" name="Picture"/>
                    <pic:cNvPicPr>
                      <a:picLocks noChangeArrowheads="1" noChangeAspect="1"/>
                    </pic:cNvPicPr>
                  </pic:nvPicPr>
                  <pic:blipFill>
                    <a:blip r:embed="rId58"/>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Lonchophylla bokermanni</w:t>
      </w:r>
      <w:r>
        <w:t xml:space="preserve"> </w:t>
      </w:r>
      <w:r>
        <w:t xml:space="preserve">no cenário RCP 4.5 (2050) em relação à distribuição do presente. A área em vermelho, amarelo e azul representam a distribuição sem alteração, perdida e ganha, respectivamente.</w:t>
      </w:r>
    </w:p>
    <w:p>
      <w:pPr>
        <w:pStyle w:val="CaptionedFigure"/>
      </w:pPr>
      <w:r>
        <w:drawing>
          <wp:inline>
            <wp:extent cx="5334000" cy="5778499"/>
            <wp:effectExtent b="0" l="0" r="0" t="0"/>
            <wp:docPr descr="Mapa de alteração da distribuição potencial de Lonchophylla bokermanni no cenário RCP 8.5 (2050) em relação à distribuição do presente. A área em vermelho, amarelo e azul representam a distribuição sem alteração, perdida e ganha, respectivamente." title="" id="1" name="Picture"/>
            <a:graphic>
              <a:graphicData uri="http://schemas.openxmlformats.org/drawingml/2006/picture">
                <pic:pic>
                  <pic:nvPicPr>
                    <pic:cNvPr descr="../Graficos/L_bokermanni_mapas_feitos/alteracao_RCP85.jpeg" id="0" name="Picture"/>
                    <pic:cNvPicPr>
                      <a:picLocks noChangeArrowheads="1" noChangeAspect="1"/>
                    </pic:cNvPicPr>
                  </pic:nvPicPr>
                  <pic:blipFill>
                    <a:blip r:embed="rId59"/>
                    <a:stretch>
                      <a:fillRect/>
                    </a:stretch>
                  </pic:blipFill>
                  <pic:spPr bwMode="auto">
                    <a:xfrm>
                      <a:off x="0" y="0"/>
                      <a:ext cx="5334000" cy="5778499"/>
                    </a:xfrm>
                    <a:prstGeom prst="rect">
                      <a:avLst/>
                    </a:prstGeom>
                    <a:noFill/>
                    <a:ln w="9525">
                      <a:noFill/>
                      <a:headEnd/>
                      <a:tailEnd/>
                    </a:ln>
                  </pic:spPr>
                </pic:pic>
              </a:graphicData>
            </a:graphic>
          </wp:inline>
        </w:drawing>
      </w:r>
    </w:p>
    <w:p>
      <w:pPr>
        <w:pStyle w:val="ImageCaption"/>
      </w:pPr>
      <w:r>
        <w:t xml:space="preserve">Mapa de alteração da distribuição potencial de</w:t>
      </w:r>
      <w:r>
        <w:t xml:space="preserve"> </w:t>
      </w:r>
      <w:r>
        <w:rPr>
          <w:iCs/>
          <w:i/>
        </w:rPr>
        <w:t xml:space="preserve">Lonchophylla bokermanni</w:t>
      </w:r>
      <w:r>
        <w:t xml:space="preserve"> </w:t>
      </w:r>
      <w:r>
        <w:t xml:space="preserve">no cenário RCP 8.5 (2050) em relação à distribuição do presente. A área em vermelho, amarelo e azul representam a distribuição sem alteração, perdida e ganha, respectivamente.</w:t>
      </w:r>
    </w:p>
    <w:bookmarkEnd w:id="60"/>
    <w:bookmarkStart w:id="61" w:name="código-em-r"/>
    <w:p>
      <w:pPr>
        <w:pStyle w:val="Heading2"/>
      </w:pPr>
      <w:r>
        <w:t xml:space="preserve">Código em R</w:t>
      </w:r>
    </w:p>
    <w:p>
      <w:pPr>
        <w:pStyle w:val="SourceCode"/>
      </w:pPr>
      <w:r>
        <w:rPr>
          <w:rStyle w:val="DocumentationTok"/>
        </w:rPr>
        <w:t xml:space="preserve">############## SCRIPTS DO PROJETO DE PDPD ##############</w:t>
      </w:r>
      <w:r>
        <w:br/>
      </w:r>
      <w:r>
        <w:br/>
      </w:r>
      <w:r>
        <w:rPr>
          <w:rStyle w:val="CommentTok"/>
        </w:rPr>
        <w:t xml:space="preserve"># 1. Carregamento e corte das camadas ambientais do presente</w:t>
      </w:r>
      <w:r>
        <w:br/>
      </w:r>
      <w:r>
        <w:rPr>
          <w:rStyle w:val="CommentTok"/>
        </w:rPr>
        <w:t xml:space="preserve"># 2. Rodagem dos modelos de distribuicao para a especie </w:t>
      </w:r>
      <w:r>
        <w:br/>
      </w:r>
      <w:r>
        <w:rPr>
          <w:rStyle w:val="CommentTok"/>
        </w:rPr>
        <w:t xml:space="preserve">#    de planta Encholirium subsecundum e selecao das camadas</w:t>
      </w:r>
      <w:r>
        <w:br/>
      </w:r>
      <w:r>
        <w:rPr>
          <w:rStyle w:val="CommentTok"/>
        </w:rPr>
        <w:t xml:space="preserve"># 3. Rodagem do modelo final com as camadas selecionadas</w:t>
      </w:r>
      <w:r>
        <w:br/>
      </w:r>
      <w:r>
        <w:rPr>
          <w:rStyle w:val="CommentTok"/>
        </w:rPr>
        <w:t xml:space="preserve"># 4. Criacao das projecoes no presente</w:t>
      </w:r>
      <w:r>
        <w:br/>
      </w:r>
      <w:r>
        <w:rPr>
          <w:rStyle w:val="CommentTok"/>
        </w:rPr>
        <w:t xml:space="preserve"># 5. Criacao das projecoes no cenario futuro de RCP 4.5</w:t>
      </w:r>
      <w:r>
        <w:br/>
      </w:r>
      <w:r>
        <w:rPr>
          <w:rStyle w:val="CommentTok"/>
        </w:rPr>
        <w:t xml:space="preserve"># 6. Criacao das projecoes no cenario futuro de RCP 8.5</w:t>
      </w:r>
      <w:r>
        <w:br/>
      </w:r>
      <w:r>
        <w:rPr>
          <w:rStyle w:val="CommentTok"/>
        </w:rPr>
        <w:t xml:space="preserve"># 7. Construcao dos mapas simples, binarios e não binarios</w:t>
      </w:r>
      <w:r>
        <w:br/>
      </w:r>
      <w:r>
        <w:rPr>
          <w:rStyle w:val="CommentTok"/>
        </w:rPr>
        <w:t xml:space="preserve"># 7. Classificacao das alteracoes de area</w:t>
      </w:r>
      <w:r>
        <w:br/>
      </w:r>
      <w:r>
        <w:br/>
      </w:r>
      <w:r>
        <w:rPr>
          <w:rStyle w:val="DocumentationTok"/>
        </w:rPr>
        <w:t xml:space="preserve">################################################################################</w:t>
      </w:r>
      <w:r>
        <w:br/>
      </w:r>
      <w:r>
        <w:br/>
      </w:r>
      <w:r>
        <w:rPr>
          <w:rStyle w:val="DocumentationTok"/>
        </w:rPr>
        <w:t xml:space="preserve">##### Carregamento das bibliotecas necessarias</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(sdm)) </w:t>
      </w:r>
      <w:r>
        <w:rPr>
          <w:rStyle w:val="FunctionTok"/>
        </w:rPr>
        <w:t xml:space="preserve">install.packages</w:t>
      </w:r>
      <w:r>
        <w:rPr>
          <w:rStyle w:val="NormalTok"/>
        </w:rPr>
        <w:t xml:space="preserve">(</w:t>
      </w:r>
      <w:r>
        <w:rPr>
          <w:rStyle w:val="StringTok"/>
        </w:rPr>
        <w:t xml:space="preserve">'sdm'</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(dismo)) </w:t>
      </w:r>
      <w:r>
        <w:rPr>
          <w:rStyle w:val="FunctionTok"/>
        </w:rPr>
        <w:t xml:space="preserve">install.packages</w:t>
      </w:r>
      <w:r>
        <w:rPr>
          <w:rStyle w:val="NormalTok"/>
        </w:rPr>
        <w:t xml:space="preserve">(</w:t>
      </w:r>
      <w:r>
        <w:rPr>
          <w:rStyle w:val="StringTok"/>
        </w:rPr>
        <w:t xml:space="preserve">'dismo'</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(mapview)) </w:t>
      </w:r>
      <w:r>
        <w:rPr>
          <w:rStyle w:val="FunctionTok"/>
        </w:rPr>
        <w:t xml:space="preserve">install.packages</w:t>
      </w:r>
      <w:r>
        <w:rPr>
          <w:rStyle w:val="NormalTok"/>
        </w:rPr>
        <w:t xml:space="preserve">(</w:t>
      </w:r>
      <w:r>
        <w:rPr>
          <w:rStyle w:val="StringTok"/>
        </w:rPr>
        <w:t xml:space="preserve">'mapview'</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(raster)) </w:t>
      </w:r>
      <w:r>
        <w:rPr>
          <w:rStyle w:val="FunctionTok"/>
        </w:rPr>
        <w:t xml:space="preserve">install.packages</w:t>
      </w:r>
      <w:r>
        <w:rPr>
          <w:rStyle w:val="NormalTok"/>
        </w:rPr>
        <w:t xml:space="preserve">(</w:t>
      </w:r>
      <w:r>
        <w:rPr>
          <w:rStyle w:val="StringTok"/>
        </w:rPr>
        <w:t xml:space="preserve">'raster'</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(rgdal)) </w:t>
      </w:r>
      <w:r>
        <w:rPr>
          <w:rStyle w:val="FunctionTok"/>
        </w:rPr>
        <w:t xml:space="preserve">install.packages</w:t>
      </w:r>
      <w:r>
        <w:rPr>
          <w:rStyle w:val="NormalTok"/>
        </w:rPr>
        <w:t xml:space="preserve">(</w:t>
      </w:r>
      <w:r>
        <w:rPr>
          <w:rStyle w:val="StringTok"/>
        </w:rPr>
        <w:t xml:space="preserve">'rgdal'</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(usdm)) </w:t>
      </w:r>
      <w:r>
        <w:rPr>
          <w:rStyle w:val="FunctionTok"/>
        </w:rPr>
        <w:t xml:space="preserve">install.packages</w:t>
      </w:r>
      <w:r>
        <w:rPr>
          <w:rStyle w:val="NormalTok"/>
        </w:rPr>
        <w:t xml:space="preserve">(</w:t>
      </w:r>
      <w:r>
        <w:rPr>
          <w:rStyle w:val="StringTok"/>
        </w:rPr>
        <w:t xml:space="preserve">'usdm'</w:t>
      </w:r>
      <w:r>
        <w:rPr>
          <w:rStyle w:val="NormalTok"/>
        </w:rPr>
        <w:t xml:space="preserve">)</w:t>
      </w:r>
      <w:r>
        <w:br/>
      </w:r>
      <w:r>
        <w:br/>
      </w:r>
      <w:r>
        <w:rPr>
          <w:rStyle w:val="CommentTok"/>
        </w:rPr>
        <w:t xml:space="preserve"># Rodar na primeira vez para instalar as dependencias que o 'sdm' precisa.</w:t>
      </w:r>
      <w:r>
        <w:br/>
      </w:r>
      <w:r>
        <w:rPr>
          <w:rStyle w:val="FunctionTok"/>
        </w:rPr>
        <w:t xml:space="preserve">installAll</w:t>
      </w:r>
      <w:r>
        <w:rPr>
          <w:rStyle w:val="NormalTok"/>
        </w:rPr>
        <w:t xml:space="preserve">() </w:t>
      </w:r>
      <w:r>
        <w:br/>
      </w:r>
      <w:r>
        <w:br/>
      </w:r>
      <w:r>
        <w:rPr>
          <w:rStyle w:val="DocumentationTok"/>
        </w:rPr>
        <w:t xml:space="preserve">################################################################################</w:t>
      </w:r>
      <w:r>
        <w:br/>
      </w:r>
      <w:r>
        <w:rPr>
          <w:rStyle w:val="CommentTok"/>
        </w:rPr>
        <w:t xml:space="preserve">#--------- 1. CARREGAMENTO E CORTE DAS CAMADAS</w:t>
      </w:r>
      <w:r>
        <w:br/>
      </w:r>
      <w:r>
        <w:rPr>
          <w:rStyle w:val="CommentTok"/>
        </w:rPr>
        <w:t xml:space="preserve">#           AMBIENTAIS E DADOS DE E. SUBSECUNDUM  ---------#</w:t>
      </w:r>
      <w:r>
        <w:br/>
      </w:r>
      <w:r>
        <w:br/>
      </w:r>
      <w:r>
        <w:rPr>
          <w:rStyle w:val="DocumentationTok"/>
        </w:rPr>
        <w:t xml:space="preserve">### CARREGAR DADOS DE E. SUBSECUNUDUM</w:t>
      </w:r>
      <w:r>
        <w:br/>
      </w:r>
      <w:r>
        <w:rPr>
          <w:rStyle w:val="NormalTok"/>
        </w:rPr>
        <w:t xml:space="preserve">spg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'./Dados/Ocorrencias/E_subsecundum_corrigido.csv'</w:t>
      </w:r>
      <w:r>
        <w:rPr>
          <w:rStyle w:val="NormalTok"/>
        </w:rPr>
        <w:t xml:space="preserve">)</w:t>
      </w:r>
      <w:r>
        <w:br/>
      </w:r>
      <w:r>
        <w:br/>
      </w:r>
      <w:r>
        <w:rPr>
          <w:rStyle w:val="CommentTok"/>
        </w:rPr>
        <w:t xml:space="preserve"># Adicionamos uma coluna com a especie (necesaria como argumento na modelagem)</w:t>
      </w:r>
      <w:r>
        <w:br/>
      </w:r>
      <w:r>
        <w:rPr>
          <w:rStyle w:val="NormalTok"/>
        </w:rPr>
        <w:t xml:space="preserve">spg</w:t>
      </w:r>
      <w:r>
        <w:rPr>
          <w:rStyle w:val="SpecialCharTok"/>
        </w:rPr>
        <w:t xml:space="preserve">$</w:t>
      </w:r>
      <w:r>
        <w:rPr>
          <w:rStyle w:val="NormalTok"/>
        </w:rPr>
        <w:t xml:space="preserve">species </w:t>
      </w:r>
      <w:r>
        <w:rPr>
          <w:rStyle w:val="OtherTok"/>
        </w:rPr>
        <w:t xml:space="preserve">&lt;-</w:t>
      </w:r>
      <w:r>
        <w:rPr>
          <w:rStyle w:val="NormalTok"/>
        </w:rPr>
        <w:t xml:space="preserve"> </w:t>
      </w:r>
      <w:r>
        <w:rPr>
          <w:rStyle w:val="DecValTok"/>
        </w:rPr>
        <w:t xml:space="preserve">1</w:t>
      </w:r>
      <w:r>
        <w:br/>
      </w:r>
      <w:r>
        <w:br/>
      </w:r>
      <w:r>
        <w:rPr>
          <w:rStyle w:val="CommentTok"/>
        </w:rPr>
        <w:t xml:space="preserve"># Exploramos o data frame</w:t>
      </w:r>
      <w:r>
        <w:br/>
      </w:r>
      <w:r>
        <w:rPr>
          <w:rStyle w:val="FunctionTok"/>
        </w:rPr>
        <w:t xml:space="preserve">head</w:t>
      </w:r>
      <w:r>
        <w:rPr>
          <w:rStyle w:val="NormalTok"/>
        </w:rPr>
        <w:t xml:space="preserve">(spg)</w:t>
      </w:r>
      <w:r>
        <w:br/>
      </w:r>
      <w:r>
        <w:br/>
      </w:r>
      <w:r>
        <w:rPr>
          <w:rStyle w:val="CommentTok"/>
        </w:rPr>
        <w:t xml:space="preserve"># Transformar as coordenadas em um objeto "Spatial"</w:t>
      </w:r>
      <w:r>
        <w:br/>
      </w:r>
      <w:r>
        <w:rPr>
          <w:rStyle w:val="NormalTok"/>
        </w:rPr>
        <w:t xml:space="preserve">sp</w:t>
      </w:r>
      <w:r>
        <w:rPr>
          <w:rStyle w:val="SpecialCharTok"/>
        </w:rPr>
        <w:t xml:space="preserve">::</w:t>
      </w:r>
      <w:r>
        <w:rPr>
          <w:rStyle w:val="FunctionTok"/>
        </w:rPr>
        <w:t xml:space="preserve">coordinates</w:t>
      </w:r>
      <w:r>
        <w:rPr>
          <w:rStyle w:val="NormalTok"/>
        </w:rPr>
        <w:t xml:space="preserve">(spg) </w:t>
      </w:r>
      <w:r>
        <w:rPr>
          <w:rStyle w:val="OtherTok"/>
        </w:rPr>
        <w:t xml:space="preserve">&lt;-</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r>
        <w:br/>
      </w:r>
      <w:r>
        <w:rPr>
          <w:rStyle w:val="NormalTok"/>
        </w:rPr>
        <w:t xml:space="preserve">spg</w:t>
      </w:r>
      <w:r>
        <w:br/>
      </w:r>
      <w:r>
        <w:br/>
      </w:r>
      <w:r>
        <w:rPr>
          <w:rStyle w:val="CommentTok"/>
        </w:rPr>
        <w:t xml:space="preserve">#----------</w:t>
      </w:r>
      <w:r>
        <w:br/>
      </w:r>
      <w:r>
        <w:rPr>
          <w:rStyle w:val="DocumentationTok"/>
        </w:rPr>
        <w:t xml:space="preserve">### CARREGAR CAMADAS DO PRESENTE</w:t>
      </w:r>
      <w:r>
        <w:br/>
      </w:r>
      <w:r>
        <w:br/>
      </w:r>
      <w:r>
        <w:rPr>
          <w:rStyle w:val="CommentTok"/>
        </w:rPr>
        <w:t xml:space="preserve"># Criar um objeto com o contorno (poligono) do Brasil</w:t>
      </w:r>
      <w:r>
        <w:br/>
      </w:r>
      <w:r>
        <w:rPr>
          <w:rStyle w:val="NormalTok"/>
        </w:rPr>
        <w:t xml:space="preserve">mascara </w:t>
      </w:r>
      <w:r>
        <w:rPr>
          <w:rStyle w:val="OtherTok"/>
        </w:rPr>
        <w:t xml:space="preserve">&lt;-</w:t>
      </w:r>
      <w:r>
        <w:rPr>
          <w:rStyle w:val="NormalTok"/>
        </w:rPr>
        <w:t xml:space="preserve"> raster</w:t>
      </w:r>
      <w:r>
        <w:rPr>
          <w:rStyle w:val="SpecialCharTok"/>
        </w:rPr>
        <w:t xml:space="preserve">::</w:t>
      </w:r>
      <w:r>
        <w:rPr>
          <w:rStyle w:val="FunctionTok"/>
        </w:rPr>
        <w:t xml:space="preserve">shapefile</w:t>
      </w:r>
      <w:r>
        <w:rPr>
          <w:rStyle w:val="NormalTok"/>
        </w:rPr>
        <w:t xml:space="preserve">(</w:t>
      </w:r>
      <w:r>
        <w:rPr>
          <w:rStyle w:val="StringTok"/>
        </w:rPr>
        <w:t xml:space="preserve">'Dados/Mascaras/mascara_brasil.shp'</w:t>
      </w:r>
      <w:r>
        <w:rPr>
          <w:rStyle w:val="NormalTok"/>
        </w:rPr>
        <w:t xml:space="preserve">)</w:t>
      </w:r>
      <w:r>
        <w:br/>
      </w:r>
      <w:r>
        <w:br/>
      </w:r>
      <w:r>
        <w:rPr>
          <w:rStyle w:val="CommentTok"/>
        </w:rPr>
        <w:t xml:space="preserve"># Baixar camadas presente do database online Worldclim</w:t>
      </w:r>
      <w:r>
        <w:br/>
      </w:r>
      <w:r>
        <w:rPr>
          <w:rStyle w:val="NormalTok"/>
        </w:rPr>
        <w:t xml:space="preserve">bio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'worldclim'</w:t>
      </w:r>
      <w:r>
        <w:rPr>
          <w:rStyle w:val="NormalTok"/>
        </w:rPr>
        <w:t xml:space="preserve">, </w:t>
      </w:r>
      <w:r>
        <w:rPr>
          <w:rStyle w:val="AttributeTok"/>
        </w:rPr>
        <w:t xml:space="preserve">var=</w:t>
      </w:r>
      <w:r>
        <w:rPr>
          <w:rStyle w:val="StringTok"/>
        </w:rPr>
        <w:t xml:space="preserve">'bio'</w:t>
      </w:r>
      <w:r>
        <w:rPr>
          <w:rStyle w:val="NormalTok"/>
        </w:rPr>
        <w:t xml:space="preserve">,</w:t>
      </w:r>
      <w:r>
        <w:rPr>
          <w:rStyle w:val="AttributeTok"/>
        </w:rPr>
        <w:t xml:space="preserve">res=</w:t>
      </w:r>
      <w:r>
        <w:rPr>
          <w:rStyle w:val="FloatTok"/>
        </w:rPr>
        <w:t xml:space="preserve">2.5</w:t>
      </w:r>
      <w:r>
        <w:rPr>
          <w:rStyle w:val="NormalTok"/>
        </w:rPr>
        <w:t xml:space="preserve">, </w:t>
      </w:r>
      <w:r>
        <w:rPr>
          <w:rStyle w:val="AttributeTok"/>
        </w:rPr>
        <w:t xml:space="preserve">path=</w:t>
      </w:r>
      <w:r>
        <w:rPr>
          <w:rStyle w:val="StringTok"/>
        </w:rPr>
        <w:t xml:space="preserve">"./Camadas_presente/"</w:t>
      </w:r>
      <w:r>
        <w:rPr>
          <w:rStyle w:val="NormalTok"/>
        </w:rPr>
        <w:t xml:space="preserve">) </w:t>
      </w:r>
      <w:r>
        <w:br/>
      </w:r>
      <w:r>
        <w:rPr>
          <w:rStyle w:val="FunctionTok"/>
        </w:rPr>
        <w:t xml:space="preserve">plot</w:t>
      </w:r>
      <w:r>
        <w:rPr>
          <w:rStyle w:val="NormalTok"/>
        </w:rPr>
        <w:t xml:space="preserve">(bio)</w:t>
      </w:r>
      <w:r>
        <w:br/>
      </w:r>
      <w:r>
        <w:br/>
      </w:r>
      <w:r>
        <w:rPr>
          <w:rStyle w:val="CommentTok"/>
        </w:rPr>
        <w:t xml:space="preserve"># cortar as camadas com o shape do brasil</w:t>
      </w:r>
      <w:r>
        <w:br/>
      </w:r>
      <w:r>
        <w:rPr>
          <w:rStyle w:val="NormalTok"/>
        </w:rPr>
        <w:t xml:space="preserve">corte </w:t>
      </w:r>
      <w:r>
        <w:rPr>
          <w:rStyle w:val="OtherTok"/>
        </w:rPr>
        <w:t xml:space="preserve">&lt;-</w:t>
      </w:r>
      <w:r>
        <w:rPr>
          <w:rStyle w:val="NormalTok"/>
        </w:rPr>
        <w:t xml:space="preserve"> bio</w:t>
      </w:r>
      <w:r>
        <w:br/>
      </w:r>
      <w:r>
        <w:rPr>
          <w:rStyle w:val="NormalTok"/>
        </w:rPr>
        <w:t xml:space="preserve">cam_rep </w:t>
      </w:r>
      <w:r>
        <w:rPr>
          <w:rStyle w:val="OtherTok"/>
        </w:rPr>
        <w:t xml:space="preserve">&lt;-</w:t>
      </w:r>
      <w:r>
        <w:rPr>
          <w:rStyle w:val="NormalTok"/>
        </w:rPr>
        <w:t xml:space="preserve"> bio[[</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 </w:t>
      </w:r>
      <w:r>
        <w:rPr>
          <w:rStyle w:val="FunctionTok"/>
        </w:rPr>
        <w:t xml:space="preserve">extent</w:t>
      </w:r>
      <w:r>
        <w:rPr>
          <w:rStyle w:val="NormalTok"/>
        </w:rPr>
        <w:t xml:space="preserve">(mascara))</w:t>
      </w:r>
      <w:r>
        <w:br/>
      </w:r>
      <w:r>
        <w:br/>
      </w:r>
      <w:r>
        <w:rPr>
          <w:rStyle w:val="CommentTok"/>
        </w:rPr>
        <w:t xml:space="preserve"># Reduzir o tamanho de todas as camadas ambientais do presente</w:t>
      </w:r>
      <w:r>
        <w:br/>
      </w:r>
      <w:r>
        <w:rPr>
          <w:rStyle w:val="NormalTok"/>
        </w:rPr>
        <w:t xml:space="preserve">bioCams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 cam_rep,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w:t>
      </w:r>
      <w:r>
        <w:br/>
      </w:r>
      <w:r>
        <w:rPr>
          <w:rStyle w:val="NormalTok"/>
        </w:rPr>
        <w:t xml:space="preserve">bioCams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(bioCams,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(bioCams)</w:t>
      </w:r>
      <w:r>
        <w:br/>
      </w:r>
      <w:r>
        <w:br/>
      </w:r>
      <w:r>
        <w:rPr>
          <w:rStyle w:val="CommentTok"/>
        </w:rPr>
        <w:t xml:space="preserve">#----------</w:t>
      </w:r>
      <w:r>
        <w:br/>
      </w:r>
      <w:r>
        <w:rPr>
          <w:rStyle w:val="DocumentationTok"/>
        </w:rPr>
        <w:t xml:space="preserve">### CARREGAR CAMADAS DO FUTURO RCP45, ANO 2050</w:t>
      </w:r>
      <w:r>
        <w:br/>
      </w:r>
      <w:r>
        <w:br/>
      </w:r>
      <w:r>
        <w:rPr>
          <w:rStyle w:val="CommentTok"/>
        </w:rPr>
        <w:t xml:space="preserve"># Donwload das camadas futuras (RCP 45) do database online Worldclim </w:t>
      </w:r>
      <w:r>
        <w:br/>
      </w:r>
      <w:r>
        <w:rPr>
          <w:rStyle w:val="NormalTok"/>
        </w:rPr>
        <w:t xml:space="preserve">biof45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'CMIP5'</w:t>
      </w:r>
      <w:r>
        <w:rPr>
          <w:rStyle w:val="NormalTok"/>
        </w:rPr>
        <w:t xml:space="preserve">, </w:t>
      </w:r>
      <w:r>
        <w:rPr>
          <w:rStyle w:val="AttributeTok"/>
        </w:rPr>
        <w:t xml:space="preserve">var=</w:t>
      </w:r>
      <w:r>
        <w:rPr>
          <w:rStyle w:val="StringTok"/>
        </w:rPr>
        <w:t xml:space="preserve">'bio'</w:t>
      </w:r>
      <w:r>
        <w:rPr>
          <w:rStyle w:val="NormalTok"/>
        </w:rPr>
        <w:t xml:space="preserve">, </w:t>
      </w:r>
      <w:r>
        <w:rPr>
          <w:rStyle w:val="AttributeTok"/>
        </w:rPr>
        <w:t xml:space="preserve">res=</w:t>
      </w:r>
      <w:r>
        <w:rPr>
          <w:rStyle w:val="FloatTok"/>
        </w:rPr>
        <w:t xml:space="preserve">2.5</w:t>
      </w:r>
      <w:r>
        <w:rPr>
          <w:rStyle w:val="NormalTok"/>
        </w:rPr>
        <w:t xml:space="preserve">, </w:t>
      </w:r>
      <w:r>
        <w:rPr>
          <w:rStyle w:val="AttributeTok"/>
        </w:rPr>
        <w:t xml:space="preserve">rcp=</w:t>
      </w:r>
      <w:r>
        <w:rPr>
          <w:rStyle w:val="DecValTok"/>
        </w:rPr>
        <w:t xml:space="preserve">45</w:t>
      </w:r>
      <w:r>
        <w:rPr>
          <w:rStyle w:val="NormalTok"/>
        </w:rPr>
        <w:t xml:space="preserve">, </w:t>
      </w:r>
      <w:r>
        <w:rPr>
          <w:rStyle w:val="AttributeTok"/>
        </w:rPr>
        <w:t xml:space="preserve">model=</w:t>
      </w:r>
      <w:r>
        <w:rPr>
          <w:rStyle w:val="StringTok"/>
        </w:rPr>
        <w:t xml:space="preserve">'CN'</w:t>
      </w:r>
      <w:r>
        <w:rPr>
          <w:rStyle w:val="NormalTok"/>
        </w:rPr>
        <w:t xml:space="preserve">, </w:t>
      </w:r>
      <w:r>
        <w:br/>
      </w:r>
      <w:r>
        <w:rPr>
          <w:rStyle w:val="NormalTok"/>
        </w:rPr>
        <w:t xml:space="preserve">                          </w:t>
      </w:r>
      <w:r>
        <w:rPr>
          <w:rStyle w:val="AttributeTok"/>
        </w:rPr>
        <w:t xml:space="preserve">year=</w:t>
      </w:r>
      <w:r>
        <w:rPr>
          <w:rStyle w:val="DecValTok"/>
        </w:rPr>
        <w:t xml:space="preserve">50</w:t>
      </w:r>
      <w:r>
        <w:rPr>
          <w:rStyle w:val="NormalTok"/>
        </w:rPr>
        <w:t xml:space="preserve">, </w:t>
      </w:r>
      <w:r>
        <w:rPr>
          <w:rStyle w:val="AttributeTok"/>
        </w:rPr>
        <w:t xml:space="preserve">path=</w:t>
      </w:r>
      <w:r>
        <w:rPr>
          <w:rStyle w:val="StringTok"/>
        </w:rPr>
        <w:t xml:space="preserve">"./Camadas_RCP45/"</w:t>
      </w:r>
      <w:r>
        <w:rPr>
          <w:rStyle w:val="NormalTok"/>
        </w:rPr>
        <w:t xml:space="preserve">)</w:t>
      </w:r>
      <w:r>
        <w:br/>
      </w:r>
      <w:r>
        <w:rPr>
          <w:rStyle w:val="FunctionTok"/>
        </w:rPr>
        <w:t xml:space="preserve">plot</w:t>
      </w:r>
      <w:r>
        <w:rPr>
          <w:rStyle w:val="NormalTok"/>
        </w:rPr>
        <w:t xml:space="preserve">(biof45)</w:t>
      </w:r>
      <w:r>
        <w:br/>
      </w:r>
      <w:r>
        <w:br/>
      </w:r>
      <w:r>
        <w:rPr>
          <w:rStyle w:val="CommentTok"/>
        </w:rPr>
        <w:t xml:space="preserve"># As camadas futuras devem ter o mesmo nome que as do presente</w:t>
      </w:r>
      <w:r>
        <w:br/>
      </w:r>
      <w:r>
        <w:rPr>
          <w:rStyle w:val="FunctionTok"/>
        </w:rPr>
        <w:t xml:space="preserve">names</w:t>
      </w:r>
      <w:r>
        <w:rPr>
          <w:rStyle w:val="NormalTok"/>
        </w:rPr>
        <w:t xml:space="preserve">(biof45) </w:t>
      </w:r>
      <w:r>
        <w:rPr>
          <w:rStyle w:val="OtherTok"/>
        </w:rPr>
        <w:t xml:space="preserve">&lt;-</w:t>
      </w:r>
      <w:r>
        <w:rPr>
          <w:rStyle w:val="NormalTok"/>
        </w:rPr>
        <w:t xml:space="preserve"> </w:t>
      </w:r>
      <w:r>
        <w:rPr>
          <w:rStyle w:val="FunctionTok"/>
        </w:rPr>
        <w:t xml:space="preserve">names</w:t>
      </w:r>
      <w:r>
        <w:rPr>
          <w:rStyle w:val="NormalTok"/>
        </w:rPr>
        <w:t xml:space="preserve">(bio)</w:t>
      </w:r>
      <w:r>
        <w:br/>
      </w:r>
      <w:r>
        <w:br/>
      </w:r>
      <w:r>
        <w:rPr>
          <w:rStyle w:val="CommentTok"/>
        </w:rPr>
        <w:t xml:space="preserve"># Carregar as camadas e uma camada representante (bio 1) para corte das camadas</w:t>
      </w:r>
      <w:r>
        <w:br/>
      </w:r>
      <w:r>
        <w:rPr>
          <w:rStyle w:val="NormalTok"/>
        </w:rPr>
        <w:t xml:space="preserve">cortef </w:t>
      </w:r>
      <w:r>
        <w:rPr>
          <w:rStyle w:val="OtherTok"/>
        </w:rPr>
        <w:t xml:space="preserve">&lt;-</w:t>
      </w:r>
      <w:r>
        <w:rPr>
          <w:rStyle w:val="NormalTok"/>
        </w:rPr>
        <w:t xml:space="preserve"> biof45</w:t>
      </w:r>
      <w:r>
        <w:br/>
      </w:r>
      <w:r>
        <w:rPr>
          <w:rStyle w:val="NormalTok"/>
        </w:rPr>
        <w:t xml:space="preserve">cam_repf </w:t>
      </w:r>
      <w:r>
        <w:rPr>
          <w:rStyle w:val="OtherTok"/>
        </w:rPr>
        <w:t xml:space="preserve">&lt;-</w:t>
      </w:r>
      <w:r>
        <w:rPr>
          <w:rStyle w:val="NormalTok"/>
        </w:rPr>
        <w:t xml:space="preserve"> biof45[[</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cam_repf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(cam_repf, </w:t>
      </w:r>
      <w:r>
        <w:rPr>
          <w:rStyle w:val="FunctionTok"/>
        </w:rPr>
        <w:t xml:space="preserve">extent</w:t>
      </w:r>
      <w:r>
        <w:rPr>
          <w:rStyle w:val="NormalTok"/>
        </w:rPr>
        <w:t xml:space="preserve">(mascara))</w:t>
      </w:r>
      <w:r>
        <w:br/>
      </w:r>
      <w:r>
        <w:br/>
      </w:r>
      <w:r>
        <w:rPr>
          <w:rStyle w:val="CommentTok"/>
        </w:rPr>
        <w:t xml:space="preserve"># Reduzir o tamanho de todas as camadas ambientais RCP 45</w:t>
      </w:r>
      <w:r>
        <w:br/>
      </w:r>
      <w:r>
        <w:rPr>
          <w:rStyle w:val="NormalTok"/>
        </w:rPr>
        <w:t xml:space="preserve">bio45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(cortef, cam_repf,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 do Brasil</w:t>
      </w:r>
      <w:r>
        <w:br/>
      </w:r>
      <w:r>
        <w:rPr>
          <w:rStyle w:val="NormalTok"/>
        </w:rPr>
        <w:t xml:space="preserve">bio45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(bio45,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(bio45)</w:t>
      </w:r>
      <w:r>
        <w:br/>
      </w:r>
      <w:r>
        <w:br/>
      </w:r>
      <w:r>
        <w:rPr>
          <w:rStyle w:val="CommentTok"/>
        </w:rPr>
        <w:t xml:space="preserve">#----------</w:t>
      </w:r>
      <w:r>
        <w:br/>
      </w:r>
      <w:r>
        <w:rPr>
          <w:rStyle w:val="DocumentationTok"/>
        </w:rPr>
        <w:t xml:space="preserve">### CARREGAR CAMADAS DO FUTURO RCP85, ANO 2050</w:t>
      </w:r>
      <w:r>
        <w:br/>
      </w:r>
      <w:r>
        <w:br/>
      </w:r>
      <w:r>
        <w:rPr>
          <w:rStyle w:val="CommentTok"/>
        </w:rPr>
        <w:t xml:space="preserve"># Donwload das camadas futuras (RCP 45) do database online Worldclim </w:t>
      </w:r>
      <w:r>
        <w:br/>
      </w:r>
      <w:r>
        <w:rPr>
          <w:rStyle w:val="NormalTok"/>
        </w:rPr>
        <w:t xml:space="preserve">biof85 </w:t>
      </w:r>
      <w:r>
        <w:rPr>
          <w:rStyle w:val="OtherTok"/>
        </w:rPr>
        <w:t xml:space="preserve">&lt;-</w:t>
      </w:r>
      <w:r>
        <w:rPr>
          <w:rStyle w:val="NormalTok"/>
        </w:rPr>
        <w:t xml:space="preserve"> raster</w:t>
      </w:r>
      <w:r>
        <w:rPr>
          <w:rStyle w:val="SpecialCharTok"/>
        </w:rPr>
        <w:t xml:space="preserve">::</w:t>
      </w:r>
      <w:r>
        <w:rPr>
          <w:rStyle w:val="FunctionTok"/>
        </w:rPr>
        <w:t xml:space="preserve">getData</w:t>
      </w:r>
      <w:r>
        <w:rPr>
          <w:rStyle w:val="NormalTok"/>
        </w:rPr>
        <w:t xml:space="preserve">(</w:t>
      </w:r>
      <w:r>
        <w:rPr>
          <w:rStyle w:val="StringTok"/>
        </w:rPr>
        <w:t xml:space="preserve">'CMIP5'</w:t>
      </w:r>
      <w:r>
        <w:rPr>
          <w:rStyle w:val="NormalTok"/>
        </w:rPr>
        <w:t xml:space="preserve">, </w:t>
      </w:r>
      <w:r>
        <w:rPr>
          <w:rStyle w:val="AttributeTok"/>
        </w:rPr>
        <w:t xml:space="preserve">var=</w:t>
      </w:r>
      <w:r>
        <w:rPr>
          <w:rStyle w:val="StringTok"/>
        </w:rPr>
        <w:t xml:space="preserve">'bio'</w:t>
      </w:r>
      <w:r>
        <w:rPr>
          <w:rStyle w:val="NormalTok"/>
        </w:rPr>
        <w:t xml:space="preserve">, </w:t>
      </w:r>
      <w:r>
        <w:rPr>
          <w:rStyle w:val="AttributeTok"/>
        </w:rPr>
        <w:t xml:space="preserve">res=</w:t>
      </w:r>
      <w:r>
        <w:rPr>
          <w:rStyle w:val="FloatTok"/>
        </w:rPr>
        <w:t xml:space="preserve">2.5</w:t>
      </w:r>
      <w:r>
        <w:rPr>
          <w:rStyle w:val="NormalTok"/>
        </w:rPr>
        <w:t xml:space="preserve">, </w:t>
      </w:r>
      <w:r>
        <w:rPr>
          <w:rStyle w:val="AttributeTok"/>
        </w:rPr>
        <w:t xml:space="preserve">rcp=</w:t>
      </w:r>
      <w:r>
        <w:rPr>
          <w:rStyle w:val="DecValTok"/>
        </w:rPr>
        <w:t xml:space="preserve">85</w:t>
      </w:r>
      <w:r>
        <w:rPr>
          <w:rStyle w:val="NormalTok"/>
        </w:rPr>
        <w:t xml:space="preserve">, </w:t>
      </w:r>
      <w:r>
        <w:rPr>
          <w:rStyle w:val="AttributeTok"/>
        </w:rPr>
        <w:t xml:space="preserve">model=</w:t>
      </w:r>
      <w:r>
        <w:rPr>
          <w:rStyle w:val="StringTok"/>
        </w:rPr>
        <w:t xml:space="preserve">'CN'</w:t>
      </w:r>
      <w:r>
        <w:rPr>
          <w:rStyle w:val="NormalTok"/>
        </w:rPr>
        <w:t xml:space="preserve">, </w:t>
      </w:r>
      <w:r>
        <w:br/>
      </w:r>
      <w:r>
        <w:rPr>
          <w:rStyle w:val="NormalTok"/>
        </w:rPr>
        <w:t xml:space="preserve">                          </w:t>
      </w:r>
      <w:r>
        <w:rPr>
          <w:rStyle w:val="AttributeTok"/>
        </w:rPr>
        <w:t xml:space="preserve">year=</w:t>
      </w:r>
      <w:r>
        <w:rPr>
          <w:rStyle w:val="DecValTok"/>
        </w:rPr>
        <w:t xml:space="preserve">50</w:t>
      </w:r>
      <w:r>
        <w:rPr>
          <w:rStyle w:val="NormalTok"/>
        </w:rPr>
        <w:t xml:space="preserve">, </w:t>
      </w:r>
      <w:r>
        <w:rPr>
          <w:rStyle w:val="AttributeTok"/>
        </w:rPr>
        <w:t xml:space="preserve">path=</w:t>
      </w:r>
      <w:r>
        <w:rPr>
          <w:rStyle w:val="StringTok"/>
        </w:rPr>
        <w:t xml:space="preserve">"./Camadas_RCP85/"</w:t>
      </w:r>
      <w:r>
        <w:rPr>
          <w:rStyle w:val="NormalTok"/>
        </w:rPr>
        <w:t xml:space="preserve">)</w:t>
      </w:r>
      <w:r>
        <w:br/>
      </w:r>
      <w:r>
        <w:rPr>
          <w:rStyle w:val="FunctionTok"/>
        </w:rPr>
        <w:t xml:space="preserve">plot</w:t>
      </w:r>
      <w:r>
        <w:rPr>
          <w:rStyle w:val="NormalTok"/>
        </w:rPr>
        <w:t xml:space="preserve">(biof85)</w:t>
      </w:r>
      <w:r>
        <w:br/>
      </w:r>
      <w:r>
        <w:br/>
      </w:r>
      <w:r>
        <w:rPr>
          <w:rStyle w:val="CommentTok"/>
        </w:rPr>
        <w:t xml:space="preserve"># As camadas futuras devem ter o mesmo nome que as do presente</w:t>
      </w:r>
      <w:r>
        <w:br/>
      </w:r>
      <w:r>
        <w:rPr>
          <w:rStyle w:val="FunctionTok"/>
        </w:rPr>
        <w:t xml:space="preserve">names</w:t>
      </w:r>
      <w:r>
        <w:rPr>
          <w:rStyle w:val="NormalTok"/>
        </w:rPr>
        <w:t xml:space="preserve">(biof85) </w:t>
      </w:r>
      <w:r>
        <w:rPr>
          <w:rStyle w:val="OtherTok"/>
        </w:rPr>
        <w:t xml:space="preserve">&lt;-</w:t>
      </w:r>
      <w:r>
        <w:rPr>
          <w:rStyle w:val="NormalTok"/>
        </w:rPr>
        <w:t xml:space="preserve"> </w:t>
      </w:r>
      <w:r>
        <w:rPr>
          <w:rStyle w:val="FunctionTok"/>
        </w:rPr>
        <w:t xml:space="preserve">names</w:t>
      </w:r>
      <w:r>
        <w:rPr>
          <w:rStyle w:val="NormalTok"/>
        </w:rPr>
        <w:t xml:space="preserve">(bio)</w:t>
      </w:r>
      <w:r>
        <w:br/>
      </w:r>
      <w:r>
        <w:br/>
      </w:r>
      <w:r>
        <w:rPr>
          <w:rStyle w:val="CommentTok"/>
        </w:rPr>
        <w:t xml:space="preserve"># Carregar as camadas e uma camada representante (bio 1) para corte das camadas</w:t>
      </w:r>
      <w:r>
        <w:br/>
      </w:r>
      <w:r>
        <w:rPr>
          <w:rStyle w:val="NormalTok"/>
        </w:rPr>
        <w:t xml:space="preserve">cortef85 </w:t>
      </w:r>
      <w:r>
        <w:rPr>
          <w:rStyle w:val="OtherTok"/>
        </w:rPr>
        <w:t xml:space="preserve">&lt;-</w:t>
      </w:r>
      <w:r>
        <w:rPr>
          <w:rStyle w:val="NormalTok"/>
        </w:rPr>
        <w:t xml:space="preserve"> biof85</w:t>
      </w:r>
      <w:r>
        <w:br/>
      </w:r>
      <w:r>
        <w:rPr>
          <w:rStyle w:val="NormalTok"/>
        </w:rPr>
        <w:t xml:space="preserve">cam_repf85 </w:t>
      </w:r>
      <w:r>
        <w:rPr>
          <w:rStyle w:val="OtherTok"/>
        </w:rPr>
        <w:t xml:space="preserve">&lt;-</w:t>
      </w:r>
      <w:r>
        <w:rPr>
          <w:rStyle w:val="NormalTok"/>
        </w:rPr>
        <w:t xml:space="preserve"> biof85[[</w:t>
      </w:r>
      <w:r>
        <w:rPr>
          <w:rStyle w:val="DecValTok"/>
        </w:rPr>
        <w:t xml:space="preserve">1</w:t>
      </w:r>
      <w:r>
        <w:rPr>
          <w:rStyle w:val="NormalTok"/>
        </w:rPr>
        <w:t xml:space="preserve">]]</w:t>
      </w:r>
      <w:r>
        <w:br/>
      </w:r>
      <w:r>
        <w:br/>
      </w:r>
      <w:r>
        <w:rPr>
          <w:rStyle w:val="CommentTok"/>
        </w:rPr>
        <w:t xml:space="preserve"># Reduzir o tamanho da camada representante para um retangulo</w:t>
      </w:r>
      <w:r>
        <w:br/>
      </w:r>
      <w:r>
        <w:rPr>
          <w:rStyle w:val="NormalTok"/>
        </w:rPr>
        <w:t xml:space="preserve">cam_repf85 </w:t>
      </w:r>
      <w:r>
        <w:rPr>
          <w:rStyle w:val="OtherTok"/>
        </w:rPr>
        <w:t xml:space="preserve">&lt;-</w:t>
      </w:r>
      <w:r>
        <w:rPr>
          <w:rStyle w:val="NormalTok"/>
        </w:rPr>
        <w:t xml:space="preserve"> raster</w:t>
      </w:r>
      <w:r>
        <w:rPr>
          <w:rStyle w:val="SpecialCharTok"/>
        </w:rPr>
        <w:t xml:space="preserve">::</w:t>
      </w:r>
      <w:r>
        <w:rPr>
          <w:rStyle w:val="FunctionTok"/>
        </w:rPr>
        <w:t xml:space="preserve">crop</w:t>
      </w:r>
      <w:r>
        <w:rPr>
          <w:rStyle w:val="NormalTok"/>
        </w:rPr>
        <w:t xml:space="preserve">(cam_repf85, </w:t>
      </w:r>
      <w:r>
        <w:rPr>
          <w:rStyle w:val="FunctionTok"/>
        </w:rPr>
        <w:t xml:space="preserve">extent</w:t>
      </w:r>
      <w:r>
        <w:rPr>
          <w:rStyle w:val="NormalTok"/>
        </w:rPr>
        <w:t xml:space="preserve">(mascara))</w:t>
      </w:r>
      <w:r>
        <w:br/>
      </w:r>
      <w:r>
        <w:br/>
      </w:r>
      <w:r>
        <w:rPr>
          <w:rStyle w:val="CommentTok"/>
        </w:rPr>
        <w:t xml:space="preserve"># Reduzir o tamanho de todas as camadas ambientais RCP 85</w:t>
      </w:r>
      <w:r>
        <w:br/>
      </w:r>
      <w:r>
        <w:rPr>
          <w:rStyle w:val="NormalTok"/>
        </w:rPr>
        <w:t xml:space="preserve">bio85 </w:t>
      </w:r>
      <w:r>
        <w:rPr>
          <w:rStyle w:val="OtherTok"/>
        </w:rPr>
        <w:t xml:space="preserve">&lt;-</w:t>
      </w:r>
      <w:r>
        <w:rPr>
          <w:rStyle w:val="NormalTok"/>
        </w:rPr>
        <w:t xml:space="preserve"> raster</w:t>
      </w:r>
      <w:r>
        <w:rPr>
          <w:rStyle w:val="SpecialCharTok"/>
        </w:rPr>
        <w:t xml:space="preserve">::</w:t>
      </w:r>
      <w:r>
        <w:rPr>
          <w:rStyle w:val="FunctionTok"/>
        </w:rPr>
        <w:t xml:space="preserve">resample</w:t>
      </w:r>
      <w:r>
        <w:rPr>
          <w:rStyle w:val="NormalTok"/>
        </w:rPr>
        <w:t xml:space="preserve">(cortef85, cam_repf85, </w:t>
      </w:r>
      <w:r>
        <w:rPr>
          <w:rStyle w:val="AttributeTok"/>
        </w:rPr>
        <w:t xml:space="preserve">method=</w:t>
      </w:r>
      <w:r>
        <w:rPr>
          <w:rStyle w:val="StringTok"/>
        </w:rPr>
        <w:t xml:space="preserve">"bilinear"</w:t>
      </w:r>
      <w:r>
        <w:rPr>
          <w:rStyle w:val="NormalTok"/>
        </w:rPr>
        <w:t xml:space="preserve">, </w:t>
      </w:r>
      <w:r>
        <w:br/>
      </w:r>
      <w:r>
        <w:rPr>
          <w:rStyle w:val="NormalTok"/>
        </w:rPr>
        <w:t xml:space="preserve">                          </w:t>
      </w:r>
      <w:r>
        <w:rPr>
          <w:rStyle w:val="AttributeTok"/>
        </w:rPr>
        <w:t xml:space="preserve">snap=</w:t>
      </w:r>
      <w:r>
        <w:rPr>
          <w:rStyle w:val="StringTok"/>
        </w:rPr>
        <w:t xml:space="preserve">'out'</w:t>
      </w:r>
      <w:r>
        <w:rPr>
          <w:rStyle w:val="NormalTok"/>
        </w:rPr>
        <w:t xml:space="preserve">, </w:t>
      </w:r>
      <w:r>
        <w:rPr>
          <w:rStyle w:val="AttributeTok"/>
        </w:rPr>
        <w:t xml:space="preserve">bylayer=</w:t>
      </w:r>
      <w:r>
        <w:rPr>
          <w:rStyle w:val="ConstantTok"/>
        </w:rPr>
        <w:t xml:space="preserve">TRUE</w:t>
      </w:r>
      <w:r>
        <w:rPr>
          <w:rStyle w:val="NormalTok"/>
        </w:rPr>
        <w:t xml:space="preserve">, </w:t>
      </w:r>
      <w:r>
        <w:rPr>
          <w:rStyle w:val="AttributeTok"/>
        </w:rPr>
        <w:t xml:space="preserve">progress=</w:t>
      </w:r>
      <w:r>
        <w:rPr>
          <w:rStyle w:val="StringTok"/>
        </w:rPr>
        <w:t xml:space="preserve">'text'</w:t>
      </w:r>
      <w:r>
        <w:rPr>
          <w:rStyle w:val="NormalTok"/>
        </w:rPr>
        <w:t xml:space="preserve">)</w:t>
      </w:r>
      <w:r>
        <w:br/>
      </w:r>
      <w:r>
        <w:br/>
      </w:r>
      <w:r>
        <w:rPr>
          <w:rStyle w:val="CommentTok"/>
        </w:rPr>
        <w:t xml:space="preserve"># Cortar as camadas ambientais e cortar a partir da mascara criada do Brasil</w:t>
      </w:r>
      <w:r>
        <w:br/>
      </w:r>
      <w:r>
        <w:rPr>
          <w:rStyle w:val="NormalTok"/>
        </w:rPr>
        <w:t xml:space="preserve">bio85 </w:t>
      </w:r>
      <w:r>
        <w:rPr>
          <w:rStyle w:val="OtherTok"/>
        </w:rPr>
        <w:t xml:space="preserve">&lt;-</w:t>
      </w:r>
      <w:r>
        <w:rPr>
          <w:rStyle w:val="NormalTok"/>
        </w:rPr>
        <w:t xml:space="preserve"> raster</w:t>
      </w:r>
      <w:r>
        <w:rPr>
          <w:rStyle w:val="SpecialCharTok"/>
        </w:rPr>
        <w:t xml:space="preserve">::</w:t>
      </w:r>
      <w:r>
        <w:rPr>
          <w:rStyle w:val="FunctionTok"/>
        </w:rPr>
        <w:t xml:space="preserve">mask</w:t>
      </w:r>
      <w:r>
        <w:rPr>
          <w:rStyle w:val="NormalTok"/>
        </w:rPr>
        <w:t xml:space="preserve">(bio85, mascara, </w:t>
      </w:r>
      <w:r>
        <w:rPr>
          <w:rStyle w:val="AttributeTok"/>
        </w:rPr>
        <w:t xml:space="preserve">bylayer=</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(bio85)</w:t>
      </w:r>
      <w:r>
        <w:br/>
      </w:r>
      <w:r>
        <w:br/>
      </w:r>
      <w:r>
        <w:rPr>
          <w:rStyle w:val="DocumentationTok"/>
        </w:rPr>
        <w:t xml:space="preserve">################################################################################</w:t>
      </w:r>
      <w:r>
        <w:br/>
      </w:r>
      <w:r>
        <w:rPr>
          <w:rStyle w:val="CommentTok"/>
        </w:rPr>
        <w:t xml:space="preserve">#--------- 2. RODAGEM DO MODELO PREVIO E </w:t>
      </w:r>
      <w:r>
        <w:br/>
      </w:r>
      <w:r>
        <w:rPr>
          <w:rStyle w:val="CommentTok"/>
        </w:rPr>
        <w:t xml:space="preserve">#               SELECAO DAS VARIAVEIS   ---------#</w:t>
      </w:r>
      <w:r>
        <w:br/>
      </w:r>
      <w:r>
        <w:br/>
      </w:r>
      <w:r>
        <w:rPr>
          <w:rStyle w:val="CommentTok"/>
        </w:rPr>
        <w:t xml:space="preserve"># MODELO CHEIO</w:t>
      </w:r>
      <w:r>
        <w:br/>
      </w:r>
      <w:r>
        <w:br/>
      </w:r>
      <w:r>
        <w:rPr>
          <w:rStyle w:val="CommentTok"/>
        </w:rPr>
        <w:t xml:space="preserve"># Adicionar os dados previo para fazer um modelo com todas as variaveis</w:t>
      </w:r>
      <w:r>
        <w:br/>
      </w:r>
      <w:r>
        <w:rPr>
          <w:rStyle w:val="NormalTok"/>
        </w:rPr>
        <w:t xml:space="preserve">dC </w:t>
      </w:r>
      <w:r>
        <w:rPr>
          <w:rStyle w:val="OtherTok"/>
        </w:rPr>
        <w:t xml:space="preserve">&lt;-</w:t>
      </w:r>
      <w:r>
        <w:rPr>
          <w:rStyle w:val="NormalTok"/>
        </w:rPr>
        <w:t xml:space="preserve"> sdm</w:t>
      </w:r>
      <w:r>
        <w:rPr>
          <w:rStyle w:val="SpecialCharTok"/>
        </w:rPr>
        <w:t xml:space="preserve">::</w:t>
      </w:r>
      <w:r>
        <w:rPr>
          <w:rStyle w:val="FunctionTok"/>
        </w:rPr>
        <w:t xml:space="preserve">sdmData</w:t>
      </w:r>
      <w:r>
        <w:rPr>
          <w:rStyle w:val="NormalTok"/>
        </w:rPr>
        <w:t xml:space="preserve">(species</w:t>
      </w:r>
      <w:r>
        <w:rPr>
          <w:rStyle w:val="SpecialCharTok"/>
        </w:rPr>
        <w:t xml:space="preserve">~</w:t>
      </w:r>
      <w:r>
        <w:rPr>
          <w:rStyle w:val="NormalTok"/>
        </w:rPr>
        <w:t xml:space="preserve">., spg, </w:t>
      </w:r>
      <w:r>
        <w:rPr>
          <w:rStyle w:val="AttributeTok"/>
        </w:rPr>
        <w:t xml:space="preserve">predictors =</w:t>
      </w:r>
      <w:r>
        <w:rPr>
          <w:rStyle w:val="NormalTok"/>
        </w:rPr>
        <w:t xml:space="preserve"> bioCams, </w:t>
      </w:r>
      <w:r>
        <w:br/>
      </w:r>
      <w:r>
        <w:rPr>
          <w:rStyle w:val="NormalTok"/>
        </w:rPr>
        <w:t xml:space="preserve">                   </w:t>
      </w:r>
      <w:r>
        <w:rPr>
          <w:rStyle w:val="AttributeTok"/>
        </w:rPr>
        <w:t xml:space="preserve">bg=</w:t>
      </w:r>
      <w:r>
        <w:rPr>
          <w:rStyle w:val="FunctionTok"/>
        </w:rPr>
        <w:t xml:space="preserve">list</w:t>
      </w:r>
      <w:r>
        <w:rPr>
          <w:rStyle w:val="NormalTok"/>
        </w:rPr>
        <w:t xml:space="preserve">(</w:t>
      </w:r>
      <w:r>
        <w:rPr>
          <w:rStyle w:val="AttributeTok"/>
        </w:rPr>
        <w:t xml:space="preserve">method=</w:t>
      </w:r>
      <w:r>
        <w:rPr>
          <w:rStyle w:val="StringTok"/>
        </w:rPr>
        <w:t xml:space="preserve">'gRandom'</w:t>
      </w:r>
      <w:r>
        <w:rPr>
          <w:rStyle w:val="NormalTok"/>
        </w:rPr>
        <w:t xml:space="preserve">, </w:t>
      </w:r>
      <w:r>
        <w:rPr>
          <w:rStyle w:val="AttributeTok"/>
        </w:rPr>
        <w:t xml:space="preserve">n=</w:t>
      </w:r>
      <w:r>
        <w:rPr>
          <w:rStyle w:val="DecValTok"/>
        </w:rPr>
        <w:t xml:space="preserve">10000</w:t>
      </w:r>
      <w:r>
        <w:rPr>
          <w:rStyle w:val="NormalTok"/>
        </w:rPr>
        <w:t xml:space="preserve">))</w:t>
      </w:r>
      <w:r>
        <w:br/>
      </w:r>
      <w:r>
        <w:rPr>
          <w:rStyle w:val="NormalTok"/>
        </w:rPr>
        <w:t xml:space="preserve">dC</w:t>
      </w:r>
      <w:r>
        <w:br/>
      </w:r>
      <w:r>
        <w:br/>
      </w:r>
      <w:r>
        <w:rPr>
          <w:rStyle w:val="CommentTok"/>
        </w:rPr>
        <w:t xml:space="preserve"># Ajustar e criar os modelos</w:t>
      </w:r>
      <w:r>
        <w:br/>
      </w:r>
      <w:r>
        <w:rPr>
          <w:rStyle w:val="NormalTok"/>
        </w:rPr>
        <w:t xml:space="preserve">mC </w:t>
      </w:r>
      <w:r>
        <w:rPr>
          <w:rStyle w:val="OtherTok"/>
        </w:rPr>
        <w:t xml:space="preserve">&lt;-</w:t>
      </w:r>
      <w:r>
        <w:rPr>
          <w:rStyle w:val="NormalTok"/>
        </w:rPr>
        <w:t xml:space="preserve"> sdm</w:t>
      </w:r>
      <w:r>
        <w:rPr>
          <w:rStyle w:val="SpecialCharTok"/>
        </w:rPr>
        <w:t xml:space="preserve">::</w:t>
      </w:r>
      <w:r>
        <w:rPr>
          <w:rStyle w:val="FunctionTok"/>
        </w:rPr>
        <w:t xml:space="preserve">sdm</w:t>
      </w:r>
      <w:r>
        <w:rPr>
          <w:rStyle w:val="NormalTok"/>
        </w:rPr>
        <w:t xml:space="preserve">(species</w:t>
      </w:r>
      <w:r>
        <w:rPr>
          <w:rStyle w:val="SpecialCharTok"/>
        </w:rPr>
        <w:t xml:space="preserve">~</w:t>
      </w:r>
      <w:r>
        <w:rPr>
          <w:rStyle w:val="NormalTok"/>
        </w:rPr>
        <w:t xml:space="preserve">., dC, </w:t>
      </w:r>
      <w:r>
        <w:rPr>
          <w:rStyle w:val="AttributeTok"/>
        </w:rPr>
        <w:t xml:space="preserve">methods =</w:t>
      </w:r>
      <w:r>
        <w:rPr>
          <w:rStyle w:val="NormalTok"/>
        </w:rPr>
        <w:t xml:space="preserve"> </w:t>
      </w:r>
      <w:r>
        <w:rPr>
          <w:rStyle w:val="StringTok"/>
        </w:rPr>
        <w:t xml:space="preserve">'maxent'</w:t>
      </w:r>
      <w:r>
        <w:rPr>
          <w:rStyle w:val="NormalTok"/>
        </w:rPr>
        <w:t xml:space="preserve">, </w:t>
      </w:r>
      <w:r>
        <w:rPr>
          <w:rStyle w:val="AttributeTok"/>
        </w:rPr>
        <w:t xml:space="preserve">replication=</w:t>
      </w:r>
      <w:r>
        <w:rPr>
          <w:rStyle w:val="FunctionTok"/>
        </w:rPr>
        <w:t xml:space="preserve">c</w:t>
      </w:r>
      <w:r>
        <w:rPr>
          <w:rStyle w:val="NormalTok"/>
        </w:rPr>
        <w:t xml:space="preserve">(</w:t>
      </w:r>
      <w:r>
        <w:rPr>
          <w:rStyle w:val="StringTok"/>
        </w:rPr>
        <w:t xml:space="preserve">'sub'</w:t>
      </w:r>
      <w:r>
        <w:rPr>
          <w:rStyle w:val="NormalTok"/>
        </w:rPr>
        <w:t xml:space="preserve">, </w:t>
      </w:r>
      <w:r>
        <w:rPr>
          <w:rStyle w:val="StringTok"/>
        </w:rPr>
        <w:t xml:space="preserve">'boot'</w:t>
      </w:r>
      <w:r>
        <w:rPr>
          <w:rStyle w:val="NormalTok"/>
        </w:rPr>
        <w:t xml:space="preserve">),</w:t>
      </w:r>
      <w:r>
        <w:br/>
      </w:r>
      <w:r>
        <w:rPr>
          <w:rStyle w:val="NormalTok"/>
        </w:rPr>
        <w:t xml:space="preserve">               </w:t>
      </w:r>
      <w:r>
        <w:rPr>
          <w:rStyle w:val="AttributeTok"/>
        </w:rPr>
        <w:t xml:space="preserve">test.p=</w:t>
      </w:r>
      <w:r>
        <w:rPr>
          <w:rStyle w:val="DecValTok"/>
        </w:rPr>
        <w:t xml:space="preserve">30</w:t>
      </w:r>
      <w:r>
        <w:rPr>
          <w:rStyle w:val="NormalTok"/>
        </w:rPr>
        <w:t xml:space="preserve">, </w:t>
      </w:r>
      <w:r>
        <w:rPr>
          <w:rStyle w:val="AttributeTok"/>
        </w:rPr>
        <w:t xml:space="preserve">n=</w:t>
      </w:r>
      <w:r>
        <w:rPr>
          <w:rStyle w:val="DecValTok"/>
        </w:rPr>
        <w:t xml:space="preserve">25</w:t>
      </w:r>
      <w:r>
        <w:rPr>
          <w:rStyle w:val="NormalTok"/>
        </w:rPr>
        <w:t xml:space="preserve">, </w:t>
      </w:r>
      <w:r>
        <w:rPr>
          <w:rStyle w:val="AttributeTok"/>
        </w:rPr>
        <w:t xml:space="preserve">parallelSettings=</w:t>
      </w:r>
      <w:r>
        <w:rPr>
          <w:rStyle w:val="FunctionTok"/>
        </w:rPr>
        <w:t xml:space="preserve">list</w:t>
      </w:r>
      <w:r>
        <w:rPr>
          <w:rStyle w:val="NormalTok"/>
        </w:rPr>
        <w:t xml:space="preserve">(</w:t>
      </w:r>
      <w:r>
        <w:rPr>
          <w:rStyle w:val="AttributeTok"/>
        </w:rPr>
        <w:t xml:space="preserve">ncore=</w:t>
      </w:r>
      <w:r>
        <w:rPr>
          <w:rStyle w:val="DecValTok"/>
        </w:rPr>
        <w:t xml:space="preserve">5</w:t>
      </w:r>
      <w:r>
        <w:rPr>
          <w:rStyle w:val="NormalTok"/>
        </w:rPr>
        <w:t xml:space="preserve">, </w:t>
      </w:r>
      <w:r>
        <w:rPr>
          <w:rStyle w:val="AttributeTok"/>
        </w:rPr>
        <w:t xml:space="preserve">method=</w:t>
      </w:r>
      <w:r>
        <w:rPr>
          <w:rStyle w:val="StringTok"/>
        </w:rPr>
        <w:t xml:space="preserve">'parallel'</w:t>
      </w:r>
      <w:r>
        <w:rPr>
          <w:rStyle w:val="NormalTok"/>
        </w:rPr>
        <w:t xml:space="preserve">))</w:t>
      </w:r>
      <w:r>
        <w:br/>
      </w:r>
      <w:r>
        <w:br/>
      </w:r>
      <w:r>
        <w:rPr>
          <w:rStyle w:val="CommentTok"/>
        </w:rPr>
        <w:t xml:space="preserve"># NOTAS: 1) Para o MaxEnt funcionar o Java do computador deve estar atualizado. </w:t>
      </w:r>
      <w:r>
        <w:br/>
      </w:r>
      <w:r>
        <w:rPr>
          <w:rStyle w:val="CommentTok"/>
        </w:rPr>
        <w:t xml:space="preserve"># 2) O parametro ncore e a quantidade de cores de processamento utilizados para</w:t>
      </w:r>
      <w:r>
        <w:br/>
      </w:r>
      <w:r>
        <w:rPr>
          <w:rStyle w:val="CommentTok"/>
        </w:rPr>
        <w:t xml:space="preserve"># a modelagem, altere conforme a capacidade do computador</w:t>
      </w:r>
      <w:r>
        <w:br/>
      </w:r>
      <w:r>
        <w:br/>
      </w:r>
      <w:r>
        <w:rPr>
          <w:rStyle w:val="NormalTok"/>
        </w:rPr>
        <w:t xml:space="preserve">mC</w:t>
      </w:r>
      <w:r>
        <w:br/>
      </w:r>
      <w:r>
        <w:br/>
      </w:r>
      <w:r>
        <w:rPr>
          <w:rStyle w:val="CommentTok"/>
        </w:rPr>
        <w:t xml:space="preserve"># Plot da importancia das variaveis</w:t>
      </w:r>
      <w:r>
        <w:br/>
      </w:r>
      <w:r>
        <w:rPr>
          <w:rStyle w:val="FunctionTok"/>
        </w:rPr>
        <w:t xml:space="preserve">plot</w:t>
      </w:r>
      <w:r>
        <w:rPr>
          <w:rStyle w:val="NormalTok"/>
        </w:rPr>
        <w:t xml:space="preserve">(</w:t>
      </w:r>
      <w:r>
        <w:rPr>
          <w:rStyle w:val="FunctionTok"/>
        </w:rPr>
        <w:t xml:space="preserve">getVarImp</w:t>
      </w:r>
      <w:r>
        <w:rPr>
          <w:rStyle w:val="NormalTok"/>
        </w:rPr>
        <w:t xml:space="preserve">(mC), </w:t>
      </w:r>
      <w:r>
        <w:rPr>
          <w:rStyle w:val="StringTok"/>
        </w:rPr>
        <w:t xml:space="preserve">'AUC'</w:t>
      </w:r>
      <w:r>
        <w:rPr>
          <w:rStyle w:val="NormalTok"/>
        </w:rPr>
        <w:t xml:space="preserve">, </w:t>
      </w:r>
      <w:r>
        <w:rPr>
          <w:rStyle w:val="AttributeTok"/>
        </w:rPr>
        <w:t xml:space="preserve">main=</w:t>
      </w:r>
      <w:r>
        <w:rPr>
          <w:rStyle w:val="StringTok"/>
        </w:rPr>
        <w:t xml:space="preserve">"Importância relativa das biovariáveis"</w:t>
      </w:r>
      <w:r>
        <w:rPr>
          <w:rStyle w:val="NormalTok"/>
        </w:rPr>
        <w:t xml:space="preserve">, </w:t>
      </w:r>
      <w:r>
        <w:br/>
      </w:r>
      <w:r>
        <w:rPr>
          <w:rStyle w:val="NormalTok"/>
        </w:rPr>
        <w:t xml:space="preserve">     </w:t>
      </w:r>
      <w:r>
        <w:rPr>
          <w:rStyle w:val="AttributeTok"/>
        </w:rPr>
        <w:t xml:space="preserve">ylab=</w:t>
      </w:r>
      <w:r>
        <w:rPr>
          <w:rStyle w:val="StringTok"/>
        </w:rPr>
        <w:t xml:space="preserve">'Variáveis'</w:t>
      </w:r>
      <w:r>
        <w:rPr>
          <w:rStyle w:val="NormalTok"/>
        </w:rPr>
        <w:t xml:space="preserve">, </w:t>
      </w:r>
      <w:r>
        <w:rPr>
          <w:rStyle w:val="AttributeTok"/>
        </w:rPr>
        <w:t xml:space="preserve">xlab=</w:t>
      </w:r>
      <w:r>
        <w:rPr>
          <w:rStyle w:val="StringTok"/>
        </w:rPr>
        <w:t xml:space="preserve">"Importância relativa da variável"</w:t>
      </w:r>
      <w:r>
        <w:rPr>
          <w:rStyle w:val="NormalTok"/>
        </w:rPr>
        <w:t xml:space="preserve">) </w:t>
      </w:r>
      <w:r>
        <w:rPr>
          <w:rStyle w:val="CommentTok"/>
        </w:rPr>
        <w:t xml:space="preserve"># Biovars: 6, 17, 19, 14</w:t>
      </w:r>
      <w:r>
        <w:br/>
      </w:r>
      <w:r>
        <w:rPr>
          <w:rStyle w:val="FunctionTok"/>
        </w:rPr>
        <w:t xml:space="preserve">getVarImp</w:t>
      </w:r>
      <w:r>
        <w:rPr>
          <w:rStyle w:val="NormalTok"/>
        </w:rPr>
        <w:t xml:space="preserve">(mC)</w:t>
      </w:r>
      <w:r>
        <w:br/>
      </w:r>
      <w:r>
        <w:br/>
      </w:r>
      <w:r>
        <w:rPr>
          <w:rStyle w:val="CommentTok"/>
        </w:rPr>
        <w:t xml:space="preserve"># Para abrir uma interface de exploracao do modelo</w:t>
      </w:r>
      <w:r>
        <w:br/>
      </w:r>
      <w:r>
        <w:rPr>
          <w:rStyle w:val="NormalTok"/>
        </w:rPr>
        <w:t xml:space="preserve">sdm</w:t>
      </w:r>
      <w:r>
        <w:rPr>
          <w:rStyle w:val="SpecialCharTok"/>
        </w:rPr>
        <w:t xml:space="preserve">::</w:t>
      </w:r>
      <w:r>
        <w:rPr>
          <w:rStyle w:val="FunctionTok"/>
        </w:rPr>
        <w:t xml:space="preserve">gui</w:t>
      </w:r>
      <w:r>
        <w:rPr>
          <w:rStyle w:val="NormalTok"/>
        </w:rPr>
        <w:t xml:space="preserve">(mC)</w:t>
      </w:r>
      <w:r>
        <w:br/>
      </w:r>
      <w:r>
        <w:br/>
      </w:r>
      <w:r>
        <w:rPr>
          <w:rStyle w:val="CommentTok"/>
        </w:rPr>
        <w:t xml:space="preserve">#----------</w:t>
      </w:r>
      <w:r>
        <w:br/>
      </w:r>
      <w:r>
        <w:rPr>
          <w:rStyle w:val="CommentTok"/>
        </w:rPr>
        <w:t xml:space="preserve"># TESTE VIF COM AS VARIAVEIS COM MAIOR IMPORTANCIA</w:t>
      </w:r>
      <w:r>
        <w:br/>
      </w:r>
      <w:r>
        <w:br/>
      </w:r>
      <w:r>
        <w:rPr>
          <w:rStyle w:val="CommentTok"/>
        </w:rPr>
        <w:t xml:space="preserve"># Tiramos a camada 14 (alto vif e importância menor do que a correlata 17)</w:t>
      </w:r>
      <w:r>
        <w:br/>
      </w:r>
      <w:r>
        <w:rPr>
          <w:rStyle w:val="NormalTok"/>
        </w:rPr>
        <w:t xml:space="preserve">bioc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(bioCams,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vif</w:t>
      </w:r>
      <w:r>
        <w:rPr>
          <w:rStyle w:val="NormalTok"/>
        </w:rPr>
        <w:t xml:space="preserve">(bioc)</w:t>
      </w:r>
      <w:r>
        <w:br/>
      </w:r>
      <w:r>
        <w:br/>
      </w:r>
      <w:r>
        <w:rPr>
          <w:rStyle w:val="CommentTok"/>
        </w:rPr>
        <w:t xml:space="preserve"># Essa parte ? desnecessaria pois ja fizemos de forma manual</w:t>
      </w:r>
      <w:r>
        <w:br/>
      </w:r>
      <w:r>
        <w:rPr>
          <w:rStyle w:val="CommentTok"/>
        </w:rPr>
        <w:t xml:space="preserve"># ex &lt;- raster::extract(bioc,spg)</w:t>
      </w:r>
      <w:r>
        <w:br/>
      </w:r>
      <w:r>
        <w:rPr>
          <w:rStyle w:val="CommentTok"/>
        </w:rPr>
        <w:t xml:space="preserve"># head(ex)</w:t>
      </w:r>
      <w:r>
        <w:br/>
      </w:r>
      <w:r>
        <w:br/>
      </w:r>
      <w:r>
        <w:rPr>
          <w:rStyle w:val="CommentTok"/>
        </w:rPr>
        <w:t xml:space="preserve"># v &lt;- usdm::vifstep(ex)</w:t>
      </w:r>
      <w:r>
        <w:br/>
      </w:r>
      <w:r>
        <w:rPr>
          <w:rStyle w:val="CommentTok"/>
        </w:rPr>
        <w:t xml:space="preserve"># cor(ex)</w:t>
      </w:r>
      <w:r>
        <w:br/>
      </w:r>
      <w:r>
        <w:br/>
      </w:r>
      <w:r>
        <w:rPr>
          <w:rStyle w:val="CommentTok"/>
        </w:rPr>
        <w:t xml:space="preserve"># Deixar apenas as vars sem problema de colinearidade</w:t>
      </w:r>
      <w:r>
        <w:br/>
      </w:r>
      <w:r>
        <w:rPr>
          <w:rStyle w:val="CommentTok"/>
        </w:rPr>
        <w:t xml:space="preserve"># bioc &lt;- usdm::exclude(bioc, v)</w:t>
      </w:r>
      <w:r>
        <w:br/>
      </w:r>
      <w:r>
        <w:rPr>
          <w:rStyle w:val="CommentTok"/>
        </w:rPr>
        <w:t xml:space="preserve"># bioc</w:t>
      </w:r>
      <w:r>
        <w:br/>
      </w:r>
      <w:r>
        <w:br/>
      </w:r>
      <w:r>
        <w:rPr>
          <w:rStyle w:val="DocumentationTok"/>
        </w:rPr>
        <w:t xml:space="preserve">################################################################################</w:t>
      </w:r>
      <w:r>
        <w:br/>
      </w:r>
      <w:r>
        <w:rPr>
          <w:rStyle w:val="CommentTok"/>
        </w:rPr>
        <w:t xml:space="preserve">#--------- 3. MODELAGEM COM AS CAMADAS SELECIONADAS  </w:t>
      </w:r>
      <w:r>
        <w:br/>
      </w:r>
      <w:r>
        <w:rPr>
          <w:rStyle w:val="CommentTok"/>
        </w:rPr>
        <w:t xml:space="preserve">#                    NA SECAO ANTERIOR   ---------#</w:t>
      </w:r>
      <w:r>
        <w:br/>
      </w:r>
      <w:r>
        <w:br/>
      </w:r>
      <w:r>
        <w:rPr>
          <w:rStyle w:val="CommentTok"/>
        </w:rPr>
        <w:t xml:space="preserve"># Adicionar os dados previos: ocorrencias, camadas e pontos de background</w:t>
      </w:r>
      <w:r>
        <w:br/>
      </w:r>
      <w:r>
        <w:rPr>
          <w:rStyle w:val="NormalTok"/>
        </w:rPr>
        <w:t xml:space="preserve">d </w:t>
      </w:r>
      <w:r>
        <w:rPr>
          <w:rStyle w:val="OtherTok"/>
        </w:rPr>
        <w:t xml:space="preserve">&lt;-</w:t>
      </w:r>
      <w:r>
        <w:rPr>
          <w:rStyle w:val="NormalTok"/>
        </w:rPr>
        <w:t xml:space="preserve"> sdm</w:t>
      </w:r>
      <w:r>
        <w:rPr>
          <w:rStyle w:val="SpecialCharTok"/>
        </w:rPr>
        <w:t xml:space="preserve">::</w:t>
      </w:r>
      <w:r>
        <w:rPr>
          <w:rStyle w:val="FunctionTok"/>
        </w:rPr>
        <w:t xml:space="preserve">sdmData</w:t>
      </w:r>
      <w:r>
        <w:rPr>
          <w:rStyle w:val="NormalTok"/>
        </w:rPr>
        <w:t xml:space="preserve">(species</w:t>
      </w:r>
      <w:r>
        <w:rPr>
          <w:rStyle w:val="SpecialCharTok"/>
        </w:rPr>
        <w:t xml:space="preserve">~</w:t>
      </w:r>
      <w:r>
        <w:rPr>
          <w:rStyle w:val="NormalTok"/>
        </w:rPr>
        <w:t xml:space="preserve">., spg, </w:t>
      </w:r>
      <w:r>
        <w:rPr>
          <w:rStyle w:val="AttributeTok"/>
        </w:rPr>
        <w:t xml:space="preserve">predictors =</w:t>
      </w:r>
      <w:r>
        <w:rPr>
          <w:rStyle w:val="NormalTok"/>
        </w:rPr>
        <w:t xml:space="preserve"> bioc, </w:t>
      </w:r>
      <w:r>
        <w:rPr>
          <w:rStyle w:val="AttributeTok"/>
        </w:rPr>
        <w:t xml:space="preserve">bg=</w:t>
      </w:r>
      <w:r>
        <w:rPr>
          <w:rStyle w:val="FunctionTok"/>
        </w:rPr>
        <w:t xml:space="preserve">list</w:t>
      </w:r>
      <w:r>
        <w:rPr>
          <w:rStyle w:val="NormalTok"/>
        </w:rPr>
        <w:t xml:space="preserve">(</w:t>
      </w:r>
      <w:r>
        <w:rPr>
          <w:rStyle w:val="AttributeTok"/>
        </w:rPr>
        <w:t xml:space="preserve">method=</w:t>
      </w:r>
      <w:r>
        <w:rPr>
          <w:rStyle w:val="StringTok"/>
        </w:rPr>
        <w:t xml:space="preserve">'gRandom'</w:t>
      </w:r>
      <w:r>
        <w:rPr>
          <w:rStyle w:val="NormalTok"/>
        </w:rPr>
        <w:t xml:space="preserve">, </w:t>
      </w:r>
      <w:r>
        <w:br/>
      </w:r>
      <w:r>
        <w:rPr>
          <w:rStyle w:val="NormalTok"/>
        </w:rPr>
        <w:t xml:space="preserve">                                                             </w:t>
      </w:r>
      <w:r>
        <w:rPr>
          <w:rStyle w:val="AttributeTok"/>
        </w:rPr>
        <w:t xml:space="preserve">n=</w:t>
      </w:r>
      <w:r>
        <w:rPr>
          <w:rStyle w:val="DecValTok"/>
        </w:rPr>
        <w:t xml:space="preserve">10000</w:t>
      </w:r>
      <w:r>
        <w:rPr>
          <w:rStyle w:val="NormalTok"/>
        </w:rPr>
        <w:t xml:space="preserve">))</w:t>
      </w:r>
      <w:r>
        <w:br/>
      </w:r>
      <w:r>
        <w:rPr>
          <w:rStyle w:val="NormalTok"/>
        </w:rPr>
        <w:t xml:space="preserve">d</w:t>
      </w:r>
      <w:r>
        <w:br/>
      </w:r>
      <w:r>
        <w:br/>
      </w:r>
      <w:r>
        <w:rPr>
          <w:rStyle w:val="CommentTok"/>
        </w:rPr>
        <w:t xml:space="preserve"># Ajustar os modelos, 50 replicacoes, 25 por Subsampling e 25 por Bootstrap</w:t>
      </w:r>
      <w:r>
        <w:br/>
      </w:r>
      <w:r>
        <w:rPr>
          <w:rStyle w:val="NormalTok"/>
        </w:rPr>
        <w:t xml:space="preserve">m </w:t>
      </w:r>
      <w:r>
        <w:rPr>
          <w:rStyle w:val="OtherTok"/>
        </w:rPr>
        <w:t xml:space="preserve">&lt;-</w:t>
      </w:r>
      <w:r>
        <w:rPr>
          <w:rStyle w:val="NormalTok"/>
        </w:rPr>
        <w:t xml:space="preserve"> sdm</w:t>
      </w:r>
      <w:r>
        <w:rPr>
          <w:rStyle w:val="SpecialCharTok"/>
        </w:rPr>
        <w:t xml:space="preserve">::</w:t>
      </w:r>
      <w:r>
        <w:rPr>
          <w:rStyle w:val="FunctionTok"/>
        </w:rPr>
        <w:t xml:space="preserve">sdm</w:t>
      </w:r>
      <w:r>
        <w:rPr>
          <w:rStyle w:val="NormalTok"/>
        </w:rPr>
        <w:t xml:space="preserve">(species</w:t>
      </w:r>
      <w:r>
        <w:rPr>
          <w:rStyle w:val="SpecialCharTok"/>
        </w:rPr>
        <w:t xml:space="preserve">~</w:t>
      </w:r>
      <w:r>
        <w:rPr>
          <w:rStyle w:val="NormalTok"/>
        </w:rPr>
        <w:t xml:space="preserve">., d, </w:t>
      </w:r>
      <w:r>
        <w:rPr>
          <w:rStyle w:val="AttributeTok"/>
        </w:rPr>
        <w:t xml:space="preserve">methods=</w:t>
      </w:r>
      <w:r>
        <w:rPr>
          <w:rStyle w:val="StringTok"/>
        </w:rPr>
        <w:t xml:space="preserve">'maxent'</w:t>
      </w:r>
      <w:r>
        <w:rPr>
          <w:rStyle w:val="NormalTok"/>
        </w:rPr>
        <w:t xml:space="preserve">, </w:t>
      </w:r>
      <w:r>
        <w:rPr>
          <w:rStyle w:val="AttributeTok"/>
        </w:rPr>
        <w:t xml:space="preserve">replication=</w:t>
      </w:r>
      <w:r>
        <w:rPr>
          <w:rStyle w:val="FunctionTok"/>
        </w:rPr>
        <w:t xml:space="preserve">c</w:t>
      </w:r>
      <w:r>
        <w:rPr>
          <w:rStyle w:val="NormalTok"/>
        </w:rPr>
        <w:t xml:space="preserve">(</w:t>
      </w:r>
      <w:r>
        <w:rPr>
          <w:rStyle w:val="StringTok"/>
        </w:rPr>
        <w:t xml:space="preserve">'sub'</w:t>
      </w:r>
      <w:r>
        <w:rPr>
          <w:rStyle w:val="NormalTok"/>
        </w:rPr>
        <w:t xml:space="preserve">, </w:t>
      </w:r>
      <w:r>
        <w:rPr>
          <w:rStyle w:val="StringTok"/>
        </w:rPr>
        <w:t xml:space="preserve">'boot'</w:t>
      </w:r>
      <w:r>
        <w:rPr>
          <w:rStyle w:val="NormalTok"/>
        </w:rPr>
        <w:t xml:space="preserve">),</w:t>
      </w:r>
      <w:r>
        <w:br/>
      </w:r>
      <w:r>
        <w:rPr>
          <w:rStyle w:val="NormalTok"/>
        </w:rPr>
        <w:t xml:space="preserve">              </w:t>
      </w:r>
      <w:r>
        <w:rPr>
          <w:rStyle w:val="AttributeTok"/>
        </w:rPr>
        <w:t xml:space="preserve">test.p=</w:t>
      </w:r>
      <w:r>
        <w:rPr>
          <w:rStyle w:val="DecValTok"/>
        </w:rPr>
        <w:t xml:space="preserve">30</w:t>
      </w:r>
      <w:r>
        <w:rPr>
          <w:rStyle w:val="NormalTok"/>
        </w:rPr>
        <w:t xml:space="preserve">, </w:t>
      </w:r>
      <w:r>
        <w:rPr>
          <w:rStyle w:val="AttributeTok"/>
        </w:rPr>
        <w:t xml:space="preserve">n=</w:t>
      </w:r>
      <w:r>
        <w:rPr>
          <w:rStyle w:val="DecValTok"/>
        </w:rPr>
        <w:t xml:space="preserve">25</w:t>
      </w:r>
      <w:r>
        <w:rPr>
          <w:rStyle w:val="NormalTok"/>
        </w:rPr>
        <w:t xml:space="preserve">, </w:t>
      </w:r>
      <w:r>
        <w:rPr>
          <w:rStyle w:val="AttributeTok"/>
        </w:rPr>
        <w:t xml:space="preserve">parallelSettings=</w:t>
      </w:r>
      <w:r>
        <w:rPr>
          <w:rStyle w:val="FunctionTok"/>
        </w:rPr>
        <w:t xml:space="preserve">list</w:t>
      </w:r>
      <w:r>
        <w:rPr>
          <w:rStyle w:val="NormalTok"/>
        </w:rPr>
        <w:t xml:space="preserve">(</w:t>
      </w:r>
      <w:r>
        <w:rPr>
          <w:rStyle w:val="AttributeTok"/>
        </w:rPr>
        <w:t xml:space="preserve">ncore=</w:t>
      </w:r>
      <w:r>
        <w:rPr>
          <w:rStyle w:val="DecValTok"/>
        </w:rPr>
        <w:t xml:space="preserve">5</w:t>
      </w:r>
      <w:r>
        <w:rPr>
          <w:rStyle w:val="NormalTok"/>
        </w:rPr>
        <w:t xml:space="preserve">, </w:t>
      </w:r>
      <w:r>
        <w:rPr>
          <w:rStyle w:val="AttributeTok"/>
        </w:rPr>
        <w:t xml:space="preserve">method=</w:t>
      </w:r>
      <w:r>
        <w:rPr>
          <w:rStyle w:val="StringTok"/>
        </w:rPr>
        <w:t xml:space="preserve">'parallel'</w:t>
      </w:r>
      <w:r>
        <w:rPr>
          <w:rStyle w:val="NormalTok"/>
        </w:rPr>
        <w:t xml:space="preserve">))</w:t>
      </w:r>
      <w:r>
        <w:br/>
      </w:r>
      <w:r>
        <w:br/>
      </w:r>
      <w:r>
        <w:rPr>
          <w:rStyle w:val="CommentTok"/>
        </w:rPr>
        <w:t xml:space="preserve"># NOTAS: Como mencionado no item 2, o parametro ncore é a quantidade de cores de</w:t>
      </w:r>
      <w:r>
        <w:br/>
      </w:r>
      <w:r>
        <w:rPr>
          <w:rStyle w:val="CommentTok"/>
        </w:rPr>
        <w:t xml:space="preserve"># processamento utilizados para a modelagem, altere conforme a configuracao do </w:t>
      </w:r>
      <w:r>
        <w:br/>
      </w:r>
      <w:r>
        <w:rPr>
          <w:rStyle w:val="CommentTok"/>
        </w:rPr>
        <w:t xml:space="preserve"># computador</w:t>
      </w:r>
      <w:r>
        <w:br/>
      </w:r>
      <w:r>
        <w:br/>
      </w:r>
      <w:r>
        <w:rPr>
          <w:rStyle w:val="NormalTok"/>
        </w:rPr>
        <w:t xml:space="preserve">m</w:t>
      </w:r>
      <w:r>
        <w:br/>
      </w:r>
      <w:r>
        <w:br/>
      </w:r>
      <w:r>
        <w:rPr>
          <w:rStyle w:val="CommentTok"/>
        </w:rPr>
        <w:t xml:space="preserve"># Plot das contribuicoes das variaveis</w:t>
      </w:r>
      <w:r>
        <w:br/>
      </w:r>
      <w:r>
        <w:rPr>
          <w:rStyle w:val="FunctionTok"/>
        </w:rPr>
        <w:t xml:space="preserve">plot</w:t>
      </w:r>
      <w:r>
        <w:rPr>
          <w:rStyle w:val="NormalTok"/>
        </w:rPr>
        <w:t xml:space="preserve">(</w:t>
      </w:r>
      <w:r>
        <w:rPr>
          <w:rStyle w:val="FunctionTok"/>
        </w:rPr>
        <w:t xml:space="preserve">getVarImp</w:t>
      </w:r>
      <w:r>
        <w:rPr>
          <w:rStyle w:val="NormalTok"/>
        </w:rPr>
        <w:t xml:space="preserve">(m), </w:t>
      </w:r>
      <w:r>
        <w:rPr>
          <w:rStyle w:val="StringTok"/>
        </w:rPr>
        <w:t xml:space="preserve">'AUC'</w:t>
      </w:r>
      <w:r>
        <w:rPr>
          <w:rStyle w:val="NormalTok"/>
        </w:rPr>
        <w:t xml:space="preserve">)</w:t>
      </w:r>
      <w:r>
        <w:br/>
      </w:r>
      <w:r>
        <w:rPr>
          <w:rStyle w:val="NormalTok"/>
        </w:rPr>
        <w:t xml:space="preserve">sdm</w:t>
      </w:r>
      <w:r>
        <w:rPr>
          <w:rStyle w:val="SpecialCharTok"/>
        </w:rPr>
        <w:t xml:space="preserve">::</w:t>
      </w:r>
      <w:r>
        <w:rPr>
          <w:rStyle w:val="FunctionTok"/>
        </w:rPr>
        <w:t xml:space="preserve">getVarImp</w:t>
      </w:r>
      <w:r>
        <w:rPr>
          <w:rStyle w:val="NormalTok"/>
        </w:rPr>
        <w:t xml:space="preserve">((m))</w:t>
      </w:r>
      <w:r>
        <w:br/>
      </w:r>
      <w:r>
        <w:br/>
      </w:r>
      <w:r>
        <w:rPr>
          <w:rStyle w:val="CommentTok"/>
        </w:rPr>
        <w:t xml:space="preserve"># Para abrir uma interface de exploracao do modelo</w:t>
      </w:r>
      <w:r>
        <w:br/>
      </w:r>
      <w:r>
        <w:rPr>
          <w:rStyle w:val="NormalTok"/>
        </w:rPr>
        <w:t xml:space="preserve">sdm</w:t>
      </w:r>
      <w:r>
        <w:rPr>
          <w:rStyle w:val="SpecialCharTok"/>
        </w:rPr>
        <w:t xml:space="preserve">::</w:t>
      </w:r>
      <w:r>
        <w:rPr>
          <w:rStyle w:val="FunctionTok"/>
        </w:rPr>
        <w:t xml:space="preserve">gui</w:t>
      </w:r>
      <w:r>
        <w:rPr>
          <w:rStyle w:val="NormalTok"/>
        </w:rPr>
        <w:t xml:space="preserve">(m)</w:t>
      </w:r>
      <w:r>
        <w:br/>
      </w:r>
      <w:r>
        <w:br/>
      </w:r>
      <w:r>
        <w:rPr>
          <w:rStyle w:val="DocumentationTok"/>
        </w:rPr>
        <w:t xml:space="preserve">################################################################################</w:t>
      </w:r>
      <w:r>
        <w:br/>
      </w:r>
      <w:r>
        <w:rPr>
          <w:rStyle w:val="CommentTok"/>
        </w:rPr>
        <w:t xml:space="preserve">#--------- 4. PROJECAO DO MODELO PARA O PRESENTE   ---------#</w:t>
      </w:r>
      <w:r>
        <w:br/>
      </w:r>
      <w:r>
        <w:br/>
      </w:r>
      <w:r>
        <w:rPr>
          <w:rStyle w:val="CommentTok"/>
        </w:rPr>
        <w:t xml:space="preserve"># Projecao dos 50 modelos criados na seção anterior para o presente</w:t>
      </w:r>
      <w:r>
        <w:br/>
      </w:r>
      <w:r>
        <w:rPr>
          <w:rStyle w:val="NormalTok"/>
        </w:rPr>
        <w:t xml:space="preserve">p1 </w:t>
      </w:r>
      <w:r>
        <w:rPr>
          <w:rStyle w:val="OtherTok"/>
        </w:rPr>
        <w:t xml:space="preserve">&lt;-</w:t>
      </w:r>
      <w:r>
        <w:rPr>
          <w:rStyle w:val="NormalTok"/>
        </w:rPr>
        <w:t xml:space="preserve"> </w:t>
      </w:r>
      <w:r>
        <w:rPr>
          <w:rStyle w:val="FunctionTok"/>
        </w:rPr>
        <w:t xml:space="preserve">predict</w:t>
      </w:r>
      <w:r>
        <w:rPr>
          <w:rStyle w:val="NormalTok"/>
        </w:rPr>
        <w:t xml:space="preserve">(m, bioc, </w:t>
      </w:r>
      <w:r>
        <w:rPr>
          <w:rStyle w:val="AttributeTok"/>
        </w:rPr>
        <w:t xml:space="preserve">filename=</w:t>
      </w:r>
      <w:r>
        <w:rPr>
          <w:rStyle w:val="StringTok"/>
        </w:rPr>
        <w:t xml:space="preserve">'./Resultados_subsecundum/presente.img'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p1</w:t>
      </w:r>
      <w:r>
        <w:br/>
      </w:r>
      <w:r>
        <w:br/>
      </w:r>
      <w:r>
        <w:rPr>
          <w:rStyle w:val="CommentTok"/>
        </w:rPr>
        <w:t xml:space="preserve"># Obter um modelo consenso dentre os 50 criados para o presente por meio da </w:t>
      </w:r>
      <w:r>
        <w:br/>
      </w:r>
      <w:r>
        <w:rPr>
          <w:rStyle w:val="CommentTok"/>
        </w:rPr>
        <w:t xml:space="preserve"># mediana ponderada</w:t>
      </w:r>
      <w:r>
        <w:br/>
      </w:r>
      <w:r>
        <w:rPr>
          <w:rStyle w:val="NormalTok"/>
        </w:rPr>
        <w:t xml:space="preserve">en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bioc, </w:t>
      </w:r>
      <w:r>
        <w:rPr>
          <w:rStyle w:val="AttributeTok"/>
        </w:rPr>
        <w:t xml:space="preserve">filename =</w:t>
      </w:r>
      <w:r>
        <w:rPr>
          <w:rStyle w:val="NormalTok"/>
        </w:rPr>
        <w:t xml:space="preserve"> </w:t>
      </w:r>
      <w:r>
        <w:br/>
      </w:r>
      <w:r>
        <w:rPr>
          <w:rStyle w:val="NormalTok"/>
        </w:rPr>
        <w:t xml:space="preserve">                        </w:t>
      </w:r>
      <w:r>
        <w:rPr>
          <w:rStyle w:val="StringTok"/>
        </w:rPr>
        <w:t xml:space="preserve">'./Resultados_subsecundum/ensemble_presente.img'</w:t>
      </w:r>
      <w:r>
        <w:rPr>
          <w:rStyle w:val="NormalTok"/>
        </w:rPr>
        <w:t xml:space="preserve">, </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en</w:t>
      </w:r>
      <w:r>
        <w:br/>
      </w:r>
      <w:r>
        <w:br/>
      </w:r>
      <w:r>
        <w:rPr>
          <w:rStyle w:val="CommentTok"/>
        </w:rPr>
        <w:t xml:space="preserve"># Verificacao</w:t>
      </w:r>
      <w:r>
        <w:br/>
      </w:r>
      <w:r>
        <w:rPr>
          <w:rStyle w:val="FunctionTok"/>
        </w:rPr>
        <w:t xml:space="preserve">plot</w:t>
      </w:r>
      <w:r>
        <w:rPr>
          <w:rStyle w:val="NormalTok"/>
        </w:rPr>
        <w:t xml:space="preserve">(p1)</w:t>
      </w:r>
      <w:r>
        <w:br/>
      </w:r>
      <w:r>
        <w:rPr>
          <w:rStyle w:val="FunctionTok"/>
        </w:rPr>
        <w:t xml:space="preserve">plot</w:t>
      </w:r>
      <w:r>
        <w:rPr>
          <w:rStyle w:val="NormalTok"/>
        </w:rPr>
        <w:t xml:space="preserve">(en)</w:t>
      </w:r>
      <w:r>
        <w:br/>
      </w:r>
      <w:r>
        <w:br/>
      </w:r>
      <w:r>
        <w:rPr>
          <w:rStyle w:val="DocumentationTok"/>
        </w:rPr>
        <w:t xml:space="preserve">################################################################################</w:t>
      </w:r>
      <w:r>
        <w:br/>
      </w:r>
      <w:r>
        <w:rPr>
          <w:rStyle w:val="CommentTok"/>
        </w:rPr>
        <w:t xml:space="preserve">#--------- 5. PROJECAO DO MODELO PARA O FUTURO (RCP45)   ---------#</w:t>
      </w:r>
      <w:r>
        <w:br/>
      </w:r>
      <w:r>
        <w:br/>
      </w:r>
      <w:r>
        <w:rPr>
          <w:rStyle w:val="CommentTok"/>
        </w:rPr>
        <w:t xml:space="preserve"># Selecionar apenas as biovariaveis 6, 17, 19</w:t>
      </w:r>
      <w:r>
        <w:br/>
      </w:r>
      <w:r>
        <w:rPr>
          <w:rStyle w:val="NormalTok"/>
        </w:rPr>
        <w:t xml:space="preserve">bioS45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(bio45,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plot</w:t>
      </w:r>
      <w:r>
        <w:rPr>
          <w:rStyle w:val="NormalTok"/>
        </w:rPr>
        <w:t xml:space="preserve">(bioS45)</w:t>
      </w:r>
      <w:r>
        <w:br/>
      </w:r>
      <w:r>
        <w:br/>
      </w:r>
      <w:r>
        <w:rPr>
          <w:rStyle w:val="CommentTok"/>
        </w:rPr>
        <w:t xml:space="preserve"># Predicao utilizando o modelo criado na secao 3 para as camadas de RCP45</w:t>
      </w:r>
      <w:r>
        <w:br/>
      </w:r>
      <w:r>
        <w:rPr>
          <w:rStyle w:val="NormalTok"/>
        </w:rPr>
        <w:t xml:space="preserve">p2 </w:t>
      </w:r>
      <w:r>
        <w:rPr>
          <w:rStyle w:val="OtherTok"/>
        </w:rPr>
        <w:t xml:space="preserve">&lt;-</w:t>
      </w:r>
      <w:r>
        <w:rPr>
          <w:rStyle w:val="NormalTok"/>
        </w:rPr>
        <w:t xml:space="preserve"> </w:t>
      </w:r>
      <w:r>
        <w:rPr>
          <w:rStyle w:val="FunctionTok"/>
        </w:rPr>
        <w:t xml:space="preserve">predict</w:t>
      </w:r>
      <w:r>
        <w:rPr>
          <w:rStyle w:val="NormalTok"/>
        </w:rPr>
        <w:t xml:space="preserve">(m, bioS45, </w:t>
      </w:r>
      <w:r>
        <w:rPr>
          <w:rStyle w:val="AttributeTok"/>
        </w:rPr>
        <w:t xml:space="preserve">filename=</w:t>
      </w:r>
      <w:r>
        <w:rPr>
          <w:rStyle w:val="StringTok"/>
        </w:rPr>
        <w:t xml:space="preserve">'./Resultados_subsecundum/modelos_RCP45.img'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p2</w:t>
      </w:r>
      <w:r>
        <w:br/>
      </w:r>
      <w:r>
        <w:br/>
      </w:r>
      <w:r>
        <w:rPr>
          <w:rStyle w:val="CommentTok"/>
        </w:rPr>
        <w:t xml:space="preserve"># Obter um modelo consenso dentre os 50 criados para o futuro RCP45 por meio da </w:t>
      </w:r>
      <w:r>
        <w:br/>
      </w:r>
      <w:r>
        <w:rPr>
          <w:rStyle w:val="CommentTok"/>
        </w:rPr>
        <w:t xml:space="preserve"># mediana ponderada</w:t>
      </w:r>
      <w:r>
        <w:br/>
      </w:r>
      <w:r>
        <w:rPr>
          <w:rStyle w:val="NormalTok"/>
        </w:rPr>
        <w:t xml:space="preserve">en45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bioS45, </w:t>
      </w:r>
      <w:r>
        <w:rPr>
          <w:rStyle w:val="AttributeTok"/>
        </w:rPr>
        <w:t xml:space="preserve">filename=</w:t>
      </w:r>
      <w:r>
        <w:rPr>
          <w:rStyle w:val="StringTok"/>
        </w:rPr>
        <w:t xml:space="preserve">'./Resultados_subsecundum/futuro_RCP45.img'</w:t>
      </w:r>
      <w:r>
        <w:rPr>
          <w:rStyle w:val="NormalTok"/>
        </w:rPr>
        <w:t xml:space="preserve">,</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en45</w:t>
      </w:r>
      <w:r>
        <w:br/>
      </w:r>
      <w:r>
        <w:br/>
      </w:r>
      <w:r>
        <w:rPr>
          <w:rStyle w:val="CommentTok"/>
        </w:rPr>
        <w:t xml:space="preserve"># Verificacao</w:t>
      </w:r>
      <w:r>
        <w:br/>
      </w:r>
      <w:r>
        <w:rPr>
          <w:rStyle w:val="FunctionTok"/>
        </w:rPr>
        <w:t xml:space="preserve">plot</w:t>
      </w:r>
      <w:r>
        <w:rPr>
          <w:rStyle w:val="NormalTok"/>
        </w:rPr>
        <w:t xml:space="preserve">(p2)</w:t>
      </w:r>
      <w:r>
        <w:br/>
      </w:r>
      <w:r>
        <w:rPr>
          <w:rStyle w:val="FunctionTok"/>
        </w:rPr>
        <w:t xml:space="preserve">plot</w:t>
      </w:r>
      <w:r>
        <w:rPr>
          <w:rStyle w:val="NormalTok"/>
        </w:rPr>
        <w:t xml:space="preserve">(en45)</w:t>
      </w:r>
      <w:r>
        <w:br/>
      </w:r>
      <w:r>
        <w:br/>
      </w:r>
      <w:r>
        <w:rPr>
          <w:rStyle w:val="DocumentationTok"/>
        </w:rPr>
        <w:t xml:space="preserve">################################################################################</w:t>
      </w:r>
      <w:r>
        <w:br/>
      </w:r>
      <w:r>
        <w:rPr>
          <w:rStyle w:val="CommentTok"/>
        </w:rPr>
        <w:t xml:space="preserve">#--------- 6. PROJECAO DO MODELO PARA O FUTURO (RCP85)   ---------#</w:t>
      </w:r>
      <w:r>
        <w:br/>
      </w:r>
      <w:r>
        <w:br/>
      </w:r>
      <w:r>
        <w:rPr>
          <w:rStyle w:val="CommentTok"/>
        </w:rPr>
        <w:t xml:space="preserve"># Selecionar apenas as biovariaveis 6, 17, 19</w:t>
      </w:r>
      <w:r>
        <w:br/>
      </w:r>
      <w:r>
        <w:rPr>
          <w:rStyle w:val="NormalTok"/>
        </w:rPr>
        <w:t xml:space="preserve">bioS85 </w:t>
      </w:r>
      <w:r>
        <w:rPr>
          <w:rStyle w:val="OtherTok"/>
        </w:rPr>
        <w:t xml:space="preserve">&lt;-</w:t>
      </w:r>
      <w:r>
        <w:rPr>
          <w:rStyle w:val="NormalTok"/>
        </w:rPr>
        <w:t xml:space="preserve"> raster</w:t>
      </w:r>
      <w:r>
        <w:rPr>
          <w:rStyle w:val="SpecialCharTok"/>
        </w:rPr>
        <w:t xml:space="preserve">::</w:t>
      </w:r>
      <w:r>
        <w:rPr>
          <w:rStyle w:val="FunctionTok"/>
        </w:rPr>
        <w:t xml:space="preserve">subset</w:t>
      </w:r>
      <w:r>
        <w:rPr>
          <w:rStyle w:val="NormalTok"/>
        </w:rPr>
        <w:t xml:space="preserve">(bio85,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w:t>
      </w:r>
      <w:r>
        <w:br/>
      </w:r>
      <w:r>
        <w:rPr>
          <w:rStyle w:val="FunctionTok"/>
        </w:rPr>
        <w:t xml:space="preserve">plot</w:t>
      </w:r>
      <w:r>
        <w:rPr>
          <w:rStyle w:val="NormalTok"/>
        </w:rPr>
        <w:t xml:space="preserve">(bioS85)</w:t>
      </w:r>
      <w:r>
        <w:br/>
      </w:r>
      <w:r>
        <w:br/>
      </w:r>
      <w:r>
        <w:rPr>
          <w:rStyle w:val="CommentTok"/>
        </w:rPr>
        <w:t xml:space="preserve"># Predicao utilizando o modelo criado na secao 3 para as camadas de RCP85</w:t>
      </w:r>
      <w:r>
        <w:br/>
      </w:r>
      <w:r>
        <w:rPr>
          <w:rStyle w:val="NormalTok"/>
        </w:rPr>
        <w:t xml:space="preserve">p3 </w:t>
      </w:r>
      <w:r>
        <w:rPr>
          <w:rStyle w:val="OtherTok"/>
        </w:rPr>
        <w:t xml:space="preserve">&lt;-</w:t>
      </w:r>
      <w:r>
        <w:rPr>
          <w:rStyle w:val="NormalTok"/>
        </w:rPr>
        <w:t xml:space="preserve"> </w:t>
      </w:r>
      <w:r>
        <w:rPr>
          <w:rStyle w:val="FunctionTok"/>
        </w:rPr>
        <w:t xml:space="preserve">predict</w:t>
      </w:r>
      <w:r>
        <w:rPr>
          <w:rStyle w:val="NormalTok"/>
        </w:rPr>
        <w:t xml:space="preserve">(m, bioS85, </w:t>
      </w:r>
      <w:r>
        <w:rPr>
          <w:rStyle w:val="AttributeTok"/>
        </w:rPr>
        <w:t xml:space="preserve">filename=</w:t>
      </w:r>
      <w:r>
        <w:rPr>
          <w:rStyle w:val="StringTok"/>
        </w:rPr>
        <w:t xml:space="preserve">'./Resultados_subsecundum/modelos_RC85.img'</w:t>
      </w:r>
      <w:r>
        <w:rPr>
          <w:rStyle w:val="NormalTok"/>
        </w:rPr>
        <w:t xml:space="preserv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p3</w:t>
      </w:r>
      <w:r>
        <w:br/>
      </w:r>
      <w:r>
        <w:br/>
      </w:r>
      <w:r>
        <w:rPr>
          <w:rStyle w:val="CommentTok"/>
        </w:rPr>
        <w:t xml:space="preserve"># Obter um modelo consenso dentre os 50 criados para o futuro RCP85 por meio da </w:t>
      </w:r>
      <w:r>
        <w:br/>
      </w:r>
      <w:r>
        <w:rPr>
          <w:rStyle w:val="CommentTok"/>
        </w:rPr>
        <w:t xml:space="preserve"># mediana ponderada</w:t>
      </w:r>
      <w:r>
        <w:br/>
      </w:r>
      <w:r>
        <w:rPr>
          <w:rStyle w:val="NormalTok"/>
        </w:rPr>
        <w:t xml:space="preserve">en85 </w:t>
      </w:r>
      <w:r>
        <w:rPr>
          <w:rStyle w:val="OtherTok"/>
        </w:rPr>
        <w:t xml:space="preserve">&lt;-</w:t>
      </w:r>
      <w:r>
        <w:rPr>
          <w:rStyle w:val="NormalTok"/>
        </w:rPr>
        <w:t xml:space="preserve"> sdm</w:t>
      </w:r>
      <w:r>
        <w:rPr>
          <w:rStyle w:val="SpecialCharTok"/>
        </w:rPr>
        <w:t xml:space="preserve">::</w:t>
      </w:r>
      <w:r>
        <w:rPr>
          <w:rStyle w:val="FunctionTok"/>
        </w:rPr>
        <w:t xml:space="preserve">ensemble</w:t>
      </w:r>
      <w:r>
        <w:rPr>
          <w:rStyle w:val="NormalTok"/>
        </w:rPr>
        <w:t xml:space="preserve">(m, bioS85, </w:t>
      </w:r>
      <w:r>
        <w:rPr>
          <w:rStyle w:val="AttributeTok"/>
        </w:rPr>
        <w:t xml:space="preserve">filename=</w:t>
      </w:r>
      <w:r>
        <w:rPr>
          <w:rStyle w:val="StringTok"/>
        </w:rPr>
        <w:t xml:space="preserve">'./Resultados_subsecundum/futuro_RC85.img'</w:t>
      </w:r>
      <w:r>
        <w:rPr>
          <w:rStyle w:val="NormalTok"/>
        </w:rPr>
        <w:t xml:space="preserve">,</w:t>
      </w:r>
      <w:r>
        <w:br/>
      </w:r>
      <w:r>
        <w:rPr>
          <w:rStyle w:val="NormalTok"/>
        </w:rPr>
        <w:t xml:space="preserve">                      </w:t>
      </w:r>
      <w:r>
        <w:rPr>
          <w:rStyle w:val="AttributeTok"/>
        </w:rPr>
        <w:t xml:space="preserve">setting =</w:t>
      </w:r>
      <w:r>
        <w:rPr>
          <w:rStyle w:val="FunctionTok"/>
        </w:rPr>
        <w:t xml:space="preserve">list</w:t>
      </w:r>
      <w:r>
        <w:rPr>
          <w:rStyle w:val="NormalTok"/>
        </w:rPr>
        <w:t xml:space="preserve">(</w:t>
      </w:r>
      <w:r>
        <w:rPr>
          <w:rStyle w:val="AttributeTok"/>
        </w:rPr>
        <w:t xml:space="preserve">method=</w:t>
      </w:r>
      <w:r>
        <w:rPr>
          <w:rStyle w:val="StringTok"/>
        </w:rPr>
        <w:t xml:space="preserve">'weighted'</w:t>
      </w:r>
      <w:r>
        <w:rPr>
          <w:rStyle w:val="NormalTok"/>
        </w:rPr>
        <w:t xml:space="preserve">, </w:t>
      </w:r>
      <w:r>
        <w:rPr>
          <w:rStyle w:val="AttributeTok"/>
        </w:rPr>
        <w:t xml:space="preserve">stat=</w:t>
      </w:r>
      <w:r>
        <w:rPr>
          <w:rStyle w:val="StringTok"/>
        </w:rPr>
        <w:t xml:space="preserve">'tss'</w:t>
      </w:r>
      <w:r>
        <w:rPr>
          <w:rStyle w:val="NormalTok"/>
        </w:rPr>
        <w:t xml:space="preserve">, </w:t>
      </w:r>
      <w:r>
        <w:rPr>
          <w:rStyle w:val="AttributeTok"/>
        </w:rPr>
        <w:t xml:space="preserve">opt=</w:t>
      </w:r>
      <w:r>
        <w:rPr>
          <w:rStyle w:val="DecValTok"/>
        </w:rPr>
        <w:t xml:space="preserve">2</w:t>
      </w:r>
      <w:r>
        <w:rPr>
          <w:rStyle w:val="NormalTok"/>
        </w:rPr>
        <w:t xml:space="preserve">), </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br/>
      </w:r>
      <w:r>
        <w:rPr>
          <w:rStyle w:val="CommentTok"/>
        </w:rPr>
        <w:t xml:space="preserve"># Verificacao</w:t>
      </w:r>
      <w:r>
        <w:br/>
      </w:r>
      <w:r>
        <w:rPr>
          <w:rStyle w:val="FunctionTok"/>
        </w:rPr>
        <w:t xml:space="preserve">plot</w:t>
      </w:r>
      <w:r>
        <w:rPr>
          <w:rStyle w:val="NormalTok"/>
        </w:rPr>
        <w:t xml:space="preserve">(en85)</w:t>
      </w:r>
      <w:r>
        <w:br/>
      </w:r>
      <w:r>
        <w:br/>
      </w:r>
      <w:r>
        <w:rPr>
          <w:rStyle w:val="DocumentationTok"/>
        </w:rPr>
        <w:t xml:space="preserve">################################################################################</w:t>
      </w:r>
      <w:r>
        <w:br/>
      </w:r>
      <w:r>
        <w:rPr>
          <w:rStyle w:val="CommentTok"/>
        </w:rPr>
        <w:t xml:space="preserve">#--------- 7. CONSTRUCAO DE MAPAS BINARIOS E</w:t>
      </w:r>
      <w:r>
        <w:br/>
      </w:r>
      <w:r>
        <w:rPr>
          <w:rStyle w:val="CommentTok"/>
        </w:rPr>
        <w:t xml:space="preserve">#             DE DENSIDADE DE PROBABILIDADE  ---------#</w:t>
      </w:r>
      <w:r>
        <w:br/>
      </w:r>
      <w:r>
        <w:br/>
      </w:r>
      <w:r>
        <w:rPr>
          <w:rStyle w:val="CommentTok"/>
        </w:rPr>
        <w:t xml:space="preserve"># Paleta de cores</w:t>
      </w:r>
      <w:r>
        <w:br/>
      </w:r>
      <w:r>
        <w:rPr>
          <w:rStyle w:val="NormalTok"/>
        </w:rPr>
        <w:t xml:space="preserve">cores </w:t>
      </w:r>
      <w:r>
        <w:rPr>
          <w:rStyle w:val="OtherTok"/>
        </w:rPr>
        <w:t xml:space="preserve">&lt;-</w:t>
      </w:r>
      <w:r>
        <w:rPr>
          <w:rStyle w:val="NormalTok"/>
        </w:rPr>
        <w:t xml:space="preserve"> 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'#3E49BB'</w:t>
      </w:r>
      <w:r>
        <w:rPr>
          <w:rStyle w:val="NormalTok"/>
        </w:rPr>
        <w:t xml:space="preserve">, </w:t>
      </w:r>
      <w:r>
        <w:rPr>
          <w:rStyle w:val="StringTok"/>
        </w:rPr>
        <w:t xml:space="preserve">'#3498DB'</w:t>
      </w:r>
      <w:r>
        <w:rPr>
          <w:rStyle w:val="NormalTok"/>
        </w:rPr>
        <w:t xml:space="preserve">, </w:t>
      </w:r>
      <w:r>
        <w:rPr>
          <w:rStyle w:val="StringTok"/>
        </w:rPr>
        <w:t xml:space="preserve">'yellow'</w:t>
      </w:r>
      <w:r>
        <w:rPr>
          <w:rStyle w:val="NormalTok"/>
        </w:rPr>
        <w:t xml:space="preserve">, </w:t>
      </w:r>
      <w:r>
        <w:rPr>
          <w:rStyle w:val="StringTok"/>
        </w:rPr>
        <w:t xml:space="preserve">'orange'</w:t>
      </w:r>
      <w:r>
        <w:rPr>
          <w:rStyle w:val="NormalTok"/>
        </w:rPr>
        <w:t xml:space="preserve">, </w:t>
      </w:r>
      <w:r>
        <w:rPr>
          <w:rStyle w:val="StringTok"/>
        </w:rPr>
        <w:t xml:space="preserve">'red'</w:t>
      </w:r>
      <w:r>
        <w:rPr>
          <w:rStyle w:val="NormalTok"/>
        </w:rPr>
        <w:t xml:space="preserve">, </w:t>
      </w:r>
      <w:r>
        <w:rPr>
          <w:rStyle w:val="StringTok"/>
        </w:rPr>
        <w:t xml:space="preserve">'darkred'</w:t>
      </w:r>
      <w:r>
        <w:rPr>
          <w:rStyle w:val="NormalTok"/>
        </w:rPr>
        <w:t xml:space="preserve">))</w:t>
      </w:r>
      <w:r>
        <w:br/>
      </w:r>
      <w:r>
        <w:br/>
      </w:r>
      <w:r>
        <w:rPr>
          <w:rStyle w:val="CommentTok"/>
        </w:rPr>
        <w:t xml:space="preserve"># Plot dos mapa com a nova paleta de cores</w:t>
      </w:r>
      <w:r>
        <w:br/>
      </w:r>
      <w:r>
        <w:rPr>
          <w:rStyle w:val="FunctionTok"/>
        </w:rPr>
        <w:t xml:space="preserve">plot</w:t>
      </w:r>
      <w:r>
        <w:rPr>
          <w:rStyle w:val="NormalTok"/>
        </w:rPr>
        <w:t xml:space="preserve">(en,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rPr>
          <w:rStyle w:val="FunctionTok"/>
        </w:rPr>
        <w:t xml:space="preserve">plot</w:t>
      </w:r>
      <w:r>
        <w:rPr>
          <w:rStyle w:val="NormalTok"/>
        </w:rPr>
        <w:t xml:space="preserve">(en45,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rPr>
          <w:rStyle w:val="FunctionTok"/>
        </w:rPr>
        <w:t xml:space="preserve">plot</w:t>
      </w:r>
      <w:r>
        <w:rPr>
          <w:rStyle w:val="NormalTok"/>
        </w:rPr>
        <w:t xml:space="preserve">(en85, </w:t>
      </w:r>
      <w:r>
        <w:rPr>
          <w:rStyle w:val="AttributeTok"/>
        </w:rPr>
        <w:t xml:space="preserve">col=</w:t>
      </w:r>
      <w:r>
        <w:rPr>
          <w:rStyle w:val="FunctionTok"/>
        </w:rPr>
        <w:t xml:space="preserve">cores</w:t>
      </w:r>
      <w:r>
        <w:rPr>
          <w:rStyle w:val="NormalTok"/>
        </w:rPr>
        <w:t xml:space="preserve">(</w:t>
      </w:r>
      <w:r>
        <w:rPr>
          <w:rStyle w:val="DecValTok"/>
        </w:rPr>
        <w:t xml:space="preserve">200</w:t>
      </w:r>
      <w:r>
        <w:rPr>
          <w:rStyle w:val="NormalTok"/>
        </w:rPr>
        <w:t xml:space="preserve">))</w:t>
      </w:r>
      <w:r>
        <w:br/>
      </w:r>
      <w:r>
        <w:br/>
      </w:r>
      <w:r>
        <w:rPr>
          <w:rStyle w:val="CommentTok"/>
        </w:rPr>
        <w:t xml:space="preserve"># Visualizacao alteranativa dos mapaP45 por meio do mapview</w:t>
      </w:r>
      <w:r>
        <w:br/>
      </w:r>
      <w:r>
        <w:rPr>
          <w:rStyle w:val="NormalTok"/>
        </w:rPr>
        <w:t xml:space="preserve">mapview</w:t>
      </w:r>
      <w:r>
        <w:rPr>
          <w:rStyle w:val="SpecialCharTok"/>
        </w:rPr>
        <w:t xml:space="preserve">::</w:t>
      </w:r>
      <w:r>
        <w:rPr>
          <w:rStyle w:val="FunctionTok"/>
        </w:rPr>
        <w:t xml:space="preserve">mapview</w:t>
      </w:r>
      <w:r>
        <w:rPr>
          <w:rStyle w:val="NormalTok"/>
        </w:rPr>
        <w:t xml:space="preserve">(</w:t>
      </w:r>
      <w:r>
        <w:rPr>
          <w:rStyle w:val="FunctionTok"/>
        </w:rPr>
        <w:t xml:space="preserve">stack</w:t>
      </w:r>
      <w:r>
        <w:rPr>
          <w:rStyle w:val="NormalTok"/>
        </w:rPr>
        <w:t xml:space="preserve">(en,en45,en85)) </w:t>
      </w:r>
      <w:r>
        <w:br/>
      </w:r>
      <w:r>
        <w:br/>
      </w:r>
      <w:r>
        <w:rPr>
          <w:rStyle w:val="CommentTok"/>
        </w:rPr>
        <w:t xml:space="preserve">#----------</w:t>
      </w:r>
      <w:r>
        <w:br/>
      </w:r>
      <w:r>
        <w:rPr>
          <w:rStyle w:val="DocumentationTok"/>
        </w:rPr>
        <w:t xml:space="preserve">### Mapa de alteracao de adequabilidade (NAO BINARIO) entre o presente e o futuro </w:t>
      </w:r>
      <w:r>
        <w:br/>
      </w:r>
      <w:r>
        <w:rPr>
          <w:rStyle w:val="CommentTok"/>
        </w:rPr>
        <w:t xml:space="preserve"># de RCP 45</w:t>
      </w:r>
      <w:r>
        <w:br/>
      </w:r>
      <w:r>
        <w:rPr>
          <w:rStyle w:val="NormalTok"/>
        </w:rPr>
        <w:t xml:space="preserve">ch45 </w:t>
      </w:r>
      <w:r>
        <w:rPr>
          <w:rStyle w:val="OtherTok"/>
        </w:rPr>
        <w:t xml:space="preserve">&lt;-</w:t>
      </w:r>
      <w:r>
        <w:rPr>
          <w:rStyle w:val="NormalTok"/>
        </w:rPr>
        <w:t xml:space="preserve"> en45 </w:t>
      </w:r>
      <w:r>
        <w:rPr>
          <w:rStyle w:val="SpecialCharTok"/>
        </w:rPr>
        <w:t xml:space="preserve">-</w:t>
      </w:r>
      <w:r>
        <w:rPr>
          <w:rStyle w:val="NormalTok"/>
        </w:rPr>
        <w:t xml:space="preserve"> en</w:t>
      </w:r>
      <w:r>
        <w:br/>
      </w:r>
      <w:r>
        <w:br/>
      </w:r>
      <w:r>
        <w:rPr>
          <w:rStyle w:val="NormalTok"/>
        </w:rPr>
        <w:t xml:space="preserve">cores2</w:t>
      </w:r>
      <w:r>
        <w:rPr>
          <w:rStyle w:val="OtherTok"/>
        </w:rPr>
        <w:t xml:space="preserve">&lt;-</w:t>
      </w:r>
      <w:r>
        <w:rPr>
          <w:rStyle w:val="NormalTok"/>
        </w:rPr>
        <w:t xml:space="preserve">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r>
      <w:r>
        <w:rPr>
          <w:rStyle w:val="FunctionTok"/>
        </w:rPr>
        <w:t xml:space="preserve">plot</w:t>
      </w:r>
      <w:r>
        <w:rPr>
          <w:rStyle w:val="NormalTok"/>
        </w:rPr>
        <w:t xml:space="preserve">(ch45, </w:t>
      </w:r>
      <w:r>
        <w:rPr>
          <w:rStyle w:val="AttributeTok"/>
        </w:rPr>
        <w:t xml:space="preserve">col=</w:t>
      </w:r>
      <w:r>
        <w:rPr>
          <w:rStyle w:val="FunctionTok"/>
        </w:rPr>
        <w:t xml:space="preserve">cores2</w:t>
      </w:r>
      <w:r>
        <w:rPr>
          <w:rStyle w:val="NormalTok"/>
        </w:rPr>
        <w:t xml:space="preserve">(</w:t>
      </w:r>
      <w:r>
        <w:rPr>
          <w:rStyle w:val="DecValTok"/>
        </w:rPr>
        <w:t xml:space="preserve">200</w:t>
      </w:r>
      <w:r>
        <w:rPr>
          <w:rStyle w:val="NormalTok"/>
        </w:rPr>
        <w:t xml:space="preserve">))</w:t>
      </w:r>
      <w:r>
        <w:br/>
      </w:r>
      <w:r>
        <w:rPr>
          <w:rStyle w:val="CommentTok"/>
        </w:rPr>
        <w:t xml:space="preserve"># Areas mais proximas ao azul representam areas ganhas no futuro (RCP45)</w:t>
      </w:r>
      <w:r>
        <w:br/>
      </w:r>
      <w:r>
        <w:rPr>
          <w:rStyle w:val="CommentTok"/>
        </w:rPr>
        <w:t xml:space="preserve"># Areas mais proximas ao vermelho representam areas ganhas perdidas (RCP45)</w:t>
      </w:r>
      <w:r>
        <w:br/>
      </w:r>
      <w:r>
        <w:rPr>
          <w:rStyle w:val="CommentTok"/>
        </w:rPr>
        <w:t xml:space="preserve"># Areas cinzas permanceram inalteradas no futuro</w:t>
      </w:r>
      <w:r>
        <w:br/>
      </w:r>
      <w:r>
        <w:br/>
      </w:r>
      <w:r>
        <w:rPr>
          <w:rStyle w:val="CommentTok"/>
        </w:rPr>
        <w:t xml:space="preserve">#----------</w:t>
      </w:r>
      <w:r>
        <w:br/>
      </w:r>
      <w:r>
        <w:rPr>
          <w:rStyle w:val="DocumentationTok"/>
        </w:rPr>
        <w:t xml:space="preserve">### Mapa de alteracao de adequabilidade (NAO BINARIO) entre o presente e o futuro </w:t>
      </w:r>
      <w:r>
        <w:br/>
      </w:r>
      <w:r>
        <w:rPr>
          <w:rStyle w:val="CommentTok"/>
        </w:rPr>
        <w:t xml:space="preserve"># de RCP 85</w:t>
      </w:r>
      <w:r>
        <w:br/>
      </w:r>
      <w:r>
        <w:rPr>
          <w:rStyle w:val="NormalTok"/>
        </w:rPr>
        <w:t xml:space="preserve">ch85 </w:t>
      </w:r>
      <w:r>
        <w:rPr>
          <w:rStyle w:val="OtherTok"/>
        </w:rPr>
        <w:t xml:space="preserve">&lt;-</w:t>
      </w:r>
      <w:r>
        <w:rPr>
          <w:rStyle w:val="NormalTok"/>
        </w:rPr>
        <w:t xml:space="preserve"> en85 </w:t>
      </w:r>
      <w:r>
        <w:rPr>
          <w:rStyle w:val="SpecialCharTok"/>
        </w:rPr>
        <w:t xml:space="preserve">-</w:t>
      </w:r>
      <w:r>
        <w:rPr>
          <w:rStyle w:val="NormalTok"/>
        </w:rPr>
        <w:t xml:space="preserve"> en</w:t>
      </w:r>
      <w:r>
        <w:br/>
      </w:r>
      <w:r>
        <w:br/>
      </w:r>
      <w:r>
        <w:rPr>
          <w:rStyle w:val="NormalTok"/>
        </w:rPr>
        <w:t xml:space="preserve">cores2</w:t>
      </w:r>
      <w:r>
        <w:rPr>
          <w:rStyle w:val="OtherTok"/>
        </w:rPr>
        <w:t xml:space="preserve">&lt;-</w:t>
      </w:r>
      <w:r>
        <w:rPr>
          <w:rStyle w:val="NormalTok"/>
        </w:rPr>
        <w:t xml:space="preserve">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w:t>
      </w:r>
      <w:r>
        <w:br/>
      </w:r>
      <w:r>
        <w:rPr>
          <w:rStyle w:val="FunctionTok"/>
        </w:rPr>
        <w:t xml:space="preserve">plot</w:t>
      </w:r>
      <w:r>
        <w:rPr>
          <w:rStyle w:val="NormalTok"/>
        </w:rPr>
        <w:t xml:space="preserve">(ch85, </w:t>
      </w:r>
      <w:r>
        <w:rPr>
          <w:rStyle w:val="AttributeTok"/>
        </w:rPr>
        <w:t xml:space="preserve">col=</w:t>
      </w:r>
      <w:r>
        <w:rPr>
          <w:rStyle w:val="FunctionTok"/>
        </w:rPr>
        <w:t xml:space="preserve">cores2</w:t>
      </w:r>
      <w:r>
        <w:rPr>
          <w:rStyle w:val="NormalTok"/>
        </w:rPr>
        <w:t xml:space="preserve">(</w:t>
      </w:r>
      <w:r>
        <w:rPr>
          <w:rStyle w:val="DecValTok"/>
        </w:rPr>
        <w:t xml:space="preserve">200</w:t>
      </w:r>
      <w:r>
        <w:rPr>
          <w:rStyle w:val="NormalTok"/>
        </w:rPr>
        <w:t xml:space="preserve">))</w:t>
      </w:r>
      <w:r>
        <w:br/>
      </w:r>
      <w:r>
        <w:br/>
      </w:r>
      <w:r>
        <w:rPr>
          <w:rStyle w:val="CommentTok"/>
        </w:rPr>
        <w:t xml:space="preserve">#----------</w:t>
      </w:r>
      <w:r>
        <w:br/>
      </w:r>
      <w:r>
        <w:rPr>
          <w:rStyle w:val="DocumentationTok"/>
        </w:rPr>
        <w:t xml:space="preserve">### OBTER MEDIDAS DE THRESHOLD PARA A CONSTRUCAO DOS mapaP45 BINARIOS</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(d)</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species=</w:t>
      </w:r>
      <w:r>
        <w:rPr>
          <w:rStyle w:val="NormalTok"/>
        </w:rPr>
        <w:t xml:space="preserve">df</w:t>
      </w:r>
      <w:r>
        <w:rPr>
          <w:rStyle w:val="SpecialCharTok"/>
        </w:rPr>
        <w:t xml:space="preserve">$</w:t>
      </w:r>
      <w:r>
        <w:rPr>
          <w:rStyle w:val="NormalTok"/>
        </w:rPr>
        <w:t xml:space="preserve">species, </w:t>
      </w:r>
      <w:r>
        <w:rPr>
          <w:rStyle w:val="FunctionTok"/>
        </w:rPr>
        <w:t xml:space="preserve">coordinates</w:t>
      </w:r>
      <w:r>
        <w:rPr>
          <w:rStyle w:val="NormalTok"/>
        </w:rPr>
        <w:t xml:space="preserve">(d))</w:t>
      </w:r>
      <w:r>
        <w:br/>
      </w:r>
      <w:r>
        <w:rPr>
          <w:rStyle w:val="NormalTok"/>
        </w:rPr>
        <w:t xml:space="preserve">xy </w:t>
      </w:r>
      <w:r>
        <w:rPr>
          <w:rStyle w:val="OtherTok"/>
        </w:rPr>
        <w:t xml:space="preserve">=</w:t>
      </w:r>
      <w:r>
        <w:rPr>
          <w:rStyle w:val="NormalTok"/>
        </w:rPr>
        <w:t xml:space="preserve"> </w:t>
      </w:r>
      <w:r>
        <w:rPr>
          <w:rStyle w:val="FunctionTok"/>
        </w:rPr>
        <w:t xml:space="preserve">as.matrix</w:t>
      </w:r>
      <w:r>
        <w:rPr>
          <w:rStyle w:val="NormalTok"/>
        </w:rPr>
        <w:t xml:space="preserve">(df[,</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FunctionTok"/>
        </w:rPr>
        <w:t xml:space="preserve">head</w:t>
      </w:r>
      <w:r>
        <w:rPr>
          <w:rStyle w:val="NormalTok"/>
        </w:rPr>
        <w:t xml:space="preserve">(xy)</w:t>
      </w:r>
      <w:r>
        <w:br/>
      </w:r>
      <w:r>
        <w:br/>
      </w:r>
      <w:r>
        <w:rPr>
          <w:rStyle w:val="CommentTok"/>
        </w:rPr>
        <w:t xml:space="preserve"># Extrair do raster da predicao do presente os valores das biovariaveis nos </w:t>
      </w:r>
      <w:r>
        <w:br/>
      </w:r>
      <w:r>
        <w:rPr>
          <w:rStyle w:val="CommentTok"/>
        </w:rPr>
        <w:t xml:space="preserve"># pontos de ocorrencias das especies</w:t>
      </w:r>
      <w:r>
        <w:br/>
      </w:r>
      <w:r>
        <w:rPr>
          <w:rStyle w:val="NormalTok"/>
        </w:rPr>
        <w:t xml:space="preserve">p</w:t>
      </w:r>
      <w:r>
        <w:rPr>
          <w:rStyle w:val="OtherTok"/>
        </w:rPr>
        <w:t xml:space="preserve">&lt;-</w:t>
      </w:r>
      <w:r>
        <w:rPr>
          <w:rStyle w:val="NormalTok"/>
        </w:rPr>
        <w:t xml:space="preserve">raster</w:t>
      </w:r>
      <w:r>
        <w:rPr>
          <w:rStyle w:val="SpecialCharTok"/>
        </w:rPr>
        <w:t xml:space="preserve">::</w:t>
      </w:r>
      <w:r>
        <w:rPr>
          <w:rStyle w:val="FunctionTok"/>
        </w:rPr>
        <w:t xml:space="preserve">extract</w:t>
      </w:r>
      <w:r>
        <w:rPr>
          <w:rStyle w:val="NormalTok"/>
        </w:rPr>
        <w:t xml:space="preserve">(en,xy)</w:t>
      </w:r>
      <w:r>
        <w:br/>
      </w:r>
      <w:r>
        <w:br/>
      </w:r>
      <w:r>
        <w:rPr>
          <w:rStyle w:val="CommentTok"/>
        </w:rPr>
        <w:t xml:space="preserve"># Avaliacao do modelo</w:t>
      </w:r>
      <w:r>
        <w:br/>
      </w:r>
      <w:r>
        <w:rPr>
          <w:rStyle w:val="NormalTok"/>
        </w:rPr>
        <w:t xml:space="preserve">ev </w:t>
      </w:r>
      <w:r>
        <w:rPr>
          <w:rStyle w:val="OtherTok"/>
        </w:rPr>
        <w:t xml:space="preserve">&lt;-</w:t>
      </w:r>
      <w:r>
        <w:rPr>
          <w:rStyle w:val="NormalTok"/>
        </w:rPr>
        <w:t xml:space="preserve"> </w:t>
      </w:r>
      <w:r>
        <w:rPr>
          <w:rStyle w:val="FunctionTok"/>
        </w:rPr>
        <w:t xml:space="preserve">evaluates</w:t>
      </w:r>
      <w:r>
        <w:rPr>
          <w:rStyle w:val="NormalTok"/>
        </w:rPr>
        <w:t xml:space="preserve">(df</w:t>
      </w:r>
      <w:r>
        <w:rPr>
          <w:rStyle w:val="SpecialCharTok"/>
        </w:rPr>
        <w:t xml:space="preserve">$</w:t>
      </w:r>
      <w:r>
        <w:rPr>
          <w:rStyle w:val="NormalTok"/>
        </w:rPr>
        <w:t xml:space="preserve">species,p)</w:t>
      </w:r>
      <w:r>
        <w:br/>
      </w:r>
      <w:r>
        <w:rPr>
          <w:rStyle w:val="NormalTok"/>
        </w:rPr>
        <w:t xml:space="preserve">ev</w:t>
      </w:r>
      <w:r>
        <w:rPr>
          <w:rStyle w:val="SpecialCharTok"/>
        </w:rPr>
        <w:t xml:space="preserve">@</w:t>
      </w:r>
      <w:r>
        <w:rPr>
          <w:rStyle w:val="NormalTok"/>
        </w:rPr>
        <w:t xml:space="preserve">statistics</w:t>
      </w:r>
      <w:r>
        <w:br/>
      </w:r>
      <w:r>
        <w:br/>
      </w:r>
      <w:r>
        <w:rPr>
          <w:rStyle w:val="CommentTok"/>
        </w:rPr>
        <w:t xml:space="preserve"># Medidadas de threshold</w:t>
      </w:r>
      <w:r>
        <w:br/>
      </w:r>
      <w:r>
        <w:rPr>
          <w:rStyle w:val="NormalTok"/>
        </w:rPr>
        <w:t xml:space="preserve">ev</w:t>
      </w:r>
      <w:r>
        <w:rPr>
          <w:rStyle w:val="SpecialCharTok"/>
        </w:rPr>
        <w:t xml:space="preserve">@</w:t>
      </w:r>
      <w:r>
        <w:rPr>
          <w:rStyle w:val="NormalTok"/>
        </w:rPr>
        <w:t xml:space="preserve">threshold_based</w:t>
      </w:r>
      <w:r>
        <w:br/>
      </w:r>
      <w:r>
        <w:br/>
      </w:r>
      <w:r>
        <w:rPr>
          <w:rStyle w:val="NormalTok"/>
        </w:rPr>
        <w:t xml:space="preserve">th </w:t>
      </w:r>
      <w:r>
        <w:rPr>
          <w:rStyle w:val="OtherTok"/>
        </w:rPr>
        <w:t xml:space="preserve">&lt;-</w:t>
      </w:r>
      <w:r>
        <w:rPr>
          <w:rStyle w:val="NormalTok"/>
        </w:rPr>
        <w:t xml:space="preserve"> ev</w:t>
      </w:r>
      <w:r>
        <w:rPr>
          <w:rStyle w:val="SpecialCharTok"/>
        </w:rPr>
        <w:t xml:space="preserve">@</w:t>
      </w:r>
      <w:r>
        <w:rPr>
          <w:rStyle w:val="NormalTok"/>
        </w:rPr>
        <w:t xml:space="preserve">threshold_based</w:t>
      </w:r>
      <w:r>
        <w:rPr>
          <w:rStyle w:val="SpecialCharTok"/>
        </w:rPr>
        <w:t xml:space="preserve">$</w:t>
      </w:r>
      <w:r>
        <w:rPr>
          <w:rStyle w:val="NormalTok"/>
        </w:rPr>
        <w:t xml:space="preserve">threshold[</w:t>
      </w:r>
      <w:r>
        <w:rPr>
          <w:rStyle w:val="DecValTok"/>
        </w:rPr>
        <w:t xml:space="preserve">2</w:t>
      </w:r>
      <w:r>
        <w:rPr>
          <w:rStyle w:val="NormalTok"/>
        </w:rPr>
        <w:t xml:space="preserve">] </w:t>
      </w:r>
      <w:r>
        <w:rPr>
          <w:rStyle w:val="CommentTok"/>
        </w:rPr>
        <w:t xml:space="preserve">#Threshold pelo metodo SSS: max(espec+sens)</w:t>
      </w:r>
      <w:r>
        <w:br/>
      </w:r>
      <w:r>
        <w:br/>
      </w:r>
      <w:r>
        <w:rPr>
          <w:rStyle w:val="CommentTok"/>
        </w:rPr>
        <w:t xml:space="preserve"># Verificar valor de threshold</w:t>
      </w:r>
      <w:r>
        <w:br/>
      </w:r>
      <w:r>
        <w:rPr>
          <w:rStyle w:val="NormalTok"/>
        </w:rPr>
        <w:t xml:space="preserve">th</w:t>
      </w:r>
      <w:r>
        <w:br/>
      </w:r>
      <w:r>
        <w:br/>
      </w:r>
      <w:r>
        <w:rPr>
          <w:rStyle w:val="CommentTok"/>
        </w:rPr>
        <w:t xml:space="preserve">#----------</w:t>
      </w:r>
      <w:r>
        <w:br/>
      </w:r>
      <w:r>
        <w:rPr>
          <w:rStyle w:val="DocumentationTok"/>
        </w:rPr>
        <w:t xml:space="preserve">### MAPA BINARIO DO PRESENTE UTILIZANDO O VALOR DE THRESHOLD th</w:t>
      </w:r>
      <w:r>
        <w:br/>
      </w:r>
      <w:r>
        <w:rPr>
          <w:rStyle w:val="NormalTok"/>
        </w:rPr>
        <w:t xml:space="preserve">pa1 </w:t>
      </w:r>
      <w:r>
        <w:rPr>
          <w:rStyle w:val="OtherTok"/>
        </w:rPr>
        <w:t xml:space="preserve">&lt;-</w:t>
      </w:r>
      <w:r>
        <w:rPr>
          <w:rStyle w:val="NormalTok"/>
        </w:rPr>
        <w:t xml:space="preserve"> </w:t>
      </w:r>
      <w:r>
        <w:rPr>
          <w:rStyle w:val="FunctionTok"/>
        </w:rPr>
        <w:t xml:space="preserve">raster</w:t>
      </w:r>
      <w:r>
        <w:rPr>
          <w:rStyle w:val="NormalTok"/>
        </w:rPr>
        <w:t xml:space="preserve">(en)</w:t>
      </w:r>
      <w:r>
        <w:br/>
      </w:r>
      <w:r>
        <w:rPr>
          <w:rStyle w:val="NormalTok"/>
        </w:rPr>
        <w:t xml:space="preserve">pa1[] </w:t>
      </w:r>
      <w:r>
        <w:rPr>
          <w:rStyle w:val="OtherTok"/>
        </w:rPr>
        <w:t xml:space="preserve">&lt;-</w:t>
      </w:r>
      <w:r>
        <w:rPr>
          <w:rStyle w:val="NormalTok"/>
        </w:rPr>
        <w:t xml:space="preserve"> </w:t>
      </w:r>
      <w:r>
        <w:rPr>
          <w:rStyle w:val="FunctionTok"/>
        </w:rPr>
        <w:t xml:space="preserve">ifelse</w:t>
      </w:r>
      <w:r>
        <w:rPr>
          <w:rStyle w:val="NormalTok"/>
        </w:rPr>
        <w:t xml:space="preserve">(en[]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(pa1)</w:t>
      </w:r>
      <w:r>
        <w:br/>
      </w:r>
      <w:r>
        <w:br/>
      </w:r>
      <w:r>
        <w:rPr>
          <w:rStyle w:val="DocumentationTok"/>
        </w:rPr>
        <w:t xml:space="preserve">### MAPA BINARIO DO FUTURO (RCP45)</w:t>
      </w:r>
      <w:r>
        <w:br/>
      </w:r>
      <w:r>
        <w:rPr>
          <w:rStyle w:val="NormalTok"/>
        </w:rPr>
        <w:t xml:space="preserve">pa2 </w:t>
      </w:r>
      <w:r>
        <w:rPr>
          <w:rStyle w:val="OtherTok"/>
        </w:rPr>
        <w:t xml:space="preserve">&lt;-</w:t>
      </w:r>
      <w:r>
        <w:rPr>
          <w:rStyle w:val="NormalTok"/>
        </w:rPr>
        <w:t xml:space="preserve"> </w:t>
      </w:r>
      <w:r>
        <w:rPr>
          <w:rStyle w:val="FunctionTok"/>
        </w:rPr>
        <w:t xml:space="preserve">raster</w:t>
      </w:r>
      <w:r>
        <w:rPr>
          <w:rStyle w:val="NormalTok"/>
        </w:rPr>
        <w:t xml:space="preserve">(en45)</w:t>
      </w:r>
      <w:r>
        <w:br/>
      </w:r>
      <w:r>
        <w:rPr>
          <w:rStyle w:val="NormalTok"/>
        </w:rPr>
        <w:t xml:space="preserve">pa2[] </w:t>
      </w:r>
      <w:r>
        <w:rPr>
          <w:rStyle w:val="OtherTok"/>
        </w:rPr>
        <w:t xml:space="preserve">&lt;-</w:t>
      </w:r>
      <w:r>
        <w:rPr>
          <w:rStyle w:val="NormalTok"/>
        </w:rPr>
        <w:t xml:space="preserve"> </w:t>
      </w:r>
      <w:r>
        <w:rPr>
          <w:rStyle w:val="FunctionTok"/>
        </w:rPr>
        <w:t xml:space="preserve">ifelse</w:t>
      </w:r>
      <w:r>
        <w:rPr>
          <w:rStyle w:val="NormalTok"/>
        </w:rPr>
        <w:t xml:space="preserve">(en45[]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(pa2)</w:t>
      </w:r>
      <w:r>
        <w:br/>
      </w:r>
      <w:r>
        <w:br/>
      </w:r>
      <w:r>
        <w:rPr>
          <w:rStyle w:val="DocumentationTok"/>
        </w:rPr>
        <w:t xml:space="preserve">### MAPA BINARIO DO FUTURO (RCP85)</w:t>
      </w:r>
      <w:r>
        <w:br/>
      </w:r>
      <w:r>
        <w:rPr>
          <w:rStyle w:val="NormalTok"/>
        </w:rPr>
        <w:t xml:space="preserve">pa3 </w:t>
      </w:r>
      <w:r>
        <w:rPr>
          <w:rStyle w:val="OtherTok"/>
        </w:rPr>
        <w:t xml:space="preserve">&lt;-</w:t>
      </w:r>
      <w:r>
        <w:rPr>
          <w:rStyle w:val="NormalTok"/>
        </w:rPr>
        <w:t xml:space="preserve"> </w:t>
      </w:r>
      <w:r>
        <w:rPr>
          <w:rStyle w:val="FunctionTok"/>
        </w:rPr>
        <w:t xml:space="preserve">raster</w:t>
      </w:r>
      <w:r>
        <w:rPr>
          <w:rStyle w:val="NormalTok"/>
        </w:rPr>
        <w:t xml:space="preserve">(en85)</w:t>
      </w:r>
      <w:r>
        <w:br/>
      </w:r>
      <w:r>
        <w:rPr>
          <w:rStyle w:val="NormalTok"/>
        </w:rPr>
        <w:t xml:space="preserve">pa3[] </w:t>
      </w:r>
      <w:r>
        <w:rPr>
          <w:rStyle w:val="OtherTok"/>
        </w:rPr>
        <w:t xml:space="preserve">&lt;-</w:t>
      </w:r>
      <w:r>
        <w:rPr>
          <w:rStyle w:val="NormalTok"/>
        </w:rPr>
        <w:t xml:space="preserve"> </w:t>
      </w:r>
      <w:r>
        <w:rPr>
          <w:rStyle w:val="FunctionTok"/>
        </w:rPr>
        <w:t xml:space="preserve">ifelse</w:t>
      </w:r>
      <w:r>
        <w:rPr>
          <w:rStyle w:val="NormalTok"/>
        </w:rPr>
        <w:t xml:space="preserve">(en85[] </w:t>
      </w:r>
      <w:r>
        <w:rPr>
          <w:rStyle w:val="SpecialCharTok"/>
        </w:rPr>
        <w:t xml:space="preserve">&gt;=</w:t>
      </w:r>
      <w:r>
        <w:rPr>
          <w:rStyle w:val="NormalTok"/>
        </w:rPr>
        <w:t xml:space="preserve"> th, </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(pa3)</w:t>
      </w:r>
      <w:r>
        <w:br/>
      </w:r>
      <w:r>
        <w:br/>
      </w:r>
      <w:r>
        <w:rPr>
          <w:rStyle w:val="DocumentationTok"/>
        </w:rPr>
        <w:t xml:space="preserve">### MAPA BINARIO DE ALTERACAO DE ADEQUABILIDADE (Futuro RCP45 - Presente)</w:t>
      </w:r>
      <w:r>
        <w:br/>
      </w:r>
      <w:r>
        <w:rPr>
          <w:rStyle w:val="NormalTok"/>
        </w:rPr>
        <w:t xml:space="preserve">chp45 </w:t>
      </w:r>
      <w:r>
        <w:rPr>
          <w:rStyle w:val="OtherTok"/>
        </w:rPr>
        <w:t xml:space="preserve">&lt;-</w:t>
      </w:r>
      <w:r>
        <w:rPr>
          <w:rStyle w:val="NormalTok"/>
        </w:rPr>
        <w:t xml:space="preserve"> pa2 </w:t>
      </w:r>
      <w:r>
        <w:rPr>
          <w:rStyle w:val="SpecialCharTok"/>
        </w:rPr>
        <w:t xml:space="preserve">-</w:t>
      </w:r>
      <w:r>
        <w:rPr>
          <w:rStyle w:val="NormalTok"/>
        </w:rPr>
        <w:t xml:space="preserve"> pa1 </w:t>
      </w:r>
      <w:r>
        <w:br/>
      </w:r>
      <w:r>
        <w:rPr>
          <w:rStyle w:val="FunctionTok"/>
        </w:rPr>
        <w:t xml:space="preserve">plot</w:t>
      </w:r>
      <w:r>
        <w:rPr>
          <w:rStyle w:val="NormalTok"/>
        </w:rPr>
        <w:t xml:space="preserve">(chp45,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'gray'</w:t>
      </w:r>
      <w:r>
        <w:rPr>
          <w:rStyle w:val="NormalTok"/>
        </w:rPr>
        <w:t xml:space="preserve">,</w:t>
      </w:r>
      <w:r>
        <w:rPr>
          <w:rStyle w:val="StringTok"/>
        </w:rPr>
        <w:t xml:space="preserve">'blue'</w:t>
      </w:r>
      <w:r>
        <w:rPr>
          <w:rStyle w:val="NormalTok"/>
        </w:rPr>
        <w:t xml:space="preserve">))</w:t>
      </w:r>
      <w:r>
        <w:br/>
      </w:r>
      <w:r>
        <w:br/>
      </w:r>
      <w:r>
        <w:rPr>
          <w:rStyle w:val="DocumentationTok"/>
        </w:rPr>
        <w:t xml:space="preserve">### MAPA BINARIO DE ALTERACAO DE ADEQUABILIDADE (Futuro RCP85 - Presente)</w:t>
      </w:r>
      <w:r>
        <w:br/>
      </w:r>
      <w:r>
        <w:rPr>
          <w:rStyle w:val="NormalTok"/>
        </w:rPr>
        <w:t xml:space="preserve">chp85 </w:t>
      </w:r>
      <w:r>
        <w:rPr>
          <w:rStyle w:val="OtherTok"/>
        </w:rPr>
        <w:t xml:space="preserve">&lt;-</w:t>
      </w:r>
      <w:r>
        <w:rPr>
          <w:rStyle w:val="NormalTok"/>
        </w:rPr>
        <w:t xml:space="preserve"> pa3 </w:t>
      </w:r>
      <w:r>
        <w:rPr>
          <w:rStyle w:val="SpecialCharTok"/>
        </w:rPr>
        <w:t xml:space="preserve">-</w:t>
      </w:r>
      <w:r>
        <w:rPr>
          <w:rStyle w:val="NormalTok"/>
        </w:rPr>
        <w:t xml:space="preserve"> pa1 </w:t>
      </w:r>
      <w:r>
        <w:br/>
      </w:r>
      <w:r>
        <w:rPr>
          <w:rStyle w:val="FunctionTok"/>
        </w:rPr>
        <w:t xml:space="preserve">plot</w:t>
      </w:r>
      <w:r>
        <w:rPr>
          <w:rStyle w:val="NormalTok"/>
        </w:rPr>
        <w:t xml:space="preserve">(chp85,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'gray'</w:t>
      </w:r>
      <w:r>
        <w:rPr>
          <w:rStyle w:val="NormalTok"/>
        </w:rPr>
        <w:t xml:space="preserve">, </w:t>
      </w:r>
      <w:r>
        <w:rPr>
          <w:rStyle w:val="StringTok"/>
        </w:rPr>
        <w:t xml:space="preserve">'blue'</w:t>
      </w:r>
      <w:r>
        <w:rPr>
          <w:rStyle w:val="NormalTok"/>
        </w:rPr>
        <w:t xml:space="preserve">))</w:t>
      </w:r>
      <w:r>
        <w:br/>
      </w:r>
      <w:r>
        <w:br/>
      </w:r>
      <w:r>
        <w:rPr>
          <w:rStyle w:val="DocumentationTok"/>
        </w:rPr>
        <w:t xml:space="preserve">################################################################################</w:t>
      </w:r>
      <w:r>
        <w:br/>
      </w:r>
      <w:r>
        <w:rPr>
          <w:rStyle w:val="CommentTok"/>
        </w:rPr>
        <w:t xml:space="preserve">#--------- 7. CLASSIFICACAO DAS ALTERACOES DE AREA   ---------#</w:t>
      </w:r>
      <w:r>
        <w:br/>
      </w:r>
      <w:r>
        <w:br/>
      </w:r>
      <w:r>
        <w:rPr>
          <w:rStyle w:val="CommentTok"/>
        </w:rPr>
        <w:t xml:space="preserve"># Obter os tamanhos das celulas</w:t>
      </w:r>
      <w:r>
        <w:br/>
      </w:r>
      <w:r>
        <w:rPr>
          <w:rStyle w:val="NormalTok"/>
        </w:rPr>
        <w:t xml:space="preserve">cel_tam</w:t>
      </w:r>
      <w:r>
        <w:rPr>
          <w:rStyle w:val="OtherTok"/>
        </w:rPr>
        <w:t xml:space="preserve">&lt;-</w:t>
      </w:r>
      <w:r>
        <w:rPr>
          <w:rStyle w:val="FunctionTok"/>
        </w:rPr>
        <w:t xml:space="preserve">area</w:t>
      </w:r>
      <w:r>
        <w:rPr>
          <w:rStyle w:val="NormalTok"/>
        </w:rPr>
        <w:t xml:space="preserve">(pa1, </w:t>
      </w:r>
      <w:r>
        <w:rPr>
          <w:rStyle w:val="AttributeTok"/>
        </w:rPr>
        <w:t xml:space="preserve">na.rm=</w:t>
      </w:r>
      <w:r>
        <w:rPr>
          <w:rStyle w:val="ConstantTok"/>
        </w:rPr>
        <w:t xml:space="preserve">TRUE</w:t>
      </w:r>
      <w:r>
        <w:rPr>
          <w:rStyle w:val="NormalTok"/>
        </w:rPr>
        <w:t xml:space="preserve">, </w:t>
      </w:r>
      <w:r>
        <w:rPr>
          <w:rStyle w:val="AttributeTok"/>
        </w:rPr>
        <w:t xml:space="preserve">weights=</w:t>
      </w:r>
      <w:r>
        <w:rPr>
          <w:rStyle w:val="ConstantTok"/>
        </w:rPr>
        <w:t xml:space="preserve">FALSE</w:t>
      </w:r>
      <w:r>
        <w:rPr>
          <w:rStyle w:val="NormalTok"/>
        </w:rPr>
        <w:t xml:space="preserve">)</w:t>
      </w:r>
      <w:r>
        <w:br/>
      </w:r>
      <w:r>
        <w:rPr>
          <w:rStyle w:val="NormalTok"/>
        </w:rPr>
        <w:t xml:space="preserve">cel_tam</w:t>
      </w:r>
      <w:r>
        <w:rPr>
          <w:rStyle w:val="OtherTok"/>
        </w:rPr>
        <w:t xml:space="preserve">&lt;-</w:t>
      </w:r>
      <w:r>
        <w:rPr>
          <w:rStyle w:val="NormalTok"/>
        </w:rPr>
        <w:t xml:space="preserve">cel_tam[</w:t>
      </w:r>
      <w:r>
        <w:rPr>
          <w:rStyle w:val="SpecialCharTok"/>
        </w:rPr>
        <w:t xml:space="preserve">!</w:t>
      </w:r>
      <w:r>
        <w:rPr>
          <w:rStyle w:val="FunctionTok"/>
        </w:rPr>
        <w:t xml:space="preserve">is.na</w:t>
      </w:r>
      <w:r>
        <w:rPr>
          <w:rStyle w:val="NormalTok"/>
        </w:rPr>
        <w:t xml:space="preserve">(cel_tam)]</w:t>
      </w:r>
      <w:r>
        <w:br/>
      </w:r>
      <w:r>
        <w:br/>
      </w:r>
      <w:r>
        <w:rPr>
          <w:rStyle w:val="CommentTok"/>
        </w:rPr>
        <w:t xml:space="preserve">#----------</w:t>
      </w:r>
      <w:r>
        <w:br/>
      </w:r>
      <w:r>
        <w:rPr>
          <w:rStyle w:val="DocumentationTok"/>
        </w:rPr>
        <w:t xml:space="preserve">### AREA PRESENTE  (KM^2)</w:t>
      </w:r>
      <w:r>
        <w:br/>
      </w:r>
      <w:r>
        <w:rPr>
          <w:rStyle w:val="NormalTok"/>
        </w:rPr>
        <w:t xml:space="preserve">mapa </w:t>
      </w:r>
      <w:r>
        <w:rPr>
          <w:rStyle w:val="OtherTok"/>
        </w:rPr>
        <w:t xml:space="preserve">&lt;-</w:t>
      </w:r>
      <w:r>
        <w:rPr>
          <w:rStyle w:val="NormalTok"/>
        </w:rPr>
        <w:t xml:space="preserve"> pa1</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 </w:t>
      </w:r>
      <w:r>
        <w:rPr>
          <w:rStyle w:val="OtherTok"/>
        </w:rPr>
        <w:t xml:space="preserve">&lt;-</w:t>
      </w:r>
      <w:r>
        <w:rPr>
          <w:rStyle w:val="NormalTok"/>
        </w:rPr>
        <w:t xml:space="preserve"> </w:t>
      </w:r>
      <w:r>
        <w:rPr>
          <w:rStyle w:val="FunctionTok"/>
        </w:rPr>
        <w:t xml:space="preserve">sum</w:t>
      </w:r>
      <w:r>
        <w:rPr>
          <w:rStyle w:val="NormalTok"/>
        </w:rPr>
        <w:t xml:space="preserve">(mapa[</w:t>
      </w:r>
      <w:r>
        <w:rPr>
          <w:rStyle w:val="SpecialCharTok"/>
        </w:rPr>
        <w:t xml:space="preserve">!</w:t>
      </w:r>
      <w:r>
        <w:rPr>
          <w:rStyle w:val="FunctionTok"/>
        </w:rPr>
        <w:t xml:space="preserve">is.na</w:t>
      </w:r>
      <w:r>
        <w:rPr>
          <w:rStyle w:val="NormalTok"/>
        </w:rPr>
        <w:t xml:space="preserve">(mapa)])</w:t>
      </w:r>
      <w:r>
        <w:br/>
      </w:r>
      <w:r>
        <w:rPr>
          <w:rStyle w:val="NormalTok"/>
        </w:rPr>
        <w:t xml:space="preserve">area </w:t>
      </w:r>
      <w:r>
        <w:rPr>
          <w:rStyle w:val="OtherTok"/>
        </w:rPr>
        <w:t xml:space="preserve">&lt;-</w:t>
      </w:r>
      <w:r>
        <w:rPr>
          <w:rStyle w:val="NormalTok"/>
        </w:rPr>
        <w:t xml:space="preserve"> tamanho</w:t>
      </w:r>
      <w:r>
        <w:rPr>
          <w:rStyle w:val="SpecialCharTok"/>
        </w:rPr>
        <w:t xml:space="preserve">*</w:t>
      </w:r>
      <w:r>
        <w:rPr>
          <w:rStyle w:val="FunctionTok"/>
        </w:rPr>
        <w:t xml:space="preserve">median</w:t>
      </w:r>
      <w:r>
        <w:rPr>
          <w:rStyle w:val="NormalTok"/>
        </w:rPr>
        <w:t xml:space="preserve">(cel_tam)</w:t>
      </w:r>
      <w:r>
        <w:br/>
      </w:r>
      <w:r>
        <w:rPr>
          <w:rStyle w:val="NormalTok"/>
        </w:rPr>
        <w:t xml:space="preserve">area</w:t>
      </w:r>
      <w:r>
        <w:br/>
      </w:r>
      <w:r>
        <w:br/>
      </w:r>
      <w:r>
        <w:rPr>
          <w:rStyle w:val="CommentTok"/>
        </w:rPr>
        <w:t xml:space="preserve">#----------</w:t>
      </w:r>
      <w:r>
        <w:br/>
      </w:r>
      <w:r>
        <w:rPr>
          <w:rStyle w:val="DocumentationTok"/>
        </w:rPr>
        <w:t xml:space="preserve">###  AREA FUTURA (RCP45)  (KM^2)</w:t>
      </w:r>
      <w:r>
        <w:br/>
      </w:r>
      <w:r>
        <w:rPr>
          <w:rStyle w:val="NormalTok"/>
        </w:rPr>
        <w:t xml:space="preserve">mapaF45 </w:t>
      </w:r>
      <w:r>
        <w:rPr>
          <w:rStyle w:val="OtherTok"/>
        </w:rPr>
        <w:t xml:space="preserve">&lt;-</w:t>
      </w:r>
      <w:r>
        <w:rPr>
          <w:rStyle w:val="NormalTok"/>
        </w:rPr>
        <w:t xml:space="preserve"> pa2</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tamanhoF45 </w:t>
      </w:r>
      <w:r>
        <w:rPr>
          <w:rStyle w:val="OtherTok"/>
        </w:rPr>
        <w:t xml:space="preserve">&lt;-</w:t>
      </w:r>
      <w:r>
        <w:rPr>
          <w:rStyle w:val="NormalTok"/>
        </w:rPr>
        <w:t xml:space="preserve"> </w:t>
      </w:r>
      <w:r>
        <w:rPr>
          <w:rStyle w:val="FunctionTok"/>
        </w:rPr>
        <w:t xml:space="preserve">sum</w:t>
      </w:r>
      <w:r>
        <w:rPr>
          <w:rStyle w:val="NormalTok"/>
        </w:rPr>
        <w:t xml:space="preserve">(mapaF45[</w:t>
      </w:r>
      <w:r>
        <w:rPr>
          <w:rStyle w:val="SpecialCharTok"/>
        </w:rPr>
        <w:t xml:space="preserve">!</w:t>
      </w:r>
      <w:r>
        <w:rPr>
          <w:rStyle w:val="FunctionTok"/>
        </w:rPr>
        <w:t xml:space="preserve">is.na</w:t>
      </w:r>
      <w:r>
        <w:rPr>
          <w:rStyle w:val="NormalTok"/>
        </w:rPr>
        <w:t xml:space="preserve">(mapaF45)])</w:t>
      </w:r>
      <w:r>
        <w:br/>
      </w:r>
      <w:r>
        <w:rPr>
          <w:rStyle w:val="NormalTok"/>
        </w:rPr>
        <w:t xml:space="preserve">areaF45 </w:t>
      </w:r>
      <w:r>
        <w:rPr>
          <w:rStyle w:val="OtherTok"/>
        </w:rPr>
        <w:t xml:space="preserve">&lt;-</w:t>
      </w:r>
      <w:r>
        <w:rPr>
          <w:rStyle w:val="NormalTok"/>
        </w:rPr>
        <w:t xml:space="preserve"> tamanhoF45</w:t>
      </w:r>
      <w:r>
        <w:rPr>
          <w:rStyle w:val="SpecialCharTok"/>
        </w:rPr>
        <w:t xml:space="preserve">*</w:t>
      </w:r>
      <w:r>
        <w:rPr>
          <w:rStyle w:val="FunctionTok"/>
        </w:rPr>
        <w:t xml:space="preserve">median</w:t>
      </w:r>
      <w:r>
        <w:rPr>
          <w:rStyle w:val="NormalTok"/>
        </w:rPr>
        <w:t xml:space="preserve">(cel_tam)</w:t>
      </w:r>
      <w:r>
        <w:br/>
      </w:r>
      <w:r>
        <w:rPr>
          <w:rStyle w:val="NormalTok"/>
        </w:rPr>
        <w:t xml:space="preserve">areaF45</w:t>
      </w:r>
      <w:r>
        <w:br/>
      </w:r>
      <w:r>
        <w:br/>
      </w:r>
      <w:r>
        <w:rPr>
          <w:rStyle w:val="CommentTok"/>
        </w:rPr>
        <w:t xml:space="preserve">#----------</w:t>
      </w:r>
      <w:r>
        <w:br/>
      </w:r>
      <w:r>
        <w:rPr>
          <w:rStyle w:val="DocumentationTok"/>
        </w:rPr>
        <w:t xml:space="preserve">###  AREA FUTURA (RCP85)  (KM^2)</w:t>
      </w:r>
      <w:r>
        <w:br/>
      </w:r>
      <w:r>
        <w:rPr>
          <w:rStyle w:val="NormalTok"/>
        </w:rPr>
        <w:t xml:space="preserve">mapaF85 </w:t>
      </w:r>
      <w:r>
        <w:rPr>
          <w:rStyle w:val="OtherTok"/>
        </w:rPr>
        <w:t xml:space="preserve">&lt;-</w:t>
      </w:r>
      <w:r>
        <w:rPr>
          <w:rStyle w:val="NormalTok"/>
        </w:rPr>
        <w:t xml:space="preserve"> pa3</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w:t>
      </w:r>
      <w:r>
        <w:rPr>
          <w:rStyle w:val="SpecialCharTok"/>
        </w:rPr>
        <w:t xml:space="preserve">==</w:t>
      </w:r>
      <w:r>
        <w:rPr>
          <w:rStyle w:val="DecValTok"/>
        </w:rPr>
        <w:t xml:space="preserve">1</w:t>
      </w:r>
      <w:r>
        <w:br/>
      </w:r>
      <w:r>
        <w:rPr>
          <w:rStyle w:val="NormalTok"/>
        </w:rPr>
        <w:t xml:space="preserve">tamanhoF85 </w:t>
      </w:r>
      <w:r>
        <w:rPr>
          <w:rStyle w:val="OtherTok"/>
        </w:rPr>
        <w:t xml:space="preserve">&lt;-</w:t>
      </w:r>
      <w:r>
        <w:rPr>
          <w:rStyle w:val="NormalTok"/>
        </w:rPr>
        <w:t xml:space="preserve"> </w:t>
      </w:r>
      <w:r>
        <w:rPr>
          <w:rStyle w:val="FunctionTok"/>
        </w:rPr>
        <w:t xml:space="preserve">sum</w:t>
      </w:r>
      <w:r>
        <w:rPr>
          <w:rStyle w:val="NormalTok"/>
        </w:rPr>
        <w:t xml:space="preserve">(mapaF85[</w:t>
      </w:r>
      <w:r>
        <w:rPr>
          <w:rStyle w:val="SpecialCharTok"/>
        </w:rPr>
        <w:t xml:space="preserve">!</w:t>
      </w:r>
      <w:r>
        <w:rPr>
          <w:rStyle w:val="FunctionTok"/>
        </w:rPr>
        <w:t xml:space="preserve">is.na</w:t>
      </w:r>
      <w:r>
        <w:rPr>
          <w:rStyle w:val="NormalTok"/>
        </w:rPr>
        <w:t xml:space="preserve">(mapaF85)])</w:t>
      </w:r>
      <w:r>
        <w:br/>
      </w:r>
      <w:r>
        <w:rPr>
          <w:rStyle w:val="NormalTok"/>
        </w:rPr>
        <w:t xml:space="preserve">areaF85 </w:t>
      </w:r>
      <w:r>
        <w:rPr>
          <w:rStyle w:val="OtherTok"/>
        </w:rPr>
        <w:t xml:space="preserve">&lt;-</w:t>
      </w:r>
      <w:r>
        <w:rPr>
          <w:rStyle w:val="NormalTok"/>
        </w:rPr>
        <w:t xml:space="preserve"> tamanhoF85</w:t>
      </w:r>
      <w:r>
        <w:rPr>
          <w:rStyle w:val="SpecialCharTok"/>
        </w:rPr>
        <w:t xml:space="preserve">*</w:t>
      </w:r>
      <w:r>
        <w:rPr>
          <w:rStyle w:val="FunctionTok"/>
        </w:rPr>
        <w:t xml:space="preserve">median</w:t>
      </w:r>
      <w:r>
        <w:rPr>
          <w:rStyle w:val="NormalTok"/>
        </w:rPr>
        <w:t xml:space="preserve">(cel_tam)</w:t>
      </w:r>
      <w:r>
        <w:br/>
      </w:r>
      <w:r>
        <w:rPr>
          <w:rStyle w:val="NormalTok"/>
        </w:rPr>
        <w:t xml:space="preserve">areaF85</w:t>
      </w:r>
      <w:r>
        <w:br/>
      </w:r>
      <w:r>
        <w:br/>
      </w:r>
      <w:r>
        <w:rPr>
          <w:rStyle w:val="CommentTok"/>
        </w:rPr>
        <w:t xml:space="preserve">#----------</w:t>
      </w:r>
      <w:r>
        <w:br/>
      </w:r>
      <w:r>
        <w:rPr>
          <w:rStyle w:val="DocumentationTok"/>
        </w:rPr>
        <w:t xml:space="preserve">###  AREA ALTERADA ENTRE O PRESENTE E O FUTURO RCP45 (KM^2)</w:t>
      </w:r>
      <w:r>
        <w:br/>
      </w:r>
      <w:r>
        <w:rPr>
          <w:rStyle w:val="CommentTok"/>
        </w:rPr>
        <w:t xml:space="preserve"># area de perda &lt; 0</w:t>
      </w:r>
      <w:r>
        <w:br/>
      </w:r>
      <w:r>
        <w:rPr>
          <w:rStyle w:val="CommentTok"/>
        </w:rPr>
        <w:t xml:space="preserve"># area de ganho &gt; 0</w:t>
      </w:r>
      <w:r>
        <w:br/>
      </w:r>
      <w:r>
        <w:br/>
      </w:r>
      <w:r>
        <w:rPr>
          <w:rStyle w:val="NormalTok"/>
        </w:rPr>
        <w:t xml:space="preserve">mapaP45 </w:t>
      </w:r>
      <w:r>
        <w:rPr>
          <w:rStyle w:val="OtherTok"/>
        </w:rPr>
        <w:t xml:space="preserve">&lt;-</w:t>
      </w:r>
      <w:r>
        <w:rPr>
          <w:rStyle w:val="NormalTok"/>
        </w:rPr>
        <w:t xml:space="preserve"> chp45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&lt;</w:t>
      </w:r>
      <w:r>
        <w:rPr>
          <w:rStyle w:val="NormalTok"/>
        </w:rPr>
        <w:t xml:space="preserve"> </w:t>
      </w:r>
      <w:r>
        <w:rPr>
          <w:rStyle w:val="DecValTok"/>
        </w:rPr>
        <w:t xml:space="preserve">0</w:t>
      </w:r>
      <w:r>
        <w:br/>
      </w:r>
      <w:r>
        <w:rPr>
          <w:rStyle w:val="NormalTok"/>
        </w:rPr>
        <w:t xml:space="preserve">tamanhoP45 </w:t>
      </w:r>
      <w:r>
        <w:rPr>
          <w:rStyle w:val="OtherTok"/>
        </w:rPr>
        <w:t xml:space="preserve">&lt;-</w:t>
      </w:r>
      <w:r>
        <w:rPr>
          <w:rStyle w:val="NormalTok"/>
        </w:rPr>
        <w:t xml:space="preserve"> </w:t>
      </w:r>
      <w:r>
        <w:rPr>
          <w:rStyle w:val="FunctionTok"/>
        </w:rPr>
        <w:t xml:space="preserve">sum</w:t>
      </w:r>
      <w:r>
        <w:rPr>
          <w:rStyle w:val="NormalTok"/>
        </w:rPr>
        <w:t xml:space="preserve">(mapaP45[</w:t>
      </w:r>
      <w:r>
        <w:rPr>
          <w:rStyle w:val="SpecialCharTok"/>
        </w:rPr>
        <w:t xml:space="preserve">!</w:t>
      </w:r>
      <w:r>
        <w:rPr>
          <w:rStyle w:val="FunctionTok"/>
        </w:rPr>
        <w:t xml:space="preserve">is.na</w:t>
      </w:r>
      <w:r>
        <w:rPr>
          <w:rStyle w:val="NormalTok"/>
        </w:rPr>
        <w:t xml:space="preserve">(mapaP45)])</w:t>
      </w:r>
      <w:r>
        <w:br/>
      </w:r>
      <w:r>
        <w:rPr>
          <w:rStyle w:val="NormalTok"/>
        </w:rPr>
        <w:t xml:space="preserve">areaP45 </w:t>
      </w:r>
      <w:r>
        <w:rPr>
          <w:rStyle w:val="OtherTok"/>
        </w:rPr>
        <w:t xml:space="preserve">&lt;-</w:t>
      </w:r>
      <w:r>
        <w:rPr>
          <w:rStyle w:val="NormalTok"/>
        </w:rPr>
        <w:t xml:space="preserve"> tamanhoP45</w:t>
      </w:r>
      <w:r>
        <w:rPr>
          <w:rStyle w:val="SpecialCharTok"/>
        </w:rPr>
        <w:t xml:space="preserve">*</w:t>
      </w:r>
      <w:r>
        <w:rPr>
          <w:rStyle w:val="FunctionTok"/>
        </w:rPr>
        <w:t xml:space="preserve">median</w:t>
      </w:r>
      <w:r>
        <w:rPr>
          <w:rStyle w:val="NormalTok"/>
        </w:rPr>
        <w:t xml:space="preserve">(cel_tam)</w:t>
      </w:r>
      <w:r>
        <w:br/>
      </w:r>
      <w:r>
        <w:rPr>
          <w:rStyle w:val="NormalTok"/>
        </w:rPr>
        <w:t xml:space="preserve">areaP45        </w:t>
      </w:r>
      <w:r>
        <w:rPr>
          <w:rStyle w:val="CommentTok"/>
        </w:rPr>
        <w:t xml:space="preserve"># Area perdida</w:t>
      </w:r>
      <w:r>
        <w:br/>
      </w:r>
      <w:r>
        <w:br/>
      </w:r>
      <w:r>
        <w:rPr>
          <w:rStyle w:val="CommentTok"/>
        </w:rPr>
        <w:t xml:space="preserve"># Porcentagem de perda</w:t>
      </w:r>
      <w:r>
        <w:br/>
      </w:r>
      <w:r>
        <w:rPr>
          <w:rStyle w:val="NormalTok"/>
        </w:rPr>
        <w:t xml:space="preserve">(areaP45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br/>
      </w:r>
      <w:r>
        <w:rPr>
          <w:rStyle w:val="NormalTok"/>
        </w:rPr>
        <w:t xml:space="preserve">mapaG45 </w:t>
      </w:r>
      <w:r>
        <w:rPr>
          <w:rStyle w:val="OtherTok"/>
        </w:rPr>
        <w:t xml:space="preserve">&lt;-</w:t>
      </w:r>
      <w:r>
        <w:rPr>
          <w:rStyle w:val="NormalTok"/>
        </w:rPr>
        <w:t xml:space="preserve"> chp45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&gt;</w:t>
      </w:r>
      <w:r>
        <w:rPr>
          <w:rStyle w:val="DecValTok"/>
        </w:rPr>
        <w:t xml:space="preserve">0</w:t>
      </w:r>
      <w:r>
        <w:br/>
      </w:r>
      <w:r>
        <w:rPr>
          <w:rStyle w:val="NormalTok"/>
        </w:rPr>
        <w:t xml:space="preserve">tamanhoG45 </w:t>
      </w:r>
      <w:r>
        <w:rPr>
          <w:rStyle w:val="OtherTok"/>
        </w:rPr>
        <w:t xml:space="preserve">&lt;-</w:t>
      </w:r>
      <w:r>
        <w:rPr>
          <w:rStyle w:val="NormalTok"/>
        </w:rPr>
        <w:t xml:space="preserve"> </w:t>
      </w:r>
      <w:r>
        <w:rPr>
          <w:rStyle w:val="FunctionTok"/>
        </w:rPr>
        <w:t xml:space="preserve">sum</w:t>
      </w:r>
      <w:r>
        <w:rPr>
          <w:rStyle w:val="NormalTok"/>
        </w:rPr>
        <w:t xml:space="preserve">(mapaG45[</w:t>
      </w:r>
      <w:r>
        <w:rPr>
          <w:rStyle w:val="SpecialCharTok"/>
        </w:rPr>
        <w:t xml:space="preserve">!</w:t>
      </w:r>
      <w:r>
        <w:rPr>
          <w:rStyle w:val="FunctionTok"/>
        </w:rPr>
        <w:t xml:space="preserve">is.na</w:t>
      </w:r>
      <w:r>
        <w:rPr>
          <w:rStyle w:val="NormalTok"/>
        </w:rPr>
        <w:t xml:space="preserve">(mapaG45)])</w:t>
      </w:r>
      <w:r>
        <w:br/>
      </w:r>
      <w:r>
        <w:rPr>
          <w:rStyle w:val="NormalTok"/>
        </w:rPr>
        <w:t xml:space="preserve">areaG45 </w:t>
      </w:r>
      <w:r>
        <w:rPr>
          <w:rStyle w:val="OtherTok"/>
        </w:rPr>
        <w:t xml:space="preserve">&lt;-</w:t>
      </w:r>
      <w:r>
        <w:rPr>
          <w:rStyle w:val="NormalTok"/>
        </w:rPr>
        <w:t xml:space="preserve"> tamanhoG45</w:t>
      </w:r>
      <w:r>
        <w:rPr>
          <w:rStyle w:val="SpecialCharTok"/>
        </w:rPr>
        <w:t xml:space="preserve">*</w:t>
      </w:r>
      <w:r>
        <w:rPr>
          <w:rStyle w:val="FunctionTok"/>
        </w:rPr>
        <w:t xml:space="preserve">median</w:t>
      </w:r>
      <w:r>
        <w:rPr>
          <w:rStyle w:val="NormalTok"/>
        </w:rPr>
        <w:t xml:space="preserve">(cel_tam)</w:t>
      </w:r>
      <w:r>
        <w:br/>
      </w:r>
      <w:r>
        <w:rPr>
          <w:rStyle w:val="NormalTok"/>
        </w:rPr>
        <w:t xml:space="preserve">areaG45        </w:t>
      </w:r>
      <w:r>
        <w:rPr>
          <w:rStyle w:val="CommentTok"/>
        </w:rPr>
        <w:t xml:space="preserve"># Area ganha</w:t>
      </w:r>
      <w:r>
        <w:br/>
      </w:r>
      <w:r>
        <w:br/>
      </w:r>
      <w:r>
        <w:rPr>
          <w:rStyle w:val="CommentTok"/>
        </w:rPr>
        <w:t xml:space="preserve"># Porcentagem de ganho</w:t>
      </w:r>
      <w:r>
        <w:br/>
      </w:r>
      <w:r>
        <w:rPr>
          <w:rStyle w:val="NormalTok"/>
        </w:rPr>
        <w:t xml:space="preserve">(areaG45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rPr>
          <w:rStyle w:val="CommentTok"/>
        </w:rPr>
        <w:t xml:space="preserve">#----------</w:t>
      </w:r>
      <w:r>
        <w:br/>
      </w:r>
      <w:r>
        <w:rPr>
          <w:rStyle w:val="DocumentationTok"/>
        </w:rPr>
        <w:t xml:space="preserve">###  AREA ALTERADA ENTRE O PRESENTE E O FUTURO RCP85 (KM^2)</w:t>
      </w:r>
      <w:r>
        <w:br/>
      </w:r>
      <w:r>
        <w:rPr>
          <w:rStyle w:val="CommentTok"/>
        </w:rPr>
        <w:t xml:space="preserve"># area de perda &lt; 0</w:t>
      </w:r>
      <w:r>
        <w:br/>
      </w:r>
      <w:r>
        <w:rPr>
          <w:rStyle w:val="CommentTok"/>
        </w:rPr>
        <w:t xml:space="preserve"># area de ganho &gt; 0</w:t>
      </w:r>
      <w:r>
        <w:br/>
      </w:r>
      <w:r>
        <w:br/>
      </w:r>
      <w:r>
        <w:rPr>
          <w:rStyle w:val="NormalTok"/>
        </w:rPr>
        <w:t xml:space="preserve">mapaP85 </w:t>
      </w:r>
      <w:r>
        <w:rPr>
          <w:rStyle w:val="OtherTok"/>
        </w:rPr>
        <w:t xml:space="preserve">&lt;-</w:t>
      </w:r>
      <w:r>
        <w:rPr>
          <w:rStyle w:val="NormalTok"/>
        </w:rPr>
        <w:t xml:space="preserve"> chp85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&lt;</w:t>
      </w:r>
      <w:r>
        <w:rPr>
          <w:rStyle w:val="NormalTok"/>
        </w:rPr>
        <w:t xml:space="preserve"> </w:t>
      </w:r>
      <w:r>
        <w:rPr>
          <w:rStyle w:val="DecValTok"/>
        </w:rPr>
        <w:t xml:space="preserve">0</w:t>
      </w:r>
      <w:r>
        <w:br/>
      </w:r>
      <w:r>
        <w:rPr>
          <w:rStyle w:val="NormalTok"/>
        </w:rPr>
        <w:t xml:space="preserve">tamanhoP85 </w:t>
      </w:r>
      <w:r>
        <w:rPr>
          <w:rStyle w:val="OtherTok"/>
        </w:rPr>
        <w:t xml:space="preserve">&lt;-</w:t>
      </w:r>
      <w:r>
        <w:rPr>
          <w:rStyle w:val="NormalTok"/>
        </w:rPr>
        <w:t xml:space="preserve"> </w:t>
      </w:r>
      <w:r>
        <w:rPr>
          <w:rStyle w:val="FunctionTok"/>
        </w:rPr>
        <w:t xml:space="preserve">sum</w:t>
      </w:r>
      <w:r>
        <w:rPr>
          <w:rStyle w:val="NormalTok"/>
        </w:rPr>
        <w:t xml:space="preserve">(mapaP85[</w:t>
      </w:r>
      <w:r>
        <w:rPr>
          <w:rStyle w:val="SpecialCharTok"/>
        </w:rPr>
        <w:t xml:space="preserve">!</w:t>
      </w:r>
      <w:r>
        <w:rPr>
          <w:rStyle w:val="FunctionTok"/>
        </w:rPr>
        <w:t xml:space="preserve">is.na</w:t>
      </w:r>
      <w:r>
        <w:rPr>
          <w:rStyle w:val="NormalTok"/>
        </w:rPr>
        <w:t xml:space="preserve">(mapaP85)])</w:t>
      </w:r>
      <w:r>
        <w:br/>
      </w:r>
      <w:r>
        <w:rPr>
          <w:rStyle w:val="NormalTok"/>
        </w:rPr>
        <w:t xml:space="preserve">areaP85 </w:t>
      </w:r>
      <w:r>
        <w:rPr>
          <w:rStyle w:val="OtherTok"/>
        </w:rPr>
        <w:t xml:space="preserve">&lt;-</w:t>
      </w:r>
      <w:r>
        <w:rPr>
          <w:rStyle w:val="NormalTok"/>
        </w:rPr>
        <w:t xml:space="preserve"> tamanhoP85</w:t>
      </w:r>
      <w:r>
        <w:rPr>
          <w:rStyle w:val="SpecialCharTok"/>
        </w:rPr>
        <w:t xml:space="preserve">*</w:t>
      </w:r>
      <w:r>
        <w:rPr>
          <w:rStyle w:val="FunctionTok"/>
        </w:rPr>
        <w:t xml:space="preserve">median</w:t>
      </w:r>
      <w:r>
        <w:rPr>
          <w:rStyle w:val="NormalTok"/>
        </w:rPr>
        <w:t xml:space="preserve">(cel_tam)</w:t>
      </w:r>
      <w:r>
        <w:br/>
      </w:r>
      <w:r>
        <w:rPr>
          <w:rStyle w:val="NormalTok"/>
        </w:rPr>
        <w:t xml:space="preserve">areaP85        </w:t>
      </w:r>
      <w:r>
        <w:rPr>
          <w:rStyle w:val="CommentTok"/>
        </w:rPr>
        <w:t xml:space="preserve"># Area perdida</w:t>
      </w:r>
      <w:r>
        <w:br/>
      </w:r>
      <w:r>
        <w:br/>
      </w:r>
      <w:r>
        <w:rPr>
          <w:rStyle w:val="CommentTok"/>
        </w:rPr>
        <w:t xml:space="preserve"># Porcentagem de perda</w:t>
      </w:r>
      <w:r>
        <w:br/>
      </w:r>
      <w:r>
        <w:rPr>
          <w:rStyle w:val="NormalTok"/>
        </w:rPr>
        <w:t xml:space="preserve">(areaP85</w:t>
      </w:r>
      <w:r>
        <w:rPr>
          <w:rStyle w:val="SpecialCharTok"/>
        </w:rPr>
        <w:t xml:space="preserve">/</w:t>
      </w:r>
      <w:r>
        <w:rPr>
          <w:rStyle w:val="NormalTok"/>
        </w:rPr>
        <w:t xml:space="preserve">area)</w:t>
      </w:r>
      <w:r>
        <w:rPr>
          <w:rStyle w:val="SpecialCharTok"/>
        </w:rPr>
        <w:t xml:space="preserve">*</w:t>
      </w:r>
      <w:r>
        <w:rPr>
          <w:rStyle w:val="DecValTok"/>
        </w:rPr>
        <w:t xml:space="preserve">100</w:t>
      </w:r>
      <w:r>
        <w:br/>
      </w:r>
      <w:r>
        <w:br/>
      </w:r>
      <w:r>
        <w:br/>
      </w:r>
      <w:r>
        <w:rPr>
          <w:rStyle w:val="NormalTok"/>
        </w:rPr>
        <w:t xml:space="preserve">mapaG85 </w:t>
      </w:r>
      <w:r>
        <w:rPr>
          <w:rStyle w:val="OtherTok"/>
        </w:rPr>
        <w:t xml:space="preserve">&lt;-</w:t>
      </w:r>
      <w:r>
        <w:rPr>
          <w:rStyle w:val="NormalTok"/>
        </w:rPr>
        <w:t xml:space="preserve"> chp85</w:t>
      </w:r>
      <w:r>
        <w:rPr>
          <w:rStyle w:val="SpecialCharTok"/>
        </w:rPr>
        <w:t xml:space="preserve">$</w:t>
      </w:r>
      <w:r>
        <w:rPr>
          <w:rStyle w:val="NormalTok"/>
        </w:rPr>
        <w:t xml:space="preserve">layer</w:t>
      </w:r>
      <w:r>
        <w:rPr>
          <w:rStyle w:val="SpecialCharTok"/>
        </w:rPr>
        <w:t xml:space="preserve">@</w:t>
      </w:r>
      <w:r>
        <w:rPr>
          <w:rStyle w:val="NormalTok"/>
        </w:rPr>
        <w:t xml:space="preserve">data</w:t>
      </w:r>
      <w:r>
        <w:rPr>
          <w:rStyle w:val="SpecialCharTok"/>
        </w:rPr>
        <w:t xml:space="preserve">@</w:t>
      </w:r>
      <w:r>
        <w:rPr>
          <w:rStyle w:val="NormalTok"/>
        </w:rPr>
        <w:t xml:space="preserve">values </w:t>
      </w:r>
      <w:r>
        <w:rPr>
          <w:rStyle w:val="SpecialCharTok"/>
        </w:rPr>
        <w:t xml:space="preserve">&gt;</w:t>
      </w:r>
      <w:r>
        <w:rPr>
          <w:rStyle w:val="DecValTok"/>
        </w:rPr>
        <w:t xml:space="preserve">0</w:t>
      </w:r>
      <w:r>
        <w:br/>
      </w:r>
      <w:r>
        <w:rPr>
          <w:rStyle w:val="NormalTok"/>
        </w:rPr>
        <w:t xml:space="preserve">tamanhoG85 </w:t>
      </w:r>
      <w:r>
        <w:rPr>
          <w:rStyle w:val="OtherTok"/>
        </w:rPr>
        <w:t xml:space="preserve">&lt;-</w:t>
      </w:r>
      <w:r>
        <w:rPr>
          <w:rStyle w:val="NormalTok"/>
        </w:rPr>
        <w:t xml:space="preserve"> </w:t>
      </w:r>
      <w:r>
        <w:rPr>
          <w:rStyle w:val="FunctionTok"/>
        </w:rPr>
        <w:t xml:space="preserve">sum</w:t>
      </w:r>
      <w:r>
        <w:rPr>
          <w:rStyle w:val="NormalTok"/>
        </w:rPr>
        <w:t xml:space="preserve">(mapaG85[</w:t>
      </w:r>
      <w:r>
        <w:rPr>
          <w:rStyle w:val="SpecialCharTok"/>
        </w:rPr>
        <w:t xml:space="preserve">!</w:t>
      </w:r>
      <w:r>
        <w:rPr>
          <w:rStyle w:val="FunctionTok"/>
        </w:rPr>
        <w:t xml:space="preserve">is.na</w:t>
      </w:r>
      <w:r>
        <w:rPr>
          <w:rStyle w:val="NormalTok"/>
        </w:rPr>
        <w:t xml:space="preserve">(mapaG85)])</w:t>
      </w:r>
      <w:r>
        <w:br/>
      </w:r>
      <w:r>
        <w:rPr>
          <w:rStyle w:val="NormalTok"/>
        </w:rPr>
        <w:t xml:space="preserve">areaG85 </w:t>
      </w:r>
      <w:r>
        <w:rPr>
          <w:rStyle w:val="OtherTok"/>
        </w:rPr>
        <w:t xml:space="preserve">&lt;-</w:t>
      </w:r>
      <w:r>
        <w:rPr>
          <w:rStyle w:val="NormalTok"/>
        </w:rPr>
        <w:t xml:space="preserve"> tamanhoG85</w:t>
      </w:r>
      <w:r>
        <w:rPr>
          <w:rStyle w:val="SpecialCharTok"/>
        </w:rPr>
        <w:t xml:space="preserve">*</w:t>
      </w:r>
      <w:r>
        <w:rPr>
          <w:rStyle w:val="FunctionTok"/>
        </w:rPr>
        <w:t xml:space="preserve">median</w:t>
      </w:r>
      <w:r>
        <w:rPr>
          <w:rStyle w:val="NormalTok"/>
        </w:rPr>
        <w:t xml:space="preserve">(cel_tam)</w:t>
      </w:r>
      <w:r>
        <w:br/>
      </w:r>
      <w:r>
        <w:rPr>
          <w:rStyle w:val="NormalTok"/>
        </w:rPr>
        <w:t xml:space="preserve">areaG85        </w:t>
      </w:r>
      <w:r>
        <w:rPr>
          <w:rStyle w:val="CommentTok"/>
        </w:rPr>
        <w:t xml:space="preserve"># Area ganha</w:t>
      </w:r>
      <w:r>
        <w:br/>
      </w:r>
      <w:r>
        <w:br/>
      </w:r>
      <w:r>
        <w:rPr>
          <w:rStyle w:val="CommentTok"/>
        </w:rPr>
        <w:t xml:space="preserve"># Porcentagem de ganho</w:t>
      </w:r>
      <w:r>
        <w:br/>
      </w:r>
      <w:r>
        <w:rPr>
          <w:rStyle w:val="NormalTok"/>
        </w:rPr>
        <w:t xml:space="preserve">(areaG85</w:t>
      </w:r>
      <w:r>
        <w:rPr>
          <w:rStyle w:val="SpecialCharTok"/>
        </w:rPr>
        <w:t xml:space="preserve">/</w:t>
      </w:r>
      <w:r>
        <w:rPr>
          <w:rStyle w:val="NormalTok"/>
        </w:rPr>
        <w:t xml:space="preserve">area)</w:t>
      </w:r>
      <w:r>
        <w:rPr>
          <w:rStyle w:val="SpecialCharTok"/>
        </w:rPr>
        <w:t xml:space="preserve">*</w:t>
      </w:r>
      <w:r>
        <w:rPr>
          <w:rStyle w:val="DecValTok"/>
        </w:rPr>
        <w:t xml:space="preserve">100</w:t>
      </w:r>
    </w:p>
    <w:bookmarkEnd w:id="61"/>
    <w:bookmarkEnd w:id="62"/>
    <w:bookmarkStart w:id="144" w:name="referências"/>
    <w:p>
      <w:pPr>
        <w:pStyle w:val="Heading1"/>
      </w:pPr>
      <w:r>
        <w:t xml:space="preserve">Referências</w:t>
      </w:r>
    </w:p>
    <w:bookmarkStart w:id="143" w:name="refs"/>
    <w:bookmarkStart w:id="64" w:name="ref-almeida2016"/>
    <w:p>
      <w:pPr>
        <w:pStyle w:val="Bibliography"/>
      </w:pPr>
      <w:r>
        <w:t xml:space="preserve">ALMEIDA, Brunna e colab.</w:t>
      </w:r>
      <w:r>
        <w:t xml:space="preserve"> </w:t>
      </w:r>
      <w:r>
        <w:rPr>
          <w:bCs/>
          <w:b/>
        </w:rPr>
        <w:t xml:space="preserve">Karyotype of three Lonchophylla species (Chiroptera, Phyllostomidae) from Southeastern Brazil</w:t>
      </w:r>
      <w:r>
        <w:t xml:space="preserve">. Comparative Cytogenetics, v. 10, n. 1, p. 109–115, 2016. Disponível em: &lt;</w:t>
      </w:r>
      <w:hyperlink r:id="rId63">
        <w:r>
          <w:rPr>
            <w:rStyle w:val="Hyperlink"/>
          </w:rPr>
          <w:t xml:space="preserve">https://doi.org/10.3897/CompCytogen.v10i1.6646</w:t>
        </w:r>
      </w:hyperlink>
      <w:r>
        <w:t xml:space="preserve">&gt;.</w:t>
      </w:r>
    </w:p>
    <w:bookmarkEnd w:id="64"/>
    <w:bookmarkStart w:id="65" w:name="ref-anderson2013"/>
    <w:p>
      <w:pPr>
        <w:pStyle w:val="Bibliography"/>
      </w:pPr>
      <w:r>
        <w:t xml:space="preserve">ANDERSON, Robert.</w:t>
      </w:r>
      <w:r>
        <w:t xml:space="preserve"> </w:t>
      </w:r>
      <w:r>
        <w:rPr>
          <w:bCs/>
          <w:b/>
        </w:rPr>
        <w:t xml:space="preserve">A framework for using niche models to estimate impacts of climate change on species distributions</w:t>
      </w:r>
      <w:r>
        <w:t xml:space="preserve">. Annals of the New York Academy of Sciences, v. 1297, p. 8–28, Set 2013.</w:t>
      </w:r>
    </w:p>
    <w:bookmarkEnd w:id="65"/>
    <w:bookmarkStart w:id="66" w:name="ref-arantes2016"/>
    <w:p>
      <w:pPr>
        <w:pStyle w:val="Bibliography"/>
      </w:pPr>
      <w:r>
        <w:t xml:space="preserve">ARANTES, Arielle Elias e FERREIRA, Laerte G. e COE, Michael T.</w:t>
      </w:r>
      <w:r>
        <w:t xml:space="preserve"> </w:t>
      </w:r>
      <w:r>
        <w:rPr>
          <w:bCs/>
          <w:b/>
        </w:rPr>
        <w:t xml:space="preserve">The seasonal carbon and water balances of the Cerrado environment of Brazil: Past, present, and future influences of land cover and land use</w:t>
      </w:r>
      <w:r>
        <w:t xml:space="preserve">. ISPRS Journal of Photogrammetry and Remote Sensing, v. 117, p. 66–78, 2016.</w:t>
      </w:r>
    </w:p>
    <w:bookmarkEnd w:id="66"/>
    <w:bookmarkStart w:id="67" w:name="ref-begon2005"/>
    <w:p>
      <w:pPr>
        <w:pStyle w:val="Bibliography"/>
      </w:pPr>
      <w:r>
        <w:t xml:space="preserve">BEGON, Michael e HARPER, John L. e TOWNSEND, Colin R.</w:t>
      </w:r>
      <w:r>
        <w:t xml:space="preserve"> </w:t>
      </w:r>
      <w:r>
        <w:rPr>
          <w:bCs/>
          <w:b/>
        </w:rPr>
        <w:t xml:space="preserve">Ecologia: De Indivíduos a Ecossistemas</w:t>
      </w:r>
      <w:r>
        <w:t xml:space="preserve">. 4. ed. [S.l.]: Artmed, 2007.</w:t>
      </w:r>
    </w:p>
    <w:bookmarkEnd w:id="67"/>
    <w:bookmarkStart w:id="68" w:name="ref-braunisch2013"/>
    <w:p>
      <w:pPr>
        <w:pStyle w:val="Bibliography"/>
      </w:pPr>
      <w:r>
        <w:t xml:space="preserve">BRAUNISCH, Veronika e colab.</w:t>
      </w:r>
      <w:r>
        <w:t xml:space="preserve"> </w:t>
      </w:r>
      <w:r>
        <w:rPr>
          <w:bCs/>
          <w:b/>
        </w:rPr>
        <w:t xml:space="preserve">Selecting from correlated climate variables: A major source of uncertainty for predicting species distributions under climate change</w:t>
      </w:r>
      <w:r>
        <w:t xml:space="preserve">. Ecography, v. 36, Set 2013.</w:t>
      </w:r>
    </w:p>
    <w:bookmarkEnd w:id="68"/>
    <w:bookmarkStart w:id="69" w:name="ref-matos2004"/>
    <w:p>
      <w:pPr>
        <w:pStyle w:val="Bibliography"/>
      </w:pPr>
      <w:r>
        <w:t xml:space="preserve">CAVALLARI, Marcelo Mattos.</w:t>
      </w:r>
      <w:r>
        <w:t xml:space="preserve"> </w:t>
      </w:r>
      <w:r>
        <w:rPr>
          <w:bCs/>
          <w:b/>
        </w:rPr>
        <w:t xml:space="preserve">Estrutura genética de populações de Encholirium (Bromeliaceae) e implicações para sua conservação</w:t>
      </w:r>
      <w:r>
        <w:t xml:space="preserve">. 2004. mathesis – Escola Superior de Agricultura Luiz de Queiroz (USP), 2004.</w:t>
      </w:r>
    </w:p>
    <w:bookmarkEnd w:id="69"/>
    <w:bookmarkStart w:id="70" w:name="ref-chen2011"/>
    <w:p>
      <w:pPr>
        <w:pStyle w:val="Bibliography"/>
      </w:pPr>
      <w:r>
        <w:t xml:space="preserve">CHEN, I-Ching e colab.</w:t>
      </w:r>
      <w:r>
        <w:t xml:space="preserve"> </w:t>
      </w:r>
      <w:r>
        <w:rPr>
          <w:bCs/>
          <w:b/>
        </w:rPr>
        <w:t xml:space="preserve">Rapid Range Shifts of Species Associated with High Levels of Climate Warming</w:t>
      </w:r>
      <w:r>
        <w:t xml:space="preserve">. Science (New York, N.Y.), v. 333, p. 1024–6, Ago 2011.</w:t>
      </w:r>
    </w:p>
    <w:bookmarkEnd w:id="70"/>
    <w:bookmarkStart w:id="71" w:name="ref-claudio2018"/>
    <w:p>
      <w:pPr>
        <w:pStyle w:val="Bibliography"/>
      </w:pPr>
      <w:r>
        <w:t xml:space="preserve">CLÁUDIO, Vinícius e colab.</w:t>
      </w:r>
      <w:r>
        <w:t xml:space="preserve"> </w:t>
      </w:r>
      <w:r>
        <w:rPr>
          <w:bCs/>
          <w:b/>
        </w:rPr>
        <w:t xml:space="preserve">First record of Lonchophylla bokermanni (Chiroptera, Phyllostomidae) for the Caatinga biome</w:t>
      </w:r>
      <w:r>
        <w:t xml:space="preserve">. Mastozoologia Neotropical, v. 25, Jul 2018.</w:t>
      </w:r>
    </w:p>
    <w:bookmarkEnd w:id="71"/>
    <w:bookmarkStart w:id="73" w:name="ref-cardenas2014"/>
    <w:p>
      <w:pPr>
        <w:pStyle w:val="Bibliography"/>
      </w:pPr>
      <w:r>
        <w:t xml:space="preserve">CRUZ-CÁRDENAS, Gustavo e colab.</w:t>
      </w:r>
      <w:r>
        <w:t xml:space="preserve"> </w:t>
      </w:r>
      <w:r>
        <w:rPr>
          <w:bCs/>
          <w:b/>
        </w:rPr>
        <w:t xml:space="preserve">Potential species distribution modeling and the use of principal component analysis as predictor variables</w:t>
      </w:r>
      <w:r>
        <w:t xml:space="preserve">. Revista Mexicana de Biodiversidad, v. 85, n. 1, p. 189–199, 2014. Disponível em: &lt;</w:t>
      </w:r>
      <w:hyperlink r:id="rId72">
        <w:r>
          <w:rPr>
            <w:rStyle w:val="Hyperlink"/>
          </w:rPr>
          <w:t xml:space="preserve">https://www.sciencedirect.com/science/article/pii/S1870345314707444</w:t>
        </w:r>
      </w:hyperlink>
      <w:r>
        <w:t xml:space="preserve">&gt;.</w:t>
      </w:r>
    </w:p>
    <w:bookmarkEnd w:id="73"/>
    <w:bookmarkStart w:id="74" w:name="ref-dias2013"/>
    <w:p>
      <w:pPr>
        <w:pStyle w:val="Bibliography"/>
      </w:pPr>
      <w:r>
        <w:t xml:space="preserve">DIAS, Daniela e ESBÉRARD, Cel e MORATELLI, Ricardo.</w:t>
      </w:r>
      <w:r>
        <w:t xml:space="preserve"> </w:t>
      </w:r>
      <w:r>
        <w:rPr>
          <w:bCs/>
          <w:b/>
        </w:rPr>
        <w:t xml:space="preserve">A new species of Lonchophylla (Chiroptera, Phyllostomidae) from the Atlantic Forest of southeastern Brazil, with comments on L. bokermanni</w:t>
      </w:r>
      <w:r>
        <w:t xml:space="preserve">. Zootaxa, v. 3722, p. 347–360, Out 2013.</w:t>
      </w:r>
    </w:p>
    <w:bookmarkEnd w:id="74"/>
    <w:bookmarkStart w:id="75" w:name="ref-doak2010"/>
    <w:p>
      <w:pPr>
        <w:pStyle w:val="Bibliography"/>
      </w:pPr>
      <w:r>
        <w:t xml:space="preserve">DOAK, Daniel e MORRIS, William.</w:t>
      </w:r>
      <w:r>
        <w:t xml:space="preserve"> </w:t>
      </w:r>
      <w:r>
        <w:rPr>
          <w:bCs/>
          <w:b/>
        </w:rPr>
        <w:t xml:space="preserve">Demographic compensation and tipping points in climate-induced range shifts</w:t>
      </w:r>
      <w:r>
        <w:t xml:space="preserve">. Nature, v. 467, p. 959–62, Out 2010.</w:t>
      </w:r>
    </w:p>
    <w:bookmarkEnd w:id="75"/>
    <w:bookmarkStart w:id="77" w:name="ref-elith2009"/>
    <w:p>
      <w:pPr>
        <w:pStyle w:val="Bibliography"/>
      </w:pPr>
      <w:r>
        <w:t xml:space="preserve">ELITH, Jane e LEATHWICK, John R.</w:t>
      </w:r>
      <w:r>
        <w:t xml:space="preserve"> </w:t>
      </w:r>
      <w:r>
        <w:rPr>
          <w:bCs/>
          <w:b/>
        </w:rPr>
        <w:t xml:space="preserve">Species Distribution Models: Ecological Explanation and Prediction Across Space and Time</w:t>
      </w:r>
      <w:r>
        <w:t xml:space="preserve">. Annual Review of Ecology, Evolution, and Systematics, v. 40, n. 1, p. 677–697, 2009. Disponível em: &lt;</w:t>
      </w:r>
      <w:hyperlink r:id="rId76">
        <w:r>
          <w:rPr>
            <w:rStyle w:val="Hyperlink"/>
          </w:rPr>
          <w:t xml:space="preserve">https://doi.org/10.1146/annurev.ecolsys.110308.120159</w:t>
        </w:r>
      </w:hyperlink>
      <w:r>
        <w:t xml:space="preserve">&gt;.</w:t>
      </w:r>
    </w:p>
    <w:bookmarkEnd w:id="77"/>
    <w:bookmarkStart w:id="79" w:name="ref-worldclim"/>
    <w:p>
      <w:pPr>
        <w:pStyle w:val="Bibliography"/>
      </w:pPr>
      <w:r>
        <w:t xml:space="preserve">FICK, Stephen E. e HIJMANS, Robert J.</w:t>
      </w:r>
      <w:r>
        <w:t xml:space="preserve"> </w:t>
      </w:r>
      <w:r>
        <w:rPr>
          <w:bCs/>
          <w:b/>
        </w:rPr>
        <w:t xml:space="preserve">WorldClim 2: new 1-km spatial resolution climate surfaces for global land areas</w:t>
      </w:r>
      <w:r>
        <w:t xml:space="preserve">. International Journal of Climatology, v. 37, n. 12, p. 4302–4315, 2017. Disponível em: &lt;</w:t>
      </w:r>
      <w:hyperlink r:id="rId78">
        <w:r>
          <w:rPr>
            <w:rStyle w:val="Hyperlink"/>
          </w:rPr>
          <w:t xml:space="preserve">https://rmets.onlinelibrary.wiley.com/doi/abs/10.1002/joc.5086</w:t>
        </w:r>
      </w:hyperlink>
      <w:r>
        <w:t xml:space="preserve">&gt;.</w:t>
      </w:r>
    </w:p>
    <w:bookmarkEnd w:id="79"/>
    <w:bookmarkStart w:id="80" w:name="ref-carneiro2016"/>
    <w:p>
      <w:pPr>
        <w:pStyle w:val="Bibliography"/>
      </w:pPr>
      <w:r>
        <w:t xml:space="preserve">FILHO, Arnaldo Carneiro e COSTA, Karine. São Paulo: Agroicone, 2016. p. 1–30</w:t>
      </w:r>
    </w:p>
    <w:bookmarkEnd w:id="80"/>
    <w:bookmarkStart w:id="81" w:name="ref-fleming2008"/>
    <w:p>
      <w:pPr>
        <w:pStyle w:val="Bibliography"/>
      </w:pPr>
      <w:r>
        <w:t xml:space="preserve">FLEMING, Theodore e GEISELMAN, Cullen e KRESS, W.</w:t>
      </w:r>
      <w:r>
        <w:t xml:space="preserve"> </w:t>
      </w:r>
      <w:r>
        <w:rPr>
          <w:bCs/>
          <w:b/>
        </w:rPr>
        <w:t xml:space="preserve">The evolution of bat pollination: A phylogenetic perspective</w:t>
      </w:r>
      <w:r>
        <w:t xml:space="preserve">. Annals of botany, v. 104, p. 1017–43, Set 2009.</w:t>
      </w:r>
    </w:p>
    <w:bookmarkEnd w:id="81"/>
    <w:bookmarkStart w:id="83" w:name="ref-forzza2005"/>
    <w:p>
      <w:pPr>
        <w:pStyle w:val="Bibliography"/>
      </w:pPr>
      <w:r>
        <w:t xml:space="preserve">FORZZA, Rafaela Campostrini.</w:t>
      </w:r>
      <w:r>
        <w:t xml:space="preserve"> </w:t>
      </w:r>
      <w:r>
        <w:rPr>
          <w:bCs/>
          <w:b/>
        </w:rPr>
        <w:t xml:space="preserve">REVISÃO TAXONÔMICA DE ENCHOLIRIUM MART. EX SCHULT. &amp; SCHULT. F. (PITCAIRNIOIDEAE - BROMELIACEAE)</w:t>
      </w:r>
      <w:r>
        <w:t xml:space="preserve">. Boletim de Botânica da Universidade de São Paulo, v. 23, n. 1, p. 1–49, 2005. Disponível em: &lt;</w:t>
      </w:r>
      <w:hyperlink r:id="rId82">
        <w:r>
          <w:rPr>
            <w:rStyle w:val="Hyperlink"/>
          </w:rPr>
          <w:t xml:space="preserve">http://www.jstor.org/stable/42871669</w:t>
        </w:r>
      </w:hyperlink>
      <w:r>
        <w:t xml:space="preserve">&gt;.</w:t>
      </w:r>
    </w:p>
    <w:bookmarkEnd w:id="83"/>
    <w:bookmarkStart w:id="84" w:name="ref-franklin2010"/>
    <w:p>
      <w:pPr>
        <w:pStyle w:val="Bibliography"/>
      </w:pPr>
      <w:r>
        <w:t xml:space="preserve">FRANKLIN, Janet e MILLER, Jennifer A.</w:t>
      </w:r>
      <w:r>
        <w:t xml:space="preserve"> </w:t>
      </w:r>
      <w:r>
        <w:rPr>
          <w:bCs/>
          <w:b/>
        </w:rPr>
        <w:t xml:space="preserve">Mapping species distributions: Spatial inference and prediction</w:t>
      </w:r>
      <w:r>
        <w:t xml:space="preserve">. [S.l: s.n.], 2010. p. 320</w:t>
      </w:r>
    </w:p>
    <w:bookmarkEnd w:id="84"/>
    <w:bookmarkStart w:id="85" w:name="ref-gerard2020"/>
    <w:p>
      <w:pPr>
        <w:pStyle w:val="Bibliography"/>
      </w:pPr>
      <w:r>
        <w:t xml:space="preserve">GÉRARD, Maxence e colab.</w:t>
      </w:r>
      <w:r>
        <w:t xml:space="preserve"> </w:t>
      </w:r>
      <w:r>
        <w:rPr>
          <w:bCs/>
          <w:b/>
        </w:rPr>
        <w:t xml:space="preserve">Global warming and plant-pollinator mismatches</w:t>
      </w:r>
      <w:r>
        <w:t xml:space="preserve">. Emerging Topics in Life Sciences, v. 4, Abr 2020.</w:t>
      </w:r>
    </w:p>
    <w:bookmarkEnd w:id="85"/>
    <w:bookmarkStart w:id="87" w:name="ref-gorostiague2018"/>
    <w:p>
      <w:pPr>
        <w:pStyle w:val="Bibliography"/>
      </w:pPr>
      <w:r>
        <w:t xml:space="preserve">GOROSTIAGUE, Pablo e SAJAMA, Jesús e ORTEGA-BAES, Pablo.</w:t>
      </w:r>
      <w:r>
        <w:t xml:space="preserve"> </w:t>
      </w:r>
      <w:r>
        <w:rPr>
          <w:bCs/>
          <w:b/>
        </w:rPr>
        <w:t xml:space="preserve">Will climate change cause spatial mismatch between plants and their pollinators? A test using Andean cactus species</w:t>
      </w:r>
      <w:r>
        <w:t xml:space="preserve">. Biological Conservation, v. 226, p. 247–255, 2018. Disponível em: &lt;</w:t>
      </w:r>
      <w:hyperlink r:id="rId86">
        <w:r>
          <w:rPr>
            <w:rStyle w:val="Hyperlink"/>
          </w:rPr>
          <w:t xml:space="preserve">https://www.sciencedirect.com/science/article/pii/S0006320717318426</w:t>
        </w:r>
      </w:hyperlink>
      <w:r>
        <w:t xml:space="preserve">&gt;.</w:t>
      </w:r>
    </w:p>
    <w:bookmarkEnd w:id="87"/>
    <w:bookmarkStart w:id="89" w:name="ref-gomez2019"/>
    <w:p>
      <w:pPr>
        <w:pStyle w:val="Bibliography"/>
      </w:pPr>
      <w:r>
        <w:t xml:space="preserve">GÓMEZ-RUIZ, Emma P. e LACHER JR., Thomas E.</w:t>
      </w:r>
      <w:r>
        <w:t xml:space="preserve"> </w:t>
      </w:r>
      <w:r>
        <w:rPr>
          <w:bCs/>
          <w:b/>
        </w:rPr>
        <w:t xml:space="preserve">Climate change, range shifts, and the disruption of a pollinator-plant complex</w:t>
      </w:r>
      <w:r>
        <w:t xml:space="preserve">. Scientific Reports, v. 9, n. 1, p. 14048, 1 Out 2019. Disponível em: &lt;</w:t>
      </w:r>
      <w:hyperlink r:id="rId88">
        <w:r>
          <w:rPr>
            <w:rStyle w:val="Hyperlink"/>
          </w:rPr>
          <w:t xml:space="preserve">https://doi.org/10.1038/s41598-019-50059-6</w:t>
        </w:r>
      </w:hyperlink>
      <w:r>
        <w:t xml:space="preserve">&gt;.</w:t>
      </w:r>
    </w:p>
    <w:bookmarkEnd w:id="89"/>
    <w:bookmarkStart w:id="90" w:name="ref-hegland2008"/>
    <w:p>
      <w:pPr>
        <w:pStyle w:val="Bibliography"/>
      </w:pPr>
      <w:r>
        <w:t xml:space="preserve">HEGLAND, Stein e colab.</w:t>
      </w:r>
      <w:r>
        <w:t xml:space="preserve"> </w:t>
      </w:r>
      <w:r>
        <w:rPr>
          <w:bCs/>
          <w:b/>
        </w:rPr>
        <w:t xml:space="preserve">How does climate warming affect plant-pollinator interactions?</w:t>
      </w:r>
      <w:r>
        <w:t xml:space="preserve"> Ecology letters, v. 12, p. 184–95, Dez 2008.</w:t>
      </w:r>
    </w:p>
    <w:bookmarkEnd w:id="90"/>
    <w:bookmarkStart w:id="92" w:name="ref-hernandez2006"/>
    <w:p>
      <w:pPr>
        <w:pStyle w:val="Bibliography"/>
      </w:pPr>
      <w:r>
        <w:t xml:space="preserve">HERNANDEZ, Pilar A. e colab.</w:t>
      </w:r>
      <w:r>
        <w:t xml:space="preserve"> </w:t>
      </w:r>
      <w:r>
        <w:rPr>
          <w:bCs/>
          <w:b/>
        </w:rPr>
        <w:t xml:space="preserve">The effect of sample size and species characteristics on performance of different species distribution modeling methods</w:t>
      </w:r>
      <w:r>
        <w:t xml:space="preserve">. Ecography, v. 29, n. 5, p. 773–785, 2006. Disponível em: &lt;</w:t>
      </w:r>
      <w:hyperlink r:id="rId91">
        <w:r>
          <w:rPr>
            <w:rStyle w:val="Hyperlink"/>
          </w:rPr>
          <w:t xml:space="preserve">https://onlinelibrary.wiley.com/doi/abs/10.1111/j.0906-7590.2006.04700.x</w:t>
        </w:r>
      </w:hyperlink>
      <w:r>
        <w:t xml:space="preserve">&gt;.</w:t>
      </w:r>
    </w:p>
    <w:bookmarkEnd w:id="92"/>
    <w:bookmarkStart w:id="93" w:name="ref-hijmans2001"/>
    <w:p>
      <w:pPr>
        <w:pStyle w:val="Bibliography"/>
      </w:pPr>
      <w:r>
        <w:t xml:space="preserve">HIJMANS, Robert e SPOONER, David.</w:t>
      </w:r>
      <w:r>
        <w:t xml:space="preserve"> </w:t>
      </w:r>
      <w:r>
        <w:rPr>
          <w:bCs/>
          <w:b/>
        </w:rPr>
        <w:t xml:space="preserve">Geographic Distribution of Wild Potato Species</w:t>
      </w:r>
      <w:r>
        <w:t xml:space="preserve">. American journal of botany, v. 88, p. 2101–12, Nov 2001.</w:t>
      </w:r>
    </w:p>
    <w:bookmarkEnd w:id="93"/>
    <w:bookmarkStart w:id="95" w:name="ref-inpe"/>
    <w:p>
      <w:pPr>
        <w:pStyle w:val="Bibliography"/>
      </w:pPr>
      <w:r>
        <w:t xml:space="preserve">INPE, COORDENAÇÃO GERAL DE OBSERVAÇÃO DA TERRA.</w:t>
      </w:r>
      <w:r>
        <w:t xml:space="preserve"> </w:t>
      </w:r>
      <w:r>
        <w:rPr>
          <w:bCs/>
          <w:b/>
        </w:rPr>
        <w:t xml:space="preserve">PRODES – Incremento anual de área desmatada no Cerrado Brasileiro</w:t>
      </w:r>
      <w:r>
        <w:t xml:space="preserve">. Disponível em: &lt;</w:t>
      </w:r>
      <w:hyperlink r:id="rId94">
        <w:r>
          <w:rPr>
            <w:rStyle w:val="Hyperlink"/>
          </w:rPr>
          <w:t xml:space="preserve">http://www.obt.inpe.br/cerrado</w:t>
        </w:r>
      </w:hyperlink>
      <w:r>
        <w:t xml:space="preserve">&gt;.</w:t>
      </w:r>
    </w:p>
    <w:bookmarkEnd w:id="95"/>
    <w:bookmarkStart w:id="96" w:name="ref-IPCC"/>
    <w:p>
      <w:pPr>
        <w:pStyle w:val="Bibliography"/>
      </w:pPr>
      <w:r>
        <w:t xml:space="preserve">IPCC. Summary for Policymakers. STOCKER, T. F. e colab. (Org.). Climate Change 2013: The Physical Science Basis. Contribution of Working Group I to the Fifth Assessment Report of the Intergovernmental Panel on Climate Change. Cambridge, United Kingdom; New York, NY, USA: Cambridge University Press, 2013. p. 1–30.</w:t>
      </w:r>
    </w:p>
    <w:bookmarkEnd w:id="96"/>
    <w:bookmarkStart w:id="98" w:name="ref-jordano2003"/>
    <w:p>
      <w:pPr>
        <w:pStyle w:val="Bibliography"/>
      </w:pPr>
      <w:r>
        <w:t xml:space="preserve">JORDANO, Pedro e BASCOMPTE, Jordi e OLESEN, Jens M.</w:t>
      </w:r>
      <w:r>
        <w:t xml:space="preserve"> </w:t>
      </w:r>
      <w:r>
        <w:rPr>
          <w:bCs/>
          <w:b/>
        </w:rPr>
        <w:t xml:space="preserve">Invariant properties in coevolutionary networks of plant–animal interactions</w:t>
      </w:r>
      <w:r>
        <w:t xml:space="preserve">. Ecology Letters, v. 6, n. 1, p. 69–81, 2003. Disponível em: &lt;</w:t>
      </w:r>
      <w:hyperlink r:id="rId97">
        <w:r>
          <w:rPr>
            <w:rStyle w:val="Hyperlink"/>
          </w:rPr>
          <w:t xml:space="preserve">https://onlinelibrary.wiley.com/doi/abs/10.1046/j.1461-0248.2003.00403.x</w:t>
        </w:r>
      </w:hyperlink>
      <w:r>
        <w:t xml:space="preserve">&gt;.</w:t>
      </w:r>
    </w:p>
    <w:bookmarkEnd w:id="98"/>
    <w:bookmarkStart w:id="99" w:name="ref-kearney2010"/>
    <w:p>
      <w:pPr>
        <w:pStyle w:val="Bibliography"/>
      </w:pPr>
      <w:r>
        <w:t xml:space="preserve">KEARNEY, Michael e WINTLE, Brendan e PORTER, Warren.</w:t>
      </w:r>
      <w:r>
        <w:t xml:space="preserve"> </w:t>
      </w:r>
      <w:r>
        <w:rPr>
          <w:bCs/>
          <w:b/>
        </w:rPr>
        <w:t xml:space="preserve">Correlative and mechanistic models of species distribution provide congruent forecasts under climate change</w:t>
      </w:r>
      <w:r>
        <w:t xml:space="preserve">. Conservation Letters, v. 3, p. 203–213, Jun 2010.</w:t>
      </w:r>
    </w:p>
    <w:bookmarkEnd w:id="99"/>
    <w:bookmarkStart w:id="101" w:name="ref-kearns1998"/>
    <w:p>
      <w:pPr>
        <w:pStyle w:val="Bibliography"/>
      </w:pPr>
      <w:r>
        <w:t xml:space="preserve">KEARNS, Carol A. e INOUYE, David W. e WASER, Nickolas M.</w:t>
      </w:r>
      <w:r>
        <w:t xml:space="preserve"> </w:t>
      </w:r>
      <w:r>
        <w:rPr>
          <w:bCs/>
          <w:b/>
        </w:rPr>
        <w:t xml:space="preserve">ENDANGERED MUTUALISMS: The Conservation of Plant-Pollinator Interactions</w:t>
      </w:r>
      <w:r>
        <w:t xml:space="preserve">. Annual Review of Ecology and Systematics, v. 29, n. 1, p. 83–112, 1998. Disponível em: &lt;</w:t>
      </w:r>
      <w:hyperlink r:id="rId100">
        <w:r>
          <w:rPr>
            <w:rStyle w:val="Hyperlink"/>
          </w:rPr>
          <w:t xml:space="preserve">https://doi.org/10.1146/annurev.ecolsys.29.1.83</w:t>
        </w:r>
      </w:hyperlink>
      <w:r>
        <w:t xml:space="preserve">&gt;.</w:t>
      </w:r>
    </w:p>
    <w:bookmarkEnd w:id="101"/>
    <w:bookmarkStart w:id="102" w:name="ref-liu2013"/>
    <w:p>
      <w:pPr>
        <w:pStyle w:val="Bibliography"/>
      </w:pPr>
      <w:r>
        <w:t xml:space="preserve">LIU, Canran e WHITE, Matt e NEWELL, Graeme.</w:t>
      </w:r>
      <w:r>
        <w:t xml:space="preserve"> </w:t>
      </w:r>
      <w:r>
        <w:rPr>
          <w:bCs/>
          <w:b/>
        </w:rPr>
        <w:t xml:space="preserve">Selecting thresholds for the prediction of species occurrence with presence-only data</w:t>
      </w:r>
      <w:r>
        <w:t xml:space="preserve">. Journal of Biogeography, v. 40, p. 778–789, Abr 2013.</w:t>
      </w:r>
    </w:p>
    <w:bookmarkEnd w:id="102"/>
    <w:bookmarkStart w:id="103" w:name="ref-icmbio2018"/>
    <w:p>
      <w:pPr>
        <w:pStyle w:val="Bibliography"/>
      </w:pPr>
      <w:r>
        <w:rPr>
          <w:bCs/>
          <w:b/>
        </w:rPr>
        <w:t xml:space="preserve">Livro Vermelho da Fauna Brasileira Ameaçada de Extinção</w:t>
      </w:r>
      <w:r>
        <w:t xml:space="preserve">. [S.l.]: ICMBio/MMA, 2018. v. 1.</w:t>
      </w:r>
    </w:p>
    <w:bookmarkEnd w:id="103"/>
    <w:bookmarkStart w:id="104" w:name="ref-Lopez2011"/>
    <w:p>
      <w:pPr>
        <w:pStyle w:val="Bibliography"/>
      </w:pPr>
      <w:r>
        <w:t xml:space="preserve">LÓPEZ-ARÉVALO, H. e colab.</w:t>
      </w:r>
      <w:r>
        <w:t xml:space="preserve"> </w:t>
      </w:r>
      <w:r>
        <w:rPr>
          <w:bCs/>
          <w:b/>
        </w:rPr>
        <w:t xml:space="preserve">Local knowledge and species distribution models’ contribution towards mammalian conservation</w:t>
      </w:r>
      <w:r>
        <w:t xml:space="preserve">. Biological Conservation, v. 144, p. 1451–1463, 2011.</w:t>
      </w:r>
    </w:p>
    <w:bookmarkEnd w:id="104"/>
    <w:bookmarkStart w:id="105" w:name="ref-martinelli2013"/>
    <w:p>
      <w:pPr>
        <w:pStyle w:val="Bibliography"/>
      </w:pPr>
      <w:r>
        <w:t xml:space="preserve">MARTINELLI, Gustavo e MORAES, Miguel Avila.</w:t>
      </w:r>
      <w:r>
        <w:t xml:space="preserve"> </w:t>
      </w:r>
      <w:r>
        <w:rPr>
          <w:bCs/>
          <w:b/>
        </w:rPr>
        <w:t xml:space="preserve">Livro vermelho da flora do Brasil</w:t>
      </w:r>
      <w:r>
        <w:t xml:space="preserve">. [S.l.]: Instituto de Pesquisas Jardim Botânico do Rio de Janeiro, 2013. v. 1. p. 1100</w:t>
      </w:r>
    </w:p>
    <w:bookmarkEnd w:id="105"/>
    <w:bookmarkStart w:id="106" w:name="ref-memmott2007"/>
    <w:p>
      <w:pPr>
        <w:pStyle w:val="Bibliography"/>
      </w:pPr>
      <w:r>
        <w:t xml:space="preserve">MEMMOTT, Jane e colab.</w:t>
      </w:r>
      <w:r>
        <w:t xml:space="preserve"> </w:t>
      </w:r>
      <w:r>
        <w:rPr>
          <w:bCs/>
          <w:b/>
        </w:rPr>
        <w:t xml:space="preserve">Global warming and the disruption of plant-pollinator interactions</w:t>
      </w:r>
      <w:r>
        <w:t xml:space="preserve">. Ecology letters, v. 10, p. 710–7, Set 2007.</w:t>
      </w:r>
    </w:p>
    <w:bookmarkEnd w:id="106"/>
    <w:bookmarkStart w:id="107" w:name="ref-merow2013"/>
    <w:p>
      <w:pPr>
        <w:pStyle w:val="Bibliography"/>
      </w:pPr>
      <w:r>
        <w:t xml:space="preserve">MEROW, Cory e SMITH, Matthew J. e SILANDER JR, John A.</w:t>
      </w:r>
      <w:r>
        <w:t xml:space="preserve"> </w:t>
      </w:r>
      <w:r>
        <w:rPr>
          <w:bCs/>
          <w:b/>
        </w:rPr>
        <w:t xml:space="preserve">A practical guide to MaxEnt for modeling species’ distributions: what it does, and why inputs and settings matter</w:t>
      </w:r>
      <w:r>
        <w:t xml:space="preserve">. Ecography, v. 36, n. 10, p. 1058–1069, 2013.</w:t>
      </w:r>
    </w:p>
    <w:bookmarkEnd w:id="107"/>
    <w:bookmarkStart w:id="108" w:name="ref-miller2010"/>
    <w:p>
      <w:pPr>
        <w:pStyle w:val="Bibliography"/>
      </w:pPr>
      <w:r>
        <w:t xml:space="preserve">MILLER, Jennifer.</w:t>
      </w:r>
      <w:r>
        <w:t xml:space="preserve"> </w:t>
      </w:r>
      <w:r>
        <w:rPr>
          <w:bCs/>
          <w:b/>
        </w:rPr>
        <w:t xml:space="preserve">Species Distribution Modeling</w:t>
      </w:r>
      <w:r>
        <w:t xml:space="preserve">. Geography Compass, v. 4, p. 490–509, Jun 2010.</w:t>
      </w:r>
    </w:p>
    <w:bookmarkEnd w:id="108"/>
    <w:bookmarkStart w:id="110" w:name="ref-moratelli"/>
    <w:p>
      <w:pPr>
        <w:pStyle w:val="Bibliography"/>
      </w:pPr>
      <w:r>
        <w:t xml:space="preserve">MORATELLI, Ricardo.</w:t>
      </w:r>
      <w:r>
        <w:t xml:space="preserve"> </w:t>
      </w:r>
      <w:r>
        <w:rPr>
          <w:bCs/>
          <w:b/>
        </w:rPr>
        <w:t xml:space="preserve">Nova espécie de morcego da Mata Atlântica homenageia o Dr. Adriano Peracchi e revela outra espécie do Cerrado que pode estar criticamente ameaçada</w:t>
      </w:r>
      <w:r>
        <w:t xml:space="preserve">. Disponível em: &lt;</w:t>
      </w:r>
      <w:hyperlink r:id="rId109">
        <w:r>
          <w:rPr>
            <w:rStyle w:val="Hyperlink"/>
          </w:rPr>
          <w:t xml:space="preserve">https://sbeq.wordpress.com/2013/10/22/nova-especie-de-morcego-da-mata-atlantica-homenageia-o-dr-adriano-peracchi-e-revela-outra-especie-do-cerrado-que-pode-estar-criticamente-ameacada/</w:t>
        </w:r>
      </w:hyperlink>
      <w:r>
        <w:t xml:space="preserve">&gt;.</w:t>
      </w:r>
    </w:p>
    <w:bookmarkEnd w:id="110"/>
    <w:bookmarkStart w:id="111" w:name="ref-mariana2014"/>
    <w:p>
      <w:pPr>
        <w:pStyle w:val="Bibliography"/>
      </w:pPr>
      <w:r>
        <w:t xml:space="preserve">MOURA, Mariana Neves.</w:t>
      </w:r>
      <w:r>
        <w:t xml:space="preserve"> </w:t>
      </w:r>
      <w:r>
        <w:rPr>
          <w:bCs/>
          <w:b/>
        </w:rPr>
        <w:t xml:space="preserve">Hipóteses filogenéticas baseadas em caracteres moleculares e estudos do tamanho do genoma em Dyckia Schult. &amp; Schult.f. e Encholirium Mart. ex Schult. &amp; Schult.f. (Bromeliaceae)</w:t>
      </w:r>
      <w:r>
        <w:t xml:space="preserve">. 2014. mathesis – Universidade Federal de Viçosa, 2014.</w:t>
      </w:r>
    </w:p>
    <w:bookmarkEnd w:id="111"/>
    <w:bookmarkStart w:id="112" w:name="ref-sdm"/>
    <w:p>
      <w:pPr>
        <w:pStyle w:val="Bibliography"/>
      </w:pPr>
      <w:r>
        <w:t xml:space="preserve">NAIMI, Babak e ARAÚJO, Miguel B.</w:t>
      </w:r>
      <w:r>
        <w:t xml:space="preserve"> </w:t>
      </w:r>
      <w:r>
        <w:rPr>
          <w:bCs/>
          <w:b/>
        </w:rPr>
        <w:t xml:space="preserve">sdm: a reproducible and extensible R platform for species distribution modelling</w:t>
      </w:r>
      <w:r>
        <w:t xml:space="preserve">. Ecography, v. 39, n. 4, p. 368–375, 2016.</w:t>
      </w:r>
    </w:p>
    <w:bookmarkEnd w:id="112"/>
    <w:bookmarkStart w:id="113" w:name="ref-nascimento2013"/>
    <w:p>
      <w:pPr>
        <w:pStyle w:val="Bibliography"/>
      </w:pPr>
      <w:r>
        <w:t xml:space="preserve">NASCIMENTO, Maria Clara e colab.</w:t>
      </w:r>
      <w:r>
        <w:t xml:space="preserve"> </w:t>
      </w:r>
      <w:r>
        <w:rPr>
          <w:bCs/>
          <w:b/>
        </w:rPr>
        <w:t xml:space="preserve">Rediscovery of Lonchophylla bokermanni Sazima, Vizotto and Taddei, 1978 (Chiroptera: Phyllostomidae: Lonchophyllinae) in Minas Gerais, and new records for Espírito Santo, southeastern Brazil</w:t>
      </w:r>
      <w:r>
        <w:t xml:space="preserve">. Check List, v. 9, p. 1046–1049, Out 2013.</w:t>
      </w:r>
    </w:p>
    <w:bookmarkEnd w:id="113"/>
    <w:bookmarkStart w:id="114" w:name="ref-parmesan2006"/>
    <w:p>
      <w:pPr>
        <w:pStyle w:val="Bibliography"/>
      </w:pPr>
      <w:r>
        <w:t xml:space="preserve">PARMESAN, Camille.</w:t>
      </w:r>
      <w:r>
        <w:t xml:space="preserve"> </w:t>
      </w:r>
      <w:r>
        <w:rPr>
          <w:bCs/>
          <w:b/>
        </w:rPr>
        <w:t xml:space="preserve">Ecological and Evolutionary Responses to Recent Climate Change</w:t>
      </w:r>
      <w:r>
        <w:t xml:space="preserve">. Annual Review of Ecology, Evolution, and Systematics, v. 37, p. 637–669, Dez 2006.</w:t>
      </w:r>
    </w:p>
    <w:bookmarkEnd w:id="114"/>
    <w:bookmarkStart w:id="115" w:name="ref-parmesan2003"/>
    <w:p>
      <w:pPr>
        <w:pStyle w:val="Bibliography"/>
      </w:pPr>
      <w:r>
        <w:t xml:space="preserve">PARMESAN, Camille e YOHE, Gary.</w:t>
      </w:r>
      <w:r>
        <w:t xml:space="preserve"> </w:t>
      </w:r>
      <w:r>
        <w:rPr>
          <w:bCs/>
          <w:b/>
        </w:rPr>
        <w:t xml:space="preserve">A globally coherent fingerprint of climate change impacts across natural systems</w:t>
      </w:r>
      <w:r>
        <w:t xml:space="preserve">. Nature, v. 421, p. 37–42, Fev 2003.</w:t>
      </w:r>
    </w:p>
    <w:bookmarkEnd w:id="115"/>
    <w:bookmarkStart w:id="116" w:name="ref-pbmc2013"/>
    <w:p>
      <w:pPr>
        <w:pStyle w:val="Bibliography"/>
      </w:pPr>
      <w:r>
        <w:t xml:space="preserve">PBMC.</w:t>
      </w:r>
      <w:r>
        <w:t xml:space="preserve"> </w:t>
      </w:r>
      <w:r>
        <w:rPr>
          <w:bCs/>
          <w:b/>
        </w:rPr>
        <w:t xml:space="preserve">Base científica dasmudanças climáticas. Volume 1 - Primeiro relatório de avaliação nacional</w:t>
      </w:r>
      <w:r>
        <w:t xml:space="preserve">. Rio de Janeiro, Brasil: Painel Brasileiro de Mudanças Climáticas, 2014. p. 1–356</w:t>
      </w:r>
    </w:p>
    <w:bookmarkEnd w:id="116"/>
    <w:bookmarkStart w:id="118" w:name="ref-pecl2017"/>
    <w:p>
      <w:pPr>
        <w:pStyle w:val="Bibliography"/>
      </w:pPr>
      <w:r>
        <w:t xml:space="preserve">PECL, Gretta T. e colab.</w:t>
      </w:r>
      <w:r>
        <w:t xml:space="preserve"> </w:t>
      </w:r>
      <w:r>
        <w:rPr>
          <w:bCs/>
          <w:b/>
        </w:rPr>
        <w:t xml:space="preserve">Biodiversity redistribution under climate change: Impacts on ecosystems and human well-being</w:t>
      </w:r>
      <w:r>
        <w:t xml:space="preserve">. Science, v. 355, n. 6332, p. eaai9214, 2017. Disponível em: &lt;</w:t>
      </w:r>
      <w:hyperlink r:id="rId117">
        <w:r>
          <w:rPr>
            <w:rStyle w:val="Hyperlink"/>
          </w:rPr>
          <w:t xml:space="preserve">https://www.science.org/doi/abs/10.1126/science.aai9214</w:t>
        </w:r>
      </w:hyperlink>
      <w:r>
        <w:t xml:space="preserve">&gt;.</w:t>
      </w:r>
    </w:p>
    <w:bookmarkEnd w:id="118"/>
    <w:bookmarkStart w:id="120" w:name="ref-maxent"/>
    <w:p>
      <w:pPr>
        <w:pStyle w:val="Bibliography"/>
      </w:pPr>
      <w:r>
        <w:t xml:space="preserve">PHILLIPS, Steven J. e ANDERSON, Robert P. e SCHAPIRE, Robert E.</w:t>
      </w:r>
      <w:r>
        <w:t xml:space="preserve"> </w:t>
      </w:r>
      <w:r>
        <w:rPr>
          <w:bCs/>
          <w:b/>
        </w:rPr>
        <w:t xml:space="preserve">Maximum entropy modeling of species geographic distributions</w:t>
      </w:r>
      <w:r>
        <w:t xml:space="preserve">. Ecological Modelling, v. 190, n. 3, p. 231–259, 2006. Disponível em: &lt;</w:t>
      </w:r>
      <w:hyperlink r:id="rId119">
        <w:r>
          <w:rPr>
            <w:rStyle w:val="Hyperlink"/>
          </w:rPr>
          <w:t xml:space="preserve">https://www.sciencedirect.com/science/article/pii/S030438000500267X</w:t>
        </w:r>
      </w:hyperlink>
      <w:r>
        <w:t xml:space="preserve">&gt;.</w:t>
      </w:r>
    </w:p>
    <w:bookmarkEnd w:id="120"/>
    <w:bookmarkStart w:id="121" w:name="ref-pinaya2013"/>
    <w:p>
      <w:pPr>
        <w:pStyle w:val="Bibliography"/>
      </w:pPr>
      <w:r>
        <w:t xml:space="preserve">PINAYA, Jorge Luiz Diaz.</w:t>
      </w:r>
      <w:r>
        <w:t xml:space="preserve"> </w:t>
      </w:r>
      <w:r>
        <w:rPr>
          <w:bCs/>
          <w:b/>
        </w:rPr>
        <w:t xml:space="preserve">Processo de pré-análise para a modelagem de distribuição de espécies</w:t>
      </w:r>
      <w:r>
        <w:t xml:space="preserve">. 2013. mathesis – Universidade de São Paulo, São Paulo, 2013.</w:t>
      </w:r>
    </w:p>
    <w:bookmarkEnd w:id="121"/>
    <w:bookmarkStart w:id="123" w:name="ref-r"/>
    <w:p>
      <w:pPr>
        <w:pStyle w:val="Bibliography"/>
      </w:pPr>
      <w:r>
        <w:t xml:space="preserve">R CORE TEAM.</w:t>
      </w:r>
      <w:r>
        <w:t xml:space="preserve"> </w:t>
      </w:r>
      <w:r>
        <w:rPr>
          <w:bCs/>
          <w:b/>
        </w:rPr>
        <w:t xml:space="preserve">R: A Language and Environment for Statistical Computing</w:t>
      </w:r>
      <w:r>
        <w:t xml:space="preserve">. Vienna, Austria: R Foundation for Statistical Computing, 2021. Disponível em: &lt;</w:t>
      </w:r>
      <w:hyperlink r:id="rId122">
        <w:r>
          <w:rPr>
            <w:rStyle w:val="Hyperlink"/>
          </w:rPr>
          <w:t xml:space="preserve">https://www.R-project.org/</w:t>
        </w:r>
      </w:hyperlink>
      <w:r>
        <w:t xml:space="preserve">&gt;.</w:t>
      </w:r>
    </w:p>
    <w:bookmarkEnd w:id="123"/>
    <w:bookmarkStart w:id="124" w:name="ref-rafferty2012"/>
    <w:p>
      <w:pPr>
        <w:pStyle w:val="Bibliography"/>
      </w:pPr>
      <w:r>
        <w:t xml:space="preserve">RAFFERTY, Nicole e CARADONNA, Paul e BRONSTEIN, Judith.</w:t>
      </w:r>
      <w:r>
        <w:t xml:space="preserve"> </w:t>
      </w:r>
      <w:r>
        <w:rPr>
          <w:bCs/>
          <w:b/>
        </w:rPr>
        <w:t xml:space="preserve">Phenological shifts and the fate of mutualisms</w:t>
      </w:r>
      <w:r>
        <w:t xml:space="preserve">. Oikos, v. 124, Set 2014.</w:t>
      </w:r>
    </w:p>
    <w:bookmarkEnd w:id="124"/>
    <w:bookmarkStart w:id="125" w:name="ref-sazima1978"/>
    <w:p>
      <w:pPr>
        <w:pStyle w:val="Bibliography"/>
      </w:pPr>
      <w:r>
        <w:t xml:space="preserve">SAZIMA, Ivan e VIZOTTO, Luiz e TADDEI, Antonio.</w:t>
      </w:r>
      <w:r>
        <w:t xml:space="preserve"> </w:t>
      </w:r>
      <w:r>
        <w:rPr>
          <w:bCs/>
          <w:b/>
        </w:rPr>
        <w:t xml:space="preserve">Uma nova espécie de Lonchophylla da Serra do Cipó, Minas Gerais, Brasil (Mammalia, Chiroptera, Phyllostomidae)</w:t>
      </w:r>
      <w:r>
        <w:t xml:space="preserve">. Revista Brasileira de Biologia, v. 38, p. 81–89, Jan 1978.</w:t>
      </w:r>
    </w:p>
    <w:bookmarkEnd w:id="125"/>
    <w:bookmarkStart w:id="126" w:name="ref-sazima1989"/>
    <w:p>
      <w:pPr>
        <w:pStyle w:val="Bibliography"/>
      </w:pPr>
      <w:r>
        <w:t xml:space="preserve">SAZIMA, Ivan e VOGEL, Stefan e SAZIMA, Marlies.</w:t>
      </w:r>
      <w:r>
        <w:t xml:space="preserve"> </w:t>
      </w:r>
      <w:r>
        <w:rPr>
          <w:bCs/>
          <w:b/>
        </w:rPr>
        <w:t xml:space="preserve">Bat pollination of Encholirium glaziovii, a terrestrial bromeliad</w:t>
      </w:r>
      <w:r>
        <w:t xml:space="preserve">. Plant Systematics and Evolution, v. 168, p. 167–179, Ago 1989.</w:t>
      </w:r>
    </w:p>
    <w:bookmarkEnd w:id="126"/>
    <w:bookmarkStart w:id="128" w:name="ref-schweiger2008"/>
    <w:p>
      <w:pPr>
        <w:pStyle w:val="Bibliography"/>
      </w:pPr>
      <w:r>
        <w:t xml:space="preserve">SCHWEIGER, Oliver e colab.</w:t>
      </w:r>
      <w:r>
        <w:t xml:space="preserve"> </w:t>
      </w:r>
      <w:r>
        <w:rPr>
          <w:bCs/>
          <w:b/>
        </w:rPr>
        <w:t xml:space="preserve">CLIMATE CHANGE CAN CAUSE SPATIAL MISMATCH OF TROPHICALLY INTERACTING SPECIES</w:t>
      </w:r>
      <w:r>
        <w:t xml:space="preserve">. Ecology, v. 89, n. 12, p. 3472–3479, 2008. Disponível em: &lt;</w:t>
      </w:r>
      <w:hyperlink r:id="rId127">
        <w:r>
          <w:rPr>
            <w:rStyle w:val="Hyperlink"/>
          </w:rPr>
          <w:t xml:space="preserve">https://esajournals.onlinelibrary.wiley.com/doi/abs/10.1890/07-1748.1</w:t>
        </w:r>
      </w:hyperlink>
      <w:r>
        <w:t xml:space="preserve">&gt;.</w:t>
      </w:r>
    </w:p>
    <w:bookmarkEnd w:id="128"/>
    <w:bookmarkStart w:id="130" w:name="ref-marinez2003"/>
    <w:p>
      <w:pPr>
        <w:pStyle w:val="Bibliography"/>
      </w:pPr>
      <w:r>
        <w:t xml:space="preserve">SIQUEIRA, Marinez Ferreira de e PETERSON, Andrew Townsend.</w:t>
      </w:r>
      <w:r>
        <w:t xml:space="preserve"> </w:t>
      </w:r>
      <w:r>
        <w:rPr>
          <w:bCs/>
          <w:b/>
        </w:rPr>
        <w:t xml:space="preserve">Consequences of global climate change for geographic distributions of cerrado tree species</w:t>
      </w:r>
      <w:r>
        <w:t xml:space="preserve">. Biota Neotropica, 2003. Disponível em: &lt;</w:t>
      </w:r>
      <w:hyperlink r:id="rId129">
        <w:r>
          <w:rPr>
            <w:rStyle w:val="Hyperlink"/>
          </w:rPr>
          <w:t xml:space="preserve">https://www.biodiversitylibrary.org/part/108087</w:t>
        </w:r>
      </w:hyperlink>
      <w:r>
        <w:t xml:space="preserve">&gt;.</w:t>
      </w:r>
    </w:p>
    <w:bookmarkEnd w:id="130"/>
    <w:bookmarkStart w:id="132" w:name="ref-staude2020"/>
    <w:p>
      <w:pPr>
        <w:pStyle w:val="Bibliography"/>
      </w:pPr>
      <w:r>
        <w:t xml:space="preserve">STAUDE, Ingmar R. e NAVARRO, Laetitia M. e PEREIRA, Henrique M.</w:t>
      </w:r>
      <w:r>
        <w:t xml:space="preserve"> </w:t>
      </w:r>
      <w:r>
        <w:rPr>
          <w:bCs/>
          <w:b/>
        </w:rPr>
        <w:t xml:space="preserve">Range size predicts the risk of local extinction from habitat loss</w:t>
      </w:r>
      <w:r>
        <w:t xml:space="preserve">. Global Ecology and Biogeography, v. 29, n. 1, p. 16–25, 2020. Disponível em: &lt;</w:t>
      </w:r>
      <w:hyperlink r:id="rId131">
        <w:r>
          <w:rPr>
            <w:rStyle w:val="Hyperlink"/>
          </w:rPr>
          <w:t xml:space="preserve">https://onlinelibrary.wiley.com/doi/abs/10.1111/geb.13003</w:t>
        </w:r>
      </w:hyperlink>
      <w:r>
        <w:t xml:space="preserve">&gt;.</w:t>
      </w:r>
    </w:p>
    <w:bookmarkEnd w:id="132"/>
    <w:bookmarkStart w:id="134" w:name="ref-iucn"/>
    <w:p>
      <w:pPr>
        <w:pStyle w:val="Bibliography"/>
      </w:pPr>
      <w:r>
        <w:rPr>
          <w:bCs/>
          <w:b/>
        </w:rPr>
        <w:t xml:space="preserve">The IUCN Red List of Threatened Species</w:t>
      </w:r>
      <w:r>
        <w:t xml:space="preserve">. Disponível em: &lt;</w:t>
      </w:r>
      <w:hyperlink r:id="rId133">
        <w:r>
          <w:rPr>
            <w:rStyle w:val="Hyperlink"/>
          </w:rPr>
          <w:t xml:space="preserve">https://www.iucnredlist.org</w:t>
        </w:r>
      </w:hyperlink>
      <w:r>
        <w:t xml:space="preserve">&gt;.</w:t>
      </w:r>
    </w:p>
    <w:bookmarkEnd w:id="134"/>
    <w:bookmarkStart w:id="135" w:name="ref-putten2012"/>
    <w:p>
      <w:pPr>
        <w:pStyle w:val="Bibliography"/>
      </w:pPr>
      <w:r>
        <w:t xml:space="preserve">VAN DER PUTTEN, Wim H.</w:t>
      </w:r>
      <w:r>
        <w:t xml:space="preserve"> </w:t>
      </w:r>
      <w:r>
        <w:rPr>
          <w:bCs/>
          <w:b/>
        </w:rPr>
        <w:t xml:space="preserve">Climate Change, Aboveground-Belowground Interactions, and Species’ Range Shifts</w:t>
      </w:r>
      <w:r>
        <w:t xml:space="preserve">. Annual Review of Ecology, Evolution, and Systematics, v. 43, n. 1, p. 365–383, 2012.</w:t>
      </w:r>
    </w:p>
    <w:bookmarkEnd w:id="135"/>
    <w:bookmarkStart w:id="136" w:name="ref-Vuuren2011"/>
    <w:p>
      <w:pPr>
        <w:pStyle w:val="Bibliography"/>
      </w:pPr>
      <w:r>
        <w:t xml:space="preserve">VUUREN, Detlef P. Van e colab.</w:t>
      </w:r>
      <w:r>
        <w:t xml:space="preserve"> </w:t>
      </w:r>
      <w:r>
        <w:rPr>
          <w:bCs/>
          <w:b/>
        </w:rPr>
        <w:t xml:space="preserve">The representative concentration pathways: an overview</w:t>
      </w:r>
      <w:r>
        <w:t xml:space="preserve">. Climatic Change, v. 109, 2011.</w:t>
      </w:r>
    </w:p>
    <w:bookmarkEnd w:id="136"/>
    <w:bookmarkStart w:id="137" w:name="ref-walther2002"/>
    <w:p>
      <w:pPr>
        <w:pStyle w:val="Bibliography"/>
      </w:pPr>
      <w:r>
        <w:t xml:space="preserve">WALTHER, Gian-Reto e colab.</w:t>
      </w:r>
      <w:r>
        <w:t xml:space="preserve"> </w:t>
      </w:r>
      <w:r>
        <w:rPr>
          <w:bCs/>
          <w:b/>
        </w:rPr>
        <w:t xml:space="preserve">Ecological Responses to Recent Climate Change</w:t>
      </w:r>
      <w:r>
        <w:t xml:space="preserve">. Nature, v. 416, p. 389–95, Abr 2002.</w:t>
      </w:r>
    </w:p>
    <w:bookmarkEnd w:id="137"/>
    <w:bookmarkStart w:id="138" w:name="ref-williams2009"/>
    <w:p>
      <w:pPr>
        <w:pStyle w:val="Bibliography"/>
      </w:pPr>
      <w:r>
        <w:t xml:space="preserve">WILLIAMS, Stephen e colab.</w:t>
      </w:r>
      <w:r>
        <w:t xml:space="preserve"> </w:t>
      </w:r>
      <w:r>
        <w:rPr>
          <w:bCs/>
          <w:b/>
        </w:rPr>
        <w:t xml:space="preserve">Towards an Integrated Framework for Assessing the Vulnerability of Species to Climate Change</w:t>
      </w:r>
      <w:r>
        <w:t xml:space="preserve">. PLoS biology, v. 6, p. 2621–6, Jan 2009.</w:t>
      </w:r>
    </w:p>
    <w:bookmarkEnd w:id="138"/>
    <w:bookmarkStart w:id="140" w:name="ref-hijmans2008"/>
    <w:p>
      <w:pPr>
        <w:pStyle w:val="Bibliography"/>
      </w:pPr>
      <w:r>
        <w:t xml:space="preserve">WISZ, M. S. e colab.</w:t>
      </w:r>
      <w:r>
        <w:t xml:space="preserve"> </w:t>
      </w:r>
      <w:r>
        <w:rPr>
          <w:bCs/>
          <w:b/>
        </w:rPr>
        <w:t xml:space="preserve">Effects of sample size on the performance of species distribution models</w:t>
      </w:r>
      <w:r>
        <w:t xml:space="preserve">. Diversity and Distributions, v. 14, n. 5, p. 763–773, 2008. Disponível em: &lt;</w:t>
      </w:r>
      <w:hyperlink r:id="rId139">
        <w:r>
          <w:rPr>
            <w:rStyle w:val="Hyperlink"/>
          </w:rPr>
          <w:t xml:space="preserve">https://onlinelibrary.wiley.com/doi/abs/10.1111/j.1472-4642.2008.00482.x</w:t>
        </w:r>
      </w:hyperlink>
      <w:r>
        <w:t xml:space="preserve">&gt;.</w:t>
      </w:r>
    </w:p>
    <w:bookmarkEnd w:id="140"/>
    <w:bookmarkStart w:id="142" w:name="ref-gutierrez2021"/>
    <w:p>
      <w:pPr>
        <w:pStyle w:val="Bibliography"/>
      </w:pPr>
      <w:r>
        <w:t xml:space="preserve">ZAMORA-GUTIERREZ, Veronica e colab.</w:t>
      </w:r>
      <w:r>
        <w:t xml:space="preserve"> </w:t>
      </w:r>
      <w:r>
        <w:rPr>
          <w:bCs/>
          <w:b/>
        </w:rPr>
        <w:t xml:space="preserve">Vulnerability of bat–plant pollination interactions due to environmental change</w:t>
      </w:r>
      <w:r>
        <w:t xml:space="preserve">. Global Change Biology, v. 27, n. 14, p. 3367–3382, 2021. Disponível em: &lt;</w:t>
      </w:r>
      <w:hyperlink r:id="rId141">
        <w:r>
          <w:rPr>
            <w:rStyle w:val="Hyperlink"/>
          </w:rPr>
          <w:t xml:space="preserve">https://onlinelibrary.wiley.com/doi/abs/10.1111/gcb.15611</w:t>
        </w:r>
      </w:hyperlink>
      <w:r>
        <w:t xml:space="preserve">&gt;.</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59" Target="media/rId59.jpg" /><Relationship Type="http://schemas.openxmlformats.org/officeDocument/2006/relationships/image" Id="rId55" Target="media/rId55.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27" Target="media/rId27.jp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hyperlink" Id="rId82" Target="http://www.jstor.org/stable/42871669" TargetMode="External" /><Relationship Type="http://schemas.openxmlformats.org/officeDocument/2006/relationships/hyperlink" Id="rId94" Target="http://www.obt.inpe.br/cerrado" TargetMode="External" /><Relationship Type="http://schemas.openxmlformats.org/officeDocument/2006/relationships/hyperlink" Id="rId88" Target="https://doi.org/10.1038/s41598-019-50059-6" TargetMode="External" /><Relationship Type="http://schemas.openxmlformats.org/officeDocument/2006/relationships/hyperlink" Id="rId76" Target="https://doi.org/10.1146/annurev.ecolsys.110308.120159" TargetMode="External" /><Relationship Type="http://schemas.openxmlformats.org/officeDocument/2006/relationships/hyperlink" Id="rId100" Target="https://doi.org/10.1146/annurev.ecolsys.29.1.83" TargetMode="External" /><Relationship Type="http://schemas.openxmlformats.org/officeDocument/2006/relationships/hyperlink" Id="rId63" Target="https://doi.org/10.3897/CompCytogen.v10i1.6646" TargetMode="External" /><Relationship Type="http://schemas.openxmlformats.org/officeDocument/2006/relationships/hyperlink" Id="rId127" Target="https://esajournals.onlinelibrary.wiley.com/doi/abs/10.1890/07-1748.1" TargetMode="External" /><Relationship Type="http://schemas.openxmlformats.org/officeDocument/2006/relationships/hyperlink" Id="rId38" Target="https://github.com/guilhermechicarolli/PDPD" TargetMode="External" /><Relationship Type="http://schemas.openxmlformats.org/officeDocument/2006/relationships/hyperlink" Id="rId97" Target="https://onlinelibrary.wiley.com/doi/abs/10.1046/j.1461-0248.2003.00403.x" TargetMode="External" /><Relationship Type="http://schemas.openxmlformats.org/officeDocument/2006/relationships/hyperlink" Id="rId141" Target="https://onlinelibrary.wiley.com/doi/abs/10.1111/gcb.15611" TargetMode="External" /><Relationship Type="http://schemas.openxmlformats.org/officeDocument/2006/relationships/hyperlink" Id="rId131" Target="https://onlinelibrary.wiley.com/doi/abs/10.1111/geb.13003" TargetMode="External" /><Relationship Type="http://schemas.openxmlformats.org/officeDocument/2006/relationships/hyperlink" Id="rId91" Target="https://onlinelibrary.wiley.com/doi/abs/10.1111/j.0906-7590.2006.04700.x" TargetMode="External" /><Relationship Type="http://schemas.openxmlformats.org/officeDocument/2006/relationships/hyperlink" Id="rId139" Target="https://onlinelibrary.wiley.com/doi/abs/10.1111/j.1472-4642.2008.00482.x" TargetMode="External" /><Relationship Type="http://schemas.openxmlformats.org/officeDocument/2006/relationships/hyperlink" Id="rId78" Target="https://rmets.onlinelibrary.wiley.com/doi/abs/10.1002/joc.5086" TargetMode="External" /><Relationship Type="http://schemas.openxmlformats.org/officeDocument/2006/relationships/hyperlink" Id="rId109" Target="https://sbeq.wordpress.com/2013/10/22/nova-especie-de-morcego-da-mata-atlantica-homenageia-o-dr-adriano-peracchi-e-revela-outra-especie-do-cerrado-que-pode-estar-criticamente-ameacada/" TargetMode="External" /><Relationship Type="http://schemas.openxmlformats.org/officeDocument/2006/relationships/hyperlink" Id="rId122" Target="https://www.R-project.org/" TargetMode="External" /><Relationship Type="http://schemas.openxmlformats.org/officeDocument/2006/relationships/hyperlink" Id="rId129" Target="https://www.biodiversitylibrary.org/part/108087" TargetMode="External" /><Relationship Type="http://schemas.openxmlformats.org/officeDocument/2006/relationships/hyperlink" Id="rId133" Target="https://www.iucnredlist.org" TargetMode="External" /><Relationship Type="http://schemas.openxmlformats.org/officeDocument/2006/relationships/hyperlink" Id="rId117" Target="https://www.science.org/doi/abs/10.1126/science.aai9214" TargetMode="External" /><Relationship Type="http://schemas.openxmlformats.org/officeDocument/2006/relationships/hyperlink" Id="rId86" Target="https://www.sciencedirect.com/science/article/pii/S0006320717318426" TargetMode="External" /><Relationship Type="http://schemas.openxmlformats.org/officeDocument/2006/relationships/hyperlink" Id="rId119" Target="https://www.sciencedirect.com/science/article/pii/S030438000500267X" TargetMode="External" /><Relationship Type="http://schemas.openxmlformats.org/officeDocument/2006/relationships/hyperlink" Id="rId72" Target="https://www.sciencedirect.com/science/article/pii/S1870345314707444" TargetMode="External" /></Relationships>
</file>

<file path=word/_rels/footnotes.xml.rels><?xml version="1.0" encoding="UTF-8"?>
<Relationships xmlns="http://schemas.openxmlformats.org/package/2006/relationships"><Relationship Type="http://schemas.openxmlformats.org/officeDocument/2006/relationships/hyperlink" Id="rId82" Target="http://www.jstor.org/stable/42871669" TargetMode="External" /><Relationship Type="http://schemas.openxmlformats.org/officeDocument/2006/relationships/hyperlink" Id="rId94" Target="http://www.obt.inpe.br/cerrado" TargetMode="External" /><Relationship Type="http://schemas.openxmlformats.org/officeDocument/2006/relationships/hyperlink" Id="rId88" Target="https://doi.org/10.1038/s41598-019-50059-6" TargetMode="External" /><Relationship Type="http://schemas.openxmlformats.org/officeDocument/2006/relationships/hyperlink" Id="rId76" Target="https://doi.org/10.1146/annurev.ecolsys.110308.120159" TargetMode="External" /><Relationship Type="http://schemas.openxmlformats.org/officeDocument/2006/relationships/hyperlink" Id="rId100" Target="https://doi.org/10.1146/annurev.ecolsys.29.1.83" TargetMode="External" /><Relationship Type="http://schemas.openxmlformats.org/officeDocument/2006/relationships/hyperlink" Id="rId63" Target="https://doi.org/10.3897/CompCytogen.v10i1.6646" TargetMode="External" /><Relationship Type="http://schemas.openxmlformats.org/officeDocument/2006/relationships/hyperlink" Id="rId127" Target="https://esajournals.onlinelibrary.wiley.com/doi/abs/10.1890/07-1748.1" TargetMode="External" /><Relationship Type="http://schemas.openxmlformats.org/officeDocument/2006/relationships/hyperlink" Id="rId38" Target="https://github.com/guilhermechicarolli/PDPD" TargetMode="External" /><Relationship Type="http://schemas.openxmlformats.org/officeDocument/2006/relationships/hyperlink" Id="rId97" Target="https://onlinelibrary.wiley.com/doi/abs/10.1046/j.1461-0248.2003.00403.x" TargetMode="External" /><Relationship Type="http://schemas.openxmlformats.org/officeDocument/2006/relationships/hyperlink" Id="rId141" Target="https://onlinelibrary.wiley.com/doi/abs/10.1111/gcb.15611" TargetMode="External" /><Relationship Type="http://schemas.openxmlformats.org/officeDocument/2006/relationships/hyperlink" Id="rId131" Target="https://onlinelibrary.wiley.com/doi/abs/10.1111/geb.13003" TargetMode="External" /><Relationship Type="http://schemas.openxmlformats.org/officeDocument/2006/relationships/hyperlink" Id="rId91" Target="https://onlinelibrary.wiley.com/doi/abs/10.1111/j.0906-7590.2006.04700.x" TargetMode="External" /><Relationship Type="http://schemas.openxmlformats.org/officeDocument/2006/relationships/hyperlink" Id="rId139" Target="https://onlinelibrary.wiley.com/doi/abs/10.1111/j.1472-4642.2008.00482.x" TargetMode="External" /><Relationship Type="http://schemas.openxmlformats.org/officeDocument/2006/relationships/hyperlink" Id="rId78" Target="https://rmets.onlinelibrary.wiley.com/doi/abs/10.1002/joc.5086" TargetMode="External" /><Relationship Type="http://schemas.openxmlformats.org/officeDocument/2006/relationships/hyperlink" Id="rId109" Target="https://sbeq.wordpress.com/2013/10/22/nova-especie-de-morcego-da-mata-atlantica-homenageia-o-dr-adriano-peracchi-e-revela-outra-especie-do-cerrado-que-pode-estar-criticamente-ameacada/" TargetMode="External" /><Relationship Type="http://schemas.openxmlformats.org/officeDocument/2006/relationships/hyperlink" Id="rId122" Target="https://www.R-project.org/" TargetMode="External" /><Relationship Type="http://schemas.openxmlformats.org/officeDocument/2006/relationships/hyperlink" Id="rId129" Target="https://www.biodiversitylibrary.org/part/108087" TargetMode="External" /><Relationship Type="http://schemas.openxmlformats.org/officeDocument/2006/relationships/hyperlink" Id="rId133" Target="https://www.iucnredlist.org" TargetMode="External" /><Relationship Type="http://schemas.openxmlformats.org/officeDocument/2006/relationships/hyperlink" Id="rId117" Target="https://www.science.org/doi/abs/10.1126/science.aai9214" TargetMode="External" /><Relationship Type="http://schemas.openxmlformats.org/officeDocument/2006/relationships/hyperlink" Id="rId86" Target="https://www.sciencedirect.com/science/article/pii/S0006320717318426" TargetMode="External" /><Relationship Type="http://schemas.openxmlformats.org/officeDocument/2006/relationships/hyperlink" Id="rId119" Target="https://www.sciencedirect.com/science/article/pii/S030438000500267X" TargetMode="External" /><Relationship Type="http://schemas.openxmlformats.org/officeDocument/2006/relationships/hyperlink" Id="rId72" Target="https://www.sciencedirect.com/science/article/pii/S18703453147074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UNIVERSIDADE FEDERAL DO ABC</dc:title>
  <dc:creator/>
  <cp:keywords/>
  <dcterms:created xsi:type="dcterms:W3CDTF">2021-09-14T16:59:20Z</dcterms:created>
  <dcterms:modified xsi:type="dcterms:W3CDTF">2021-09-14T16:59:20Z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referencias.bib</vt:lpwstr>
  </property>
  <property fmtid="{D5CDD505-2E9C-101B-9397-08002B2CF9AE}" pid="3" name="csl">
    <vt:lpwstr>associacao-brasileira-de-normas-tecnicas-eceme.csl</vt:lpwstr>
  </property>
  <property fmtid="{D5CDD505-2E9C-101B-9397-08002B2CF9AE}" pid="4" name="date">
    <vt:lpwstr>30 de Setembro de 2021</vt:lpwstr>
  </property>
  <property fmtid="{D5CDD505-2E9C-101B-9397-08002B2CF9AE}" pid="5" name="editor_options">
    <vt:lpwstr/>
  </property>
  <property fmtid="{D5CDD505-2E9C-101B-9397-08002B2CF9AE}" pid="6" name="fontsize">
    <vt:lpwstr>11pt</vt:lpwstr>
  </property>
  <property fmtid="{D5CDD505-2E9C-101B-9397-08002B2CF9AE}" pid="7" name="indent">
    <vt:lpwstr>yes</vt:lpwstr>
  </property>
  <property fmtid="{D5CDD505-2E9C-101B-9397-08002B2CF9AE}" pid="8" name="institute">
    <vt:lpwstr/>
  </property>
  <property fmtid="{D5CDD505-2E9C-101B-9397-08002B2CF9AE}" pid="9" name="intent">
    <vt:lpwstr>yes</vt:lpwstr>
  </property>
  <property fmtid="{D5CDD505-2E9C-101B-9397-08002B2CF9AE}" pid="10" name="linestretch">
    <vt:lpwstr>1.25</vt:lpwstr>
  </property>
  <property fmtid="{D5CDD505-2E9C-101B-9397-08002B2CF9AE}" pid="11" name="link-citations">
    <vt:lpwstr>yes</vt:lpwstr>
  </property>
  <property fmtid="{D5CDD505-2E9C-101B-9397-08002B2CF9AE}" pid="12" name="output">
    <vt:lpwstr/>
  </property>
  <property fmtid="{D5CDD505-2E9C-101B-9397-08002B2CF9AE}" pid="13" name="subtitle">
    <vt:lpwstr>Impactos das mudanças climáticas: Mismatches e alterações na distribuição de plantas e morcegos polinizadores</vt:lpwstr>
  </property>
  <property fmtid="{D5CDD505-2E9C-101B-9397-08002B2CF9AE}" pid="14" name="toc_title">
    <vt:lpwstr>Sumário</vt:lpwstr>
  </property>
</Properties>
</file>