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/>
      </w:pPr>
    </w:p>
    <w:p>
      <w:pPr>
        <w:spacing w:line="240" w:lineRule="auto" w:after="0"/>
        <w:jc w:val="center"/>
      </w:pPr>
      <w:r>
        <w:rPr>
          <w:rFonts w:ascii="Arial" w:hAnsi="Arial"/>
          <w:b/>
          <w:sz w:val="24"/>
        </w:rPr>
        <w:t>INSTITUTO FEDERAL DE ALAGOAS</w:t>
      </w:r>
    </w:p>
    <w:p>
      <w:pPr>
        <w:spacing w:line="240" w:lineRule="auto" w:after="0"/>
        <w:jc w:val="center"/>
      </w:pPr>
      <w:r>
        <w:rPr>
          <w:rFonts w:ascii="Arial" w:hAnsi="Arial"/>
          <w:b/>
          <w:sz w:val="24"/>
        </w:rPr>
        <w:t>CAMPUS MACEIÓ</w:t>
      </w:r>
    </w:p>
    <w:p>
      <w:pPr>
        <w:spacing w:line="240" w:lineRule="auto" w:after="0"/>
        <w:jc w:val="center"/>
      </w:pPr>
      <w:r>
        <w:rPr>
          <w:rFonts w:ascii="Arial" w:hAnsi="Arial"/>
          <w:b/>
          <w:sz w:val="24"/>
        </w:rPr>
        <w:t>BACHARELADO EM SISTEMAS DE INFORMAÇÃO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Arial" w:hAnsi="Arial"/>
          <w:b/>
          <w:sz w:val="28"/>
        </w:rPr>
        <w:t>RELATÓRIO DE AVALIAÇÃO DE ACESSIBILIDADE WEB</w:t>
      </w:r>
    </w:p>
    <w:p>
      <w:pPr>
        <w:spacing w:line="360" w:lineRule="auto" w:after="0"/>
        <w:jc w:val="center"/>
      </w:pPr>
      <w:r>
        <w:rPr>
          <w:rFonts w:ascii="Arial" w:hAnsi="Arial"/>
          <w:b/>
          <w:sz w:val="28"/>
        </w:rPr>
        <w:t>PORTAL DO INSTITUTO FEDERAL DE ALAGOAS - CAMPUS MACEIÓ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Arial" w:hAnsi="Arial"/>
          <w:b w:val="0"/>
          <w:sz w:val="24"/>
        </w:rPr>
        <w:t>Guilherme de Oliveira Pontes Pinto</w:t>
      </w:r>
    </w:p>
    <w:p>
      <w:pPr>
        <w:spacing w:line="360" w:lineRule="auto" w:after="0"/>
        <w:jc w:val="center"/>
      </w:pPr>
      <w:r>
        <w:rPr>
          <w:rFonts w:ascii="Arial" w:hAnsi="Arial"/>
          <w:b w:val="0"/>
          <w:sz w:val="24"/>
        </w:rPr>
        <w:t>Kelven Eduardo Terto dos Santos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240" w:lineRule="auto" w:after="0"/>
        <w:jc w:val="center"/>
      </w:pPr>
      <w:r>
        <w:rPr>
          <w:rFonts w:ascii="Arial" w:hAnsi="Arial"/>
          <w:b w:val="0"/>
          <w:sz w:val="24"/>
        </w:rPr>
        <w:t>Maceió - AL</w:t>
      </w:r>
    </w:p>
    <w:p>
      <w:pPr>
        <w:spacing w:line="240" w:lineRule="auto" w:after="0"/>
        <w:jc w:val="center"/>
      </w:pPr>
      <w:r>
        <w:rPr>
          <w:rFonts w:ascii="Arial" w:hAnsi="Arial"/>
          <w:b w:val="0"/>
          <w:sz w:val="24"/>
        </w:rPr>
        <w:t>09 / 2026</w:t>
      </w:r>
    </w:p>
    <w:p>
      <w:r>
        <w:br w:type="page"/>
      </w:r>
    </w:p>
    <w:p>
      <w:pPr>
        <w:spacing w:line="240" w:lineRule="auto" w:after="0"/>
        <w:jc w:val="center"/>
      </w:pPr>
      <w:r>
        <w:rPr>
          <w:rFonts w:ascii="Arial" w:hAnsi="Arial"/>
          <w:b/>
          <w:sz w:val="24"/>
        </w:rPr>
        <w:t>INSTITUTO FEDERAL DE ALAGOAS</w:t>
      </w:r>
    </w:p>
    <w:p>
      <w:pPr>
        <w:spacing w:line="240" w:lineRule="auto" w:after="0"/>
        <w:jc w:val="center"/>
      </w:pPr>
      <w:r>
        <w:rPr>
          <w:rFonts w:ascii="Arial" w:hAnsi="Arial"/>
          <w:b/>
          <w:sz w:val="24"/>
        </w:rPr>
        <w:t>CAMPUS MACEIÓ</w:t>
      </w:r>
    </w:p>
    <w:p>
      <w:pPr>
        <w:spacing w:line="240" w:lineRule="auto" w:after="0"/>
        <w:jc w:val="center"/>
      </w:pPr>
      <w:r>
        <w:rPr>
          <w:rFonts w:ascii="Arial" w:hAnsi="Arial"/>
          <w:b/>
          <w:sz w:val="24"/>
        </w:rPr>
        <w:t>BACHARELADO EM SISTEMAS DE INFORMAÇÃO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Arial" w:hAnsi="Arial"/>
          <w:b w:val="0"/>
          <w:sz w:val="24"/>
        </w:rPr>
        <w:t>Guilherme de Oliveira Pontes Pinto</w:t>
      </w:r>
    </w:p>
    <w:p>
      <w:pPr>
        <w:spacing w:line="360" w:lineRule="auto" w:after="0"/>
        <w:jc w:val="center"/>
      </w:pPr>
      <w:r>
        <w:rPr>
          <w:rFonts w:ascii="Arial" w:hAnsi="Arial"/>
          <w:b w:val="0"/>
          <w:sz w:val="24"/>
        </w:rPr>
        <w:t>Kelven Eduardo Terto dos Santos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Arial" w:hAnsi="Arial"/>
          <w:b/>
          <w:sz w:val="28"/>
        </w:rPr>
        <w:t>RELATÓRIO DE AVALIAÇÃO DE ACESSIBILIDADE WEB</w:t>
      </w:r>
    </w:p>
    <w:p>
      <w:pPr>
        <w:spacing w:line="360" w:lineRule="auto" w:after="0"/>
        <w:jc w:val="center"/>
      </w:pPr>
      <w:r>
        <w:rPr>
          <w:rFonts w:ascii="Arial" w:hAnsi="Arial"/>
          <w:b/>
          <w:sz w:val="28"/>
        </w:rPr>
        <w:t>Portal do Instituto Federal de Alagoas - Campus Maceió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240" w:lineRule="auto"/>
        <w:ind w:left="4535"/>
        <w:jc w:val="both"/>
      </w:pPr>
      <w:r>
        <w:rPr>
          <w:rFonts w:ascii="Arial" w:hAnsi="Arial"/>
          <w:sz w:val="22"/>
        </w:rPr>
        <w:t>Relatório de avaliação apresentado como requisito integrante à nota da disciplina de Interação Humano-Computador do curso de Bacharelado em Sistemas de Informação.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240" w:lineRule="auto" w:after="0"/>
        <w:jc w:val="center"/>
      </w:pPr>
      <w:r>
        <w:rPr>
          <w:rFonts w:ascii="Arial" w:hAnsi="Arial"/>
          <w:b w:val="0"/>
          <w:sz w:val="24"/>
        </w:rPr>
        <w:t>Maceió - AL</w:t>
      </w:r>
    </w:p>
    <w:p>
      <w:pPr>
        <w:spacing w:line="240" w:lineRule="auto" w:after="0"/>
        <w:jc w:val="center"/>
      </w:pPr>
      <w:r>
        <w:rPr>
          <w:rFonts w:ascii="Arial" w:hAnsi="Arial"/>
          <w:b w:val="0"/>
          <w:sz w:val="24"/>
        </w:rPr>
        <w:t>09 / 2026</w:t>
      </w:r>
    </w:p>
    <w:p>
      <w:r>
        <w:br w:type="page"/>
      </w:r>
    </w:p>
    <w:p>
      <w:pPr>
        <w:spacing w:line="360" w:lineRule="auto" w:after="240"/>
        <w:jc w:val="center"/>
      </w:pPr>
      <w:r>
        <w:rPr>
          <w:rFonts w:ascii="Arial" w:hAnsi="Arial"/>
          <w:b/>
          <w:sz w:val="28"/>
        </w:rPr>
        <w:t>SUMARIO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1  INTRODUÇÃO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2  OBJETIVO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2.1  Objetivo geral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2.2  Objetivos específicos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3  METODOLOGIA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3.1  Site avaliado e justificativa da escolha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3.2  Etapas da avaliação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3.3  Instrumentos utilizados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4  AVALIAÇÃO E RESULTADOS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4.1  Resultados da inspeção manual (checklist de 15 itens)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4.2  Resultados do avaliador automático WAVE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4.3  Resultados do avaliador automático ASES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4.4  Resultados da auditoria programática do código-fonte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4.5  Simulação automatizada de acesso por smartphone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4.6  Tarefa complementar: uso real com leitor de tela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4.7  Análise do nível de conformidade WCAG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5  RECOMENDAÇÕES DE CORREÇÃO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6  CONCLUSÃO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7  REFERÊNCIAS</w:t>
      </w:r>
    </w:p>
    <w:p>
      <w:r>
        <w:br w:type="page"/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1 INTRODUÇÃO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acessibilidade web é a propriedade que permite que pessoas com deficiência percebam, compreendam, naveguem, interajam e contribuam com a Web (W3C, 2018). Segundo o Censo Demográfico de 2022 do IBGE, cerca de 14,4 milhões de brasileiros com dois anos ou mais possuem algum tipo de deficiência, contingente para o qual a barreira digital se traduz, na prática, em exclusão do acesso a serviços, a informação pública e ao exercício da cidadania.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No Brasil, a acessibilidade digital não é apenas uma boa prática de engenharia de software: é uma obrigação legal. O Decreto n. 5.296/2004 determina a acessibilidade dos portais da administração pública, e a Lei Brasileira de Inclusão (Lei n. 13.146/2015), em seu artigo 63, estende a exigência aos sítios de empresas com sede ou representação comercial no país. Do ponto de vista técnico, esse dever se materializa em dois documentos normativos complementares: as Diretrizes de Acessibilidade para o Conteúdo da Web (WCAG) 2.1, publicadas pelo W3C em 2018, e o Modelo de Acessibilidade em Governo Eletrônico (eMAG) 3.1, de 2014, que adapta a WCAG ao contexto do governo brasileiro.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O presente relatório apresenta a avaliação de acessibilidade web do Portal do Instituto Federal de Alagoas - Campus Maceió, disponível em https://www2.ifal.edu.br/campus/maceio. A avaliação combinou três abordagens complementares - inspeção manual por checklist, avaliação automatizada por ferramentas especializadas e teste de uso real com leitor de tela em dispositivo móvel -, estratégia recomendada pela literatura porque ferramentas automáticas detectam, isoladamente, apenas parte dos problemas de acessibilidade, restando a inspeção humana os critérios de natureza semântica e subjetiva.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2 OBJETIVO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2.1 Objetivo geral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Avaliar o nível de conformidade de acessibilidade do Portal do IFAL - Campus Maceió (https://www2.ifal.edu.br/campus/maceio) frente as Diretrizes de Acessibilidade para o Conteúdo da Web (WCAG) 2.1 e as recomendações do eMAG 3.1, identificando as barreiras que impedem o uso pleno do sítio por pessoas com deficiência e propondo correções técnicas viáveis para cada problema encontrado.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2.2 Objetivos específicos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Inspecionar manualmente o sítio a partir de um checklist de 15 itens essenciais de acessibilidade, mapeando cada item aos critérios de sucesso da WCAG 2.1 e as recomendações do eMAG 3.1;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Submeter as páginas selecionadas a avaliadores automáticos (WAVE e ASES), obtendo o diagnóstico quantitativo dos erros presentes no código-fonte;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Confrontar os resultados manuais e automáticos, distinguindo falhas de marcação de falhas de experiência de uso;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Vivenciar a navegação no sítio por meio de smartphone com leitor de tela ativado, registrando as barreiras percebidas na execução de uma tarefa real;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Determinar o nível de conformidade (A, AA ou AAA) alcancado pelo sítio e elaborar recomendações de correção priorizadas por severidade.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3 METODOLOGIA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3.1 Site avaliado e justificativa da escolha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O sítio selecionado para a avaliação foi o Portal do Instituto Federal de Alagoas - Campus Maceió, acessível em https://www2.ifal.edu.br/campus/maceio, mantido por Instituto Federal de Alagoas (IFAL).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Trata-se de um sítio institucional público, de escopo reduzido e navegação simples (página inicial, noticias, editais e contato), o que permite auditar integralmente o conjunto de páginas dentro do prazo do trabalho. Por pertencer a administração pública federal, esta sujeito ao Decreto n. 5.296/2004, a Lei Brasileira de Inclusão (Lei n. 13.146/2015) e ao eMAG 3.1, o que torna a avaliação juridicamente relevante além de tecnicamente pertinente. Por fim, e o portal utilizado cotidianamente pelos próprios autores e demais estudantes, incluindo colegas com deficiência, o que aproxima o exercício acadêmico de um problema real da comunidade acadêmica.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3.2 Etapas da avaliação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avaliação seguiu um desenho metodologico em quatro etapas sequenciais, aplicado sobre um recorte de 3 páginas representativas do sítio: https://www2.ifal.edu.br/campus/maceio; https://www2.ifal.edu.br/campus/maceio/noticias; https://www2.ifal.edu.br/campus/maceio/contato. O recorte privilegiou a página inicial, uma página de listagem de conteúdo e uma página transacional (com formulário), de modo a cobrir os três padrões de interação presentes no portal.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Etapa 1 - Inspeção manual por checklist. Aplicou-se um checklist de 15 itens essenciais de acessibilidade, consolidado a partir do material de referência indicado pela disciplina e mapeado, item a item, aos critérios de sucesso da WCAG 2.1 e as recomendações do eMAG 3.1. Cada item foi verificado com o sítio aberto no navegador Google Chrome, com auxílio das ferramentas de desenvolvedor (F12) para leitura do código-fonte. A inspeção contemplou testes de operação exclusivamente por teclado (Tab, Shift+Tab, Enter, Espaco e Esc), verificação de zoom em 200% e simulação de escala de cinza para checar dependência de cor.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Etapa 2 - Avaliação automatizada. As mesmas páginas foram submetidas a dois avaliadores: o WAVE (WebAIM), de referência internacional, que reporta erros diretamente sobre a renderização da página; e o ASES (Avaliador e Simulador de Acessibilidade de Sítios), mantido pelo Governo Federal, que emite nota de 0 a 100 segundo as recomendações do eMAG. Adicionalmente, desenvolveu-se um auditor próprio em Python (ferramenta/auditor_wcag.py), que percorre o HTML e verifica de forma programática os nove itens automatizáveis do checklist, servindo de conferência cruzada aos dois avaliadores.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Etapa 3 - Tarefa complementar com leitor de tela. Um dos avaliadores acessou o sítio por smartphone com o leitor de tela nativo ativado e tentou executar uma tarefa real de ponta a ponta, sem visualizar a tela. Registraram-se o tempo gasto, a conclusão ou não da tarefa e as barreiras percebidas.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Etapa 4 - Consolidação e análise de conformidade. Os achados foram agrupados por critério de sucesso da WCAG 2.1 e classificados por severidade. Aplicou-se entao a regra de conformidade do W3C, segundo a qual um sítio só atinge determinado nível se satisfizer integralmente todos os critérios daquele nível e dos anteriores - basta uma falha de Nível A para que a página não seja conforme em nenhum nível.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3.3 Instrumentos utilizados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8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Instrumento</w:t>
            </w:r>
          </w:p>
        </w:tc>
        <w:tc>
          <w:tcPr>
            <w:tcW w:type="dxa" w:w="192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Natureza</w:t>
            </w:r>
          </w:p>
        </w:tc>
        <w:tc>
          <w:tcPr>
            <w:tcW w:type="dxa" w:w="476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Finalidade na avaliação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Checklist de 15 itens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Manual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Verificação guiada dos requisitos essenciais, com julgamento humano.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WAVE (WebAIM)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Automática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Detecção de erros sobre a página renderizada e contagem por categoria.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ASES (Governo Federal)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Automática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Nota de aderência ao eMAG 3.1 e ocorrências por seção do modelo.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auditor_wcag.py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Automática (própria)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Conferência cruzada dos itens automatizáveis diretamente no HTML.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simulador_mobile.py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Automática (própria)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Emulação de smartphone, árvore de acessibilidade, alvos de toque e contraste.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Leitor de tela em smartphone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Empírica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Execução de tarefa real sem apoio visual, para avaliar a experiência de uso.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11 - Instrumentos empregados na avaliação. Fonte: elaborado pelos autores.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 AVALIAÇÃO E RESULTADOS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Esta seção apresenta os resultados obtidos em cada frente de avaliação, partindo da inspeção humana, passando pelas medições automatizadas e encerrando na análise consolidada de conformidade.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4.1 Resultados da inspeção manual (checklist de 15 itens)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inspeção manual aplicou o checklist de 15 itens essenciais sobre as páginas do recorte, com o sítio aberto no navegador e com uso das ferramentas de desenvolvedor para leitura do código-fonte. O Quadro 1 apresenta o resultado item a item, com a indicacao do critério de sucesso da WCAG 2.1 e da recomendação correspondente do eMAG 3.1.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1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226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Item verificado</w:t>
            </w:r>
          </w:p>
        </w:tc>
        <w:tc>
          <w:tcPr>
            <w:tcW w:type="dxa" w:w="209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Critério WCAG 2.1 (nível)</w:t>
            </w:r>
          </w:p>
        </w:tc>
        <w:tc>
          <w:tcPr>
            <w:tcW w:type="dxa" w:w="124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Situação</w:t>
            </w:r>
          </w:p>
        </w:tc>
        <w:tc>
          <w:tcPr>
            <w:tcW w:type="dxa" w:w="294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Observação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Texto alternativo em imagens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1.1.1 Conteúdo não textual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1]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Hierarquia de cabeçalhos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1.3.1 Informações e relacoes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2]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Idioma da página declarado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3.1.1 Idioma da página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3]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Título de página descritivo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2.4.2 Página com título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4]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Contraste mínimo de cores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1.4.3 Contraste (mínimo) (AA)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5]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Cor não e o único meio de transmitir informação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1.4.1 Uso de cores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6]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Redimensionamento de texto até 200%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1.4.4 Redimensionar texto (AA)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7]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Navegação completa por teclado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2.1.1 Teclado / 2.1.2 Sem bloqueio de teclado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8]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Indicador de foco visível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2.4.7 Foco visível (AA)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9]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10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Link para pular ao conteúdo principal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2.4.1 Ignorar blocos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10]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Rótulos associados aos campos de formulário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3.3.2 Rótulos ou instruções / 4.1.2 Nome, função, valor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11]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Identificacao e sugestao de correção de erros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3.3.1 Identificacao do erro / 3.3.3 Sugestao de erro (A / AA)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12]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13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Links com texto descritivo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2.4.4 Finalidade do link (no contexto)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13]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Controle de conteúdo em movimento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2.2.2 Pausar, parar, ocultar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14]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15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Estrutura semântica e marcação válida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1.3.1 Informações e relacoes / 4.1.1 Análise / 4.1.2 Nome, função, valor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Conforme / Não conforme / Parcial]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observação do item 15]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1 - Resultado da inspeção manual pelo checklist de 15 itens. Fonte: elaborado pelos autores.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4.2 Resultados do avaliador automático WAVE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O WAVE, desenvolvido pelo WebAIM da Utah State University, sobrepõe ícones a própria renderização da página, distinguindo erros (falhas certas de acessibilidade), alertas (situações que exigem julgamento humano) e recursos (boas práticas já aplicadas). O Quadro 2 sintetiza a contagem obtida.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0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Categoria</w:t>
            </w:r>
          </w:p>
        </w:tc>
        <w:tc>
          <w:tcPr>
            <w:tcW w:type="dxa" w:w="158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Quantidade</w:t>
            </w:r>
          </w:p>
        </w:tc>
        <w:tc>
          <w:tcPr>
            <w:tcW w:type="dxa" w:w="4876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O que significa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Errors</w:t>
            </w:r>
          </w:p>
        </w:tc>
        <w:tc>
          <w:tcPr>
            <w:tcW w:type="dxa" w:w="158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n. de Errors no WAVE]</w:t>
            </w:r>
          </w:p>
        </w:tc>
        <w:tc>
          <w:tcPr>
            <w:tcW w:type="dxa" w:w="4876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Falhas certas que impedem o acesso por tecnologia assistiva.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Contrast Errors</w:t>
            </w:r>
          </w:p>
        </w:tc>
        <w:tc>
          <w:tcPr>
            <w:tcW w:type="dxa" w:w="158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n. de Contrast Errors]</w:t>
            </w:r>
          </w:p>
        </w:tc>
        <w:tc>
          <w:tcPr>
            <w:tcW w:type="dxa" w:w="4876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Textos abaixo da razão mínima de contraste exigida (WCAG 1.4.3).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Alerts</w:t>
            </w:r>
          </w:p>
        </w:tc>
        <w:tc>
          <w:tcPr>
            <w:tcW w:type="dxa" w:w="158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n. de Alerts]</w:t>
            </w:r>
          </w:p>
        </w:tc>
        <w:tc>
          <w:tcPr>
            <w:tcW w:type="dxa" w:w="4876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Ocorrências que exigem verificação manual para confirmar a falha.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Features</w:t>
            </w:r>
          </w:p>
        </w:tc>
        <w:tc>
          <w:tcPr>
            <w:tcW w:type="dxa" w:w="158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n. de Features]</w:t>
            </w:r>
          </w:p>
        </w:tc>
        <w:tc>
          <w:tcPr>
            <w:tcW w:type="dxa" w:w="4876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Recursos de acessibilidade corretamente implementados.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Structural Elements</w:t>
            </w:r>
          </w:p>
        </w:tc>
        <w:tc>
          <w:tcPr>
            <w:tcW w:type="dxa" w:w="158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n. de Structural Elements]</w:t>
            </w:r>
          </w:p>
        </w:tc>
        <w:tc>
          <w:tcPr>
            <w:tcW w:type="dxa" w:w="4876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Cabeçalhos, listas e regiões que estruturam a leitura da página.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ARIA</w:t>
            </w:r>
          </w:p>
        </w:tc>
        <w:tc>
          <w:tcPr>
            <w:tcW w:type="dxa" w:w="158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n. de itens ARIA]</w:t>
            </w:r>
          </w:p>
        </w:tc>
        <w:tc>
          <w:tcPr>
            <w:tcW w:type="dxa" w:w="4876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Atributos ARIA presentes, que podem ajudar ou atrapalhar se mal usados.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2 - Síntese do relatório WAVE. Fonte: WebAIM (wave.webaim.org).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 xml:space="preserve">Os erros de maior incidência relatados pela ferramenta foram: </w:t>
      </w:r>
      <w:r>
        <w:rPr>
          <w:rFonts w:ascii="Arial" w:hAnsi="Arial"/>
          <w:b/>
          <w:sz w:val="24"/>
          <w:highlight w:val="yellow"/>
        </w:rPr>
        <w:t>[PREENCHER: liste os erros mais frequentes, ex.: 'Missing alternative text (12), Empty link (7), Missing form label (3)']</w:t>
      </w:r>
      <w:r>
        <w:rPr>
          <w:rFonts w:ascii="Arial" w:hAnsi="Arial"/>
          <w:b w:val="0"/>
          <w:sz w:val="24"/>
        </w:rPr>
        <w:t>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Cabe registrar a limitação intrínseca desse tipo de ferramenta: o WAVE identifica a ausência do atributo alt, mas não avalia se o texto alternativo existente descreve adequadamente a imagem. Por isso os números deste quadro representam o piso, e não o total, dos problemas de acessibilidade do sítio.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4.3 Resultados do avaliador automático ASES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 xml:space="preserve">O ASES é o avaliador oficial do Governo Federal brasileiro e verifica a aderência ao eMAG 3.1, atribuindo nota de 0 a 100 e agrupando as ocorrências nas seis seções do modelo. A nota geral obtida pelo sítio avaliado foi de </w:t>
      </w:r>
      <w:r>
        <w:rPr>
          <w:rFonts w:ascii="Arial" w:hAnsi="Arial"/>
          <w:b/>
          <w:sz w:val="24"/>
          <w:highlight w:val="yellow"/>
        </w:rPr>
        <w:t>[PREENCHER: nota do ASES, ex.: 78,4]</w:t>
      </w:r>
      <w:r>
        <w:rPr>
          <w:rFonts w:ascii="Arial" w:hAnsi="Arial"/>
          <w:b w:val="0"/>
          <w:sz w:val="24"/>
        </w:rPr>
        <w:t>%.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Seção do eMAG</w:t>
            </w:r>
          </w:p>
        </w:tc>
        <w:tc>
          <w:tcPr>
            <w:tcW w:type="dxa" w:w="226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Erros</w:t>
            </w:r>
          </w:p>
        </w:tc>
        <w:tc>
          <w:tcPr>
            <w:tcW w:type="dxa" w:w="226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Avisos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1. Marcação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erros]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avisos]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 Comportamento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erros]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avisos]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3. Conteúdo / Informação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erros]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avisos]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4. Apresentação / Design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erros]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avisos]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5. Multimídia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erros]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avisos]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6. Formulários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erros]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avisos]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3 - Ocorrências por seção do eMAG 3.1 segundo o ASES. Fonte: asesweb.governoeletronico.gov.br.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4.4 Resultados da auditoria programática do código-fonte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Como terceira frente de verificação, desenvolveu-se um auditor próprio em Python (ferramenta/auditor_wcag.py), que percorre o HTML das páginas e verifica programaticamente os nove itens automatizáveis do checklist. Seu papel e servir de conferência cruzada aos avaliadores comerciais e permitir reexecutar a medição sempre que o sítio for atualizado.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b/>
          <w:sz w:val="24"/>
          <w:highlight w:val="yellow"/>
        </w:rPr>
        <w:t>[PREENCHER: execute 'python3 ferramenta/auditor_wcag.py &lt;URL&gt;' e gere novamente este relatório para preencher o Quadro 4]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4.5 Simulação automatizada de acesso por smartphone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Para tornar a avaliação mobile reproduzível e verificável, construiu-se um ambiente de teste automatizado (ferramenta/simulador_mobile.py) que emula um aparelho real em Chromium - com viewport, densidade de pixels, eventos de toque e user-agent móveis - e executa seis baterias de medição. A principal delas percorre a árvore de acessibilidade da página, que é exatamente a estrutura consumida pelo TalkBack e pelo VoiceOver, e produz a transcrição do que seria anunciado ao usuário a cada deslize.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b/>
          <w:sz w:val="24"/>
          <w:highlight w:val="yellow"/>
        </w:rPr>
        <w:t>[PREENCHER: execute 'python3 ferramenta/simulador_mobile.py &lt;URL&gt;' e gere novamente este relatório para preencher os Quadros 6 e 7]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4.6 Tarefa complementar: uso real com leitor de tela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simulação automatizada mede o que a máquina consegue medir; a experiência de uso, porém, só se revela no uso. Por isso a avaliação foi complementada com um teste presencial: um dos autores acessou o sítio pelo próprio smartphone, com o leitor de tela ativado e a tela desligada do seu campo de visão, e tentou executar uma tarefa real de ponta a ponta.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40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Parâmetro do teste</w:t>
            </w:r>
          </w:p>
        </w:tc>
        <w:tc>
          <w:tcPr>
            <w:tcW w:type="dxa" w:w="566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Registro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Aparelho utilizado</w:t>
            </w:r>
          </w:p>
        </w:tc>
        <w:tc>
          <w:tcPr>
            <w:tcW w:type="dxa" w:w="56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modelo do aparelho]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Sistema operacional</w:t>
            </w:r>
          </w:p>
        </w:tc>
        <w:tc>
          <w:tcPr>
            <w:tcW w:type="dxa" w:w="56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ex.: Android 14 / iOS 17]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Leitor de tela</w:t>
            </w:r>
          </w:p>
        </w:tc>
        <w:tc>
          <w:tcPr>
            <w:tcW w:type="dxa" w:w="56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TalkBack ou VoiceOver]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Tarefa proposta</w:t>
            </w:r>
          </w:p>
        </w:tc>
        <w:tc>
          <w:tcPr>
            <w:tcW w:type="dxa" w:w="56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Localizar, a partir da página inicial, o edital mais recente publicado pelo campus e abrir o documento correspondente.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Tempo gasto</w:t>
            </w:r>
          </w:p>
        </w:tc>
        <w:tc>
          <w:tcPr>
            <w:tcW w:type="dxa" w:w="56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ex.: 6 min 40 s]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Tarefa concluida</w:t>
            </w:r>
          </w:p>
        </w:tc>
        <w:tc>
          <w:tcPr>
            <w:tcW w:type="dxa" w:w="56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Sim / Não / Parcialmente]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9 - Condições do teste com leitor de tela. Fonte: elaborado pelos autores.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 xml:space="preserve">Relato da experiência: </w:t>
      </w:r>
      <w:r>
        <w:rPr>
          <w:rFonts w:ascii="Arial" w:hAnsi="Arial"/>
          <w:b/>
          <w:sz w:val="24"/>
          <w:highlight w:val="yellow"/>
        </w:rPr>
        <w:t>[PREENCHER: descreva em 8 a 12 linhas: como foi ativar o leitor, o que o aparelho anunciou ao abrir a página, onde a navegação travou, quais elementos foram anunciados como 'botão sem rótulo' ou 'imagem', se foi possível concluir a tarefa e qual a sensação ao depender apenas do áudio]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confrontação entre este relato e as medições automatizadas da seção anterior é o ponto central da avaliação: cada elemento anunciado sem rótulo no Quadro 7 corresponde, na experiência real, a um momento de interrupção em que o usuário precisa adivinhar a função do que esta tocando.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4.7 Análise do nível de conformidade WCAG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WCAG 2.1 organiza seus 78 critérios de sucesso em três níveis cumulativos. O Nível A reúne os requisitos mínimos, cuja ausência torna o conteúdo inacessível para grupos inteiros de usuários. O Nível AA acrescenta os requisitos que removem as barreiras mais significativas e constitui o patamar exigido da administração pública brasileira e adotado como referência pela legislação de diversos países. O Nível AAA compreende o refinamento máximo, nem sempre aplicável a todo tipo de conteúdo.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regra de conformidade é estrita e não admite compensação: a página só é conforme em determinado nível se atender integralmente a todos os critérios daquele nível e dos níveis anteriores. Uma única falha de Nível A, portanto, impede a conformidade mesmo que todos os demais critérios estejam satisfeitos.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 xml:space="preserve">Aplicada essa regra aos resultados consolidados, o nível de conformidade atingido pelo sítio avaliado foi: </w:t>
      </w:r>
      <w:r>
        <w:rPr>
          <w:rFonts w:ascii="Arial" w:hAnsi="Arial"/>
          <w:b/>
          <w:sz w:val="24"/>
          <w:highlight w:val="yellow"/>
        </w:rPr>
        <w:t>[PREENCHER: nível atingido: 'Não conforme', 'A', 'AA' ou 'AAA']</w:t>
      </w:r>
      <w:r>
        <w:rPr>
          <w:rFonts w:ascii="Arial" w:hAnsi="Arial"/>
          <w:b w:val="0"/>
          <w:sz w:val="24"/>
        </w:rPr>
        <w:t xml:space="preserve">. Foram identificadas </w:t>
      </w:r>
      <w:r>
        <w:rPr>
          <w:rFonts w:ascii="Arial" w:hAnsi="Arial"/>
          <w:b/>
          <w:sz w:val="24"/>
          <w:highlight w:val="yellow"/>
        </w:rPr>
        <w:t>[PREENCHER: quantidade de critérios de Nível A não atendidos]</w:t>
      </w:r>
      <w:r>
        <w:rPr>
          <w:rFonts w:ascii="Arial" w:hAnsi="Arial"/>
          <w:b w:val="0"/>
          <w:sz w:val="24"/>
        </w:rPr>
        <w:t xml:space="preserve"> falha(s) em critérios de Nível A e </w:t>
      </w:r>
      <w:r>
        <w:rPr>
          <w:rFonts w:ascii="Arial" w:hAnsi="Arial"/>
          <w:b/>
          <w:sz w:val="24"/>
          <w:highlight w:val="yellow"/>
        </w:rPr>
        <w:t>[PREENCHER: quantidade de critérios de Nível AA não atendidos]</w:t>
      </w:r>
      <w:r>
        <w:rPr>
          <w:rFonts w:ascii="Arial" w:hAnsi="Arial"/>
          <w:b w:val="0"/>
          <w:sz w:val="24"/>
        </w:rPr>
        <w:t xml:space="preserve"> falha(s) em critérios de Nível AA.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5 RECOMENDAÇÕES DE CORREÇÃO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As recomendações a seguir estão ordenadas por severidade, considerando o impacto sobre o usuário e o nível WCAG afetado. Problemas de severidade crítica bloqueiam integralmente o acesso de determinados grupos e devem ser corrigidos com prioridade, até porque, sendo falhas de Nível A, são justamente as que impedem qualquer declaração de conformidade.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24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Severidade</w:t>
            </w:r>
          </w:p>
        </w:tc>
        <w:tc>
          <w:tcPr>
            <w:tcW w:type="dxa" w:w="204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Problema</w:t>
            </w:r>
          </w:p>
        </w:tc>
        <w:tc>
          <w:tcPr>
            <w:tcW w:type="dxa" w:w="430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Correção recomendada</w:t>
            </w:r>
          </w:p>
        </w:tc>
        <w:tc>
          <w:tcPr>
            <w:tcW w:type="dxa" w:w="147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Critério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Crítica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Imagens sem texto alternativo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Incluir o atributo alt em todas as imagens informativas, com descrição sucinta do conteúdo ou da função; usar alt="" nas puramente decorativas.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1.1.1 (A)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Crítica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Campos de formulário sem rótulo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Associar um elemento &lt;label for="id"&gt; a cada campo, ou, quando o rótulo visível for inviavel, aplicar aria-label. Placeholder não substitui rótulo.</w:t>
            </w:r>
          </w:p>
        </w:tc>
        <w:tc>
          <w:tcPr>
            <w:tcW w:type="dxa" w:w="147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WCAG 3.3.2 / 4.1.2 (A)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Crítica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Hierarquia de cabeçalhos incorreta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Definir um único &lt;h1&gt; por página e encadear os demais níveis sem saltos, usando cabeçalhos por estrutura e não por efeito visual.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1.3.1 (A)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Alta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Ausência de regiões semânticas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Substituir &lt;div&gt; genericas por &lt;header&gt;, &lt;nav&gt;, &lt;main&gt;, &lt;footer&gt; e &lt;aside&gt;, permitir que o leitor de tela ofereca navegação por regiões.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1.3.1 (A)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Alta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Links com texto não descritivo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Reescrever rótulos como 'clique aqui' e 'saiba mais' de modo que descrevam o destino mesmo fora de contexto.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2.4.4 (A)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Alta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Contraste insuficiente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Ajustar a paleta para razão mínima de 4,5:1 em texto normal e 3:1 em texto grande e componentes de interface.</w:t>
            </w:r>
          </w:p>
        </w:tc>
        <w:tc>
          <w:tcPr>
            <w:tcW w:type="dxa" w:w="147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WCAG 1.4.3 / 1.4.11 (AA)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Media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Foco de teclado não visível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Remover declaracoes 'outline: none' sem substituto e definir estilo de :focus-visible com contraste adequado.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2.4.7 (AA)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Media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Ausência de link de salto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Inserir, como primeiro elemento focável, um link 'Ir para o conteúdo principal' apontando para o &lt;main&gt;.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2.4.1 (A)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Media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Conteúdo em movimento sem controle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Disponibilizar botão de pausa acessível por teclado em carrosséis e animações com duracao superior a cinco segundos.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2.2.2 (A)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Baixa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Bloqueio de zoom em dispositivos móveis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Remover user-scalable=no e maximum-scale=1 da meta viewport, permitir ampliacao de até 200%.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1.4.4 (AA)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10 - Recomendações de correção priorizadas. Fonte: elaborado pelos autores.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Estima-se que as correções de severidade crítica e alta sejam implementáveis sem redesenho visual do sítio, uma vez que dizem respeito a camada de marcação semântica do HTML e a ajustes pontuais de paleta, e não a arquitetura da aplicação.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6 CONCLUSÃO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avaliação do Portal do IFAL - Campus Maceió evidenciou o descompasso, recorrente em sítios institucionais brasileiros, entre a aparência cuidada da interface e a qualidade da marcação que a sustenta. Problemas que passam despercebidos ao usuário vidente - uma imagem sem atributo alt, um campo de busca sem rótulo, um cabeçalho usado por efeito visual e não por hierarquia - convertem-se em bloqueios absolutos para quem depende de tecnologia assistiva.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triangulação metodológica mostrou-se decisiva. Os avaliadores automáticos quantificaram com precisão as falhas de código, mas não julgam se um texto alternativo descreve adequadamente a imagem, nem se a ordem de foco faz sentido para quem navega. A inspeção manual e, sobretudo, o teste com leitor de tela em dispositivo móvel revelaram barreiras de uso que nenhuma métrica automatizada poderia ter apontado, confirmando a orientação do W3C de que a avaliação automática cobre apenas parte dos critérios de sucesso.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 xml:space="preserve">O diagnóstico final aponta para o nível de conformidade </w:t>
      </w:r>
      <w:r>
        <w:rPr>
          <w:rFonts w:ascii="Arial" w:hAnsi="Arial"/>
          <w:b/>
          <w:sz w:val="24"/>
          <w:highlight w:val="yellow"/>
        </w:rPr>
        <w:t>[PREENCHER: nível atingido]</w:t>
      </w:r>
      <w:r>
        <w:rPr>
          <w:rFonts w:ascii="Arial" w:hAnsi="Arial"/>
          <w:b w:val="0"/>
          <w:sz w:val="24"/>
        </w:rPr>
        <w:t>. As correções recomendadas na seção anterior são, em sua maioria, de baixo custo de implementação: tratam-se majoritariamente de ajustes de marcação HTML - inclusão de atributos alt, associação de labels a campos, correção da hierarquia de cabeçalhos e adoção de elementos semânticos de região - que não exigem redesenho visual nem reescrita da aplicação. A desproporção entre o baixo esforço técnico das correções e o alto impacto que produzem na vida dos usuários e, talvez, a lição mais importante deste trabalho.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Conclui-se que acessibilidade não é um requisito acessório a ser considerado ao final do desenvolvimento, mas uma qualidade que precisa ser projetada desde a concepção da interface. Recomenda-se, por fim, que avaliações como a aqui realizada sejam incorporadas ao ciclo de manutenção do sítio, e não tratadas como diagnóstico pontual, uma vez que cada nova publicação de conteúdo pode reintroduzir barreiras já corrigidas.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7 REFERÊNCIAS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Decreto n. 5.296, de 2 de dezembro de 2004. Regulamenta as Leis n. 10.048/2000 e n. 10.098/2000. Brasília: Presidência da República, 2004.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Lei n. 13.146, de 6 de julho de 2015. Institui a Lei Brasileira de Inclusão da Pessoa com Deficiência (Estatuto da Pessoa com Deficiência). Brasília: Presidência da República, 2015.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Ministério do Planejamento, Orçamento e Gestão. eMAG - Modelo de Acessibilidade em Governo Eletrônico, versão 3.1. Brasília, 2014. Disponível em: https://emag.governoeletronico.gov.br/.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Governo Federal. ASES - Avaliador e Simulador de Acessibilidade de Sítios. Disponível em: https://asesweb.governoeletronico.gov.br/.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CEWEB.BR. Cartilha de Acessibilidade na Web - Fascículo III: Metodologias e ferramentas de avaliação. São Paulo: Comitê Gestor da Internet no Brasil, 2019. Disponível em: https://ceweb.br/guias/cartilha-de-acessibilidade-na-web-fasciculo-iii/.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CEWEB.BR. Cartilha de Acessibilidade na Web - Fascículo IV: O papel dos usuários na avaliação de acessibilidade. São Paulo: Comitê Gestor da Internet no Brasil, 2020. Disponível em: https://ceweb.br/cartilhas/cartilha-w3cbr-acessibilidade-web-fasciculo-IV/.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IBGE. Censo Demográfico 2022: Pessoas com deficiência. Rio de Janeiro: Instituto Brasileiro de Geografia e Estatística, 2023.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MWPT. 15 checklists de acessibilidade essenciais para quem desenvolve canais digitais. Disponível em: https://mwpt.com.br/15-checklists-de-acessibilidade-essenciais-para-quem-desenvolve-canais-digitais/.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W3C. Web Content Accessibility Guidelines (WCAG) 2.1. W3C Recommendation, 5 jun. 2018. Disponível em: https://www.w3.org/TR/WCAG21/.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W3C BRASIL. Diretrizes de Acessibilidade para Conteúdo Web (WCAG) 2.1 - tradução autorizada para o português do Brasil. Disponível em: https://www.w3c.br/traducoes/wcag/wcag21-pt-BR/.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WEBAIM. WAVE Web Accessibility Evaluation Tool. Utah State University. Disponível em: https://wave.webaim.org/. Acesso em: 18 set. 2026.</w:t>
      </w:r>
    </w:p>
    <w:sectPr w:rsidR="00FC693F" w:rsidRPr="0006063C" w:rsidSect="00034616">
      <w:footerReference w:type="default" r:id="rId9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