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/>
        <w:jc w:val="center"/>
      </w:pPr>
      <w:r>
        <w:drawing>
          <wp:inline xmlns:a="http://schemas.openxmlformats.org/drawingml/2006/main" xmlns:pic="http://schemas.openxmlformats.org/drawingml/2006/picture">
            <wp:extent cx="774000" cy="99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if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4000" cy="9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0" w:before="0"/>
        <w:jc w:val="center"/>
      </w:pPr>
      <w:r>
        <w:rPr>
          <w:rFonts w:ascii="Arial" w:hAnsi="Arial"/>
          <w:b/>
          <w:sz w:val="24"/>
        </w:rPr>
        <w:t>INSTITUTO FEDERAL DE ALAGOAS</w:t>
      </w:r>
    </w:p>
    <w:p>
      <w:pPr>
        <w:spacing w:line="240" w:lineRule="auto" w:after="0" w:before="0"/>
        <w:jc w:val="center"/>
      </w:pPr>
      <w:r>
        <w:rPr>
          <w:rFonts w:ascii="Arial" w:hAnsi="Arial"/>
          <w:b/>
          <w:sz w:val="24"/>
        </w:rPr>
        <w:t>CAMPUS MACEIÓ</w:t>
      </w:r>
    </w:p>
    <w:p>
      <w:pPr>
        <w:spacing w:line="240" w:lineRule="auto" w:after="0" w:before="0"/>
        <w:jc w:val="center"/>
      </w:pPr>
      <w:r>
        <w:rPr>
          <w:rFonts w:ascii="Arial" w:hAnsi="Arial"/>
          <w:b/>
          <w:sz w:val="24"/>
        </w:rPr>
        <w:t>BACHARELADO EM SISTEMAS DE INFORMAÇÃO</w:t>
      </w: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  <w:jc w:val="center"/>
      </w:pPr>
      <w:r>
        <w:rPr>
          <w:rFonts w:ascii="Arial" w:hAnsi="Arial"/>
          <w:b/>
          <w:sz w:val="26"/>
        </w:rPr>
        <w:t>RELATÓRIO DE AVALIAÇÃO DE ACESSIBILIDADE WEB</w:t>
      </w:r>
    </w:p>
    <w:p>
      <w:pPr>
        <w:spacing w:line="360" w:lineRule="auto" w:after="0" w:before="0"/>
        <w:jc w:val="center"/>
      </w:pPr>
      <w:r>
        <w:rPr>
          <w:rFonts w:ascii="Arial" w:hAnsi="Arial"/>
          <w:b/>
          <w:sz w:val="26"/>
        </w:rPr>
        <w:t>PORTAL DO INSTITUTO FEDERAL DE ALAGOAS - CAMPUS MACEIÓ</w:t>
      </w: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  <w:jc w:val="center"/>
      </w:pPr>
      <w:r>
        <w:rPr>
          <w:rFonts w:ascii="Arial" w:hAnsi="Arial"/>
          <w:b w:val="0"/>
          <w:sz w:val="24"/>
        </w:rPr>
        <w:t>Guilherme de Oliveira Pontes Pinto</w:t>
      </w:r>
    </w:p>
    <w:p>
      <w:pPr>
        <w:spacing w:line="360" w:lineRule="auto" w:after="0" w:before="0"/>
        <w:jc w:val="center"/>
      </w:pPr>
      <w:r>
        <w:rPr>
          <w:rFonts w:ascii="Arial" w:hAnsi="Arial"/>
          <w:b w:val="0"/>
          <w:sz w:val="24"/>
        </w:rPr>
        <w:t>Kelven Eduardo Terto dos Santos</w:t>
      </w: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240" w:lineRule="auto" w:after="0" w:before="0"/>
        <w:jc w:val="center"/>
      </w:pPr>
      <w:r>
        <w:rPr>
          <w:rFonts w:ascii="Arial" w:hAnsi="Arial"/>
          <w:b w:val="0"/>
          <w:sz w:val="24"/>
        </w:rPr>
        <w:t>Maceió - AL</w:t>
      </w:r>
    </w:p>
    <w:p>
      <w:pPr>
        <w:spacing w:line="240" w:lineRule="auto" w:after="0" w:before="0"/>
        <w:jc w:val="center"/>
      </w:pPr>
      <w:r>
        <w:rPr>
          <w:rFonts w:ascii="Arial" w:hAnsi="Arial"/>
          <w:b w:val="0"/>
          <w:sz w:val="24"/>
        </w:rPr>
        <w:t>09 / 2026</w:t>
      </w:r>
    </w:p>
    <w:p>
      <w:r>
        <w:br w:type="page"/>
      </w:r>
    </w:p>
    <w:p>
      <w:pPr>
        <w:spacing w:line="240" w:lineRule="auto" w:after="0"/>
        <w:jc w:val="center"/>
      </w:pPr>
      <w:r>
        <w:drawing>
          <wp:inline xmlns:a="http://schemas.openxmlformats.org/drawingml/2006/main" xmlns:pic="http://schemas.openxmlformats.org/drawingml/2006/picture">
            <wp:extent cx="774000" cy="99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if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4000" cy="9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0" w:before="0"/>
        <w:jc w:val="center"/>
      </w:pPr>
      <w:r>
        <w:rPr>
          <w:rFonts w:ascii="Arial" w:hAnsi="Arial"/>
          <w:b/>
          <w:sz w:val="24"/>
        </w:rPr>
        <w:t>INSTITUTO FEDERAL DE ALAGOAS</w:t>
      </w:r>
    </w:p>
    <w:p>
      <w:pPr>
        <w:spacing w:line="240" w:lineRule="auto" w:after="0" w:before="0"/>
        <w:jc w:val="center"/>
      </w:pPr>
      <w:r>
        <w:rPr>
          <w:rFonts w:ascii="Arial" w:hAnsi="Arial"/>
          <w:b/>
          <w:sz w:val="24"/>
        </w:rPr>
        <w:t>CAMPUS MACEIÓ</w:t>
      </w:r>
    </w:p>
    <w:p>
      <w:pPr>
        <w:spacing w:line="240" w:lineRule="auto" w:after="0" w:before="0"/>
        <w:jc w:val="center"/>
      </w:pPr>
      <w:r>
        <w:rPr>
          <w:rFonts w:ascii="Arial" w:hAnsi="Arial"/>
          <w:b/>
          <w:sz w:val="24"/>
        </w:rPr>
        <w:t>BACHARELADO EM SISTEMAS DE INFORMAÇÃO</w:t>
      </w: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  <w:jc w:val="center"/>
      </w:pPr>
      <w:r>
        <w:rPr>
          <w:rFonts w:ascii="Arial" w:hAnsi="Arial"/>
          <w:b w:val="0"/>
          <w:sz w:val="24"/>
        </w:rPr>
        <w:t>Guilherme de Oliveira Pontes Pinto</w:t>
      </w:r>
    </w:p>
    <w:p>
      <w:pPr>
        <w:spacing w:line="360" w:lineRule="auto" w:after="0" w:before="0"/>
        <w:jc w:val="center"/>
      </w:pPr>
      <w:r>
        <w:rPr>
          <w:rFonts w:ascii="Arial" w:hAnsi="Arial"/>
          <w:b w:val="0"/>
          <w:sz w:val="24"/>
        </w:rPr>
        <w:t>Kelven Eduardo Terto dos Santos</w:t>
      </w: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  <w:jc w:val="center"/>
      </w:pPr>
      <w:r>
        <w:rPr>
          <w:rFonts w:ascii="Arial" w:hAnsi="Arial"/>
          <w:b/>
          <w:sz w:val="26"/>
        </w:rPr>
        <w:t>RELATÓRIO DE AVALIAÇÃO DE ACESSIBILIDADE WEB</w:t>
      </w:r>
    </w:p>
    <w:p>
      <w:pPr>
        <w:spacing w:line="360" w:lineRule="auto" w:after="0" w:before="0"/>
        <w:jc w:val="center"/>
      </w:pPr>
      <w:r>
        <w:rPr>
          <w:rFonts w:ascii="Arial" w:hAnsi="Arial"/>
          <w:b/>
          <w:sz w:val="26"/>
        </w:rPr>
        <w:t>PORTAL DO INSTITUTO FEDERAL DE ALAGOAS - CAMPUS MACEIÓ</w:t>
      </w: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Relatório de Avaliação apresentado como requisito integrante à nota da disciplina de Interação Humano-Computador do Bacharelado em Sistemas de Informação.</w:t>
      </w: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360" w:lineRule="auto" w:after="0" w:before="0"/>
      </w:pPr>
    </w:p>
    <w:p>
      <w:pPr>
        <w:spacing w:line="240" w:lineRule="auto" w:after="0" w:before="0"/>
        <w:jc w:val="center"/>
      </w:pPr>
      <w:r>
        <w:rPr>
          <w:rFonts w:ascii="Arial" w:hAnsi="Arial"/>
          <w:b w:val="0"/>
          <w:sz w:val="24"/>
        </w:rPr>
        <w:t>Maceió - AL</w:t>
      </w:r>
    </w:p>
    <w:p>
      <w:pPr>
        <w:spacing w:line="240" w:lineRule="auto" w:after="0" w:before="0"/>
        <w:jc w:val="center"/>
      </w:pPr>
      <w:r>
        <w:rPr>
          <w:rFonts w:ascii="Arial" w:hAnsi="Arial"/>
          <w:b w:val="0"/>
          <w:sz w:val="24"/>
        </w:rPr>
        <w:t>09 / 2026</w:t>
      </w:r>
    </w:p>
    <w:p>
      <w:pPr>
        <w:sectPr>
          <w:pgSz w:w="11911" w:h="16832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spacing w:line="360" w:lineRule="auto" w:after="240" w:before="280"/>
        <w:jc w:val="center"/>
      </w:pPr>
      <w:r>
        <w:rPr>
          <w:rFonts w:ascii="Arial" w:hAnsi="Arial"/>
          <w:b/>
          <w:sz w:val="32"/>
        </w:rPr>
        <w:t>Sumário</w:t>
      </w:r>
    </w:p>
    <w:p>
      <w:pPr>
        <w:tabs>
          <w:tab w:pos="9031" w:val="right" w:leader="dot"/>
        </w:tabs>
        <w:spacing w:line="360" w:lineRule="auto" w:after="0"/>
        <w:ind w:left="0"/>
        <w:jc w:val="both"/>
      </w:pPr>
      <w:r>
        <w:rPr>
          <w:rFonts w:ascii="Arial" w:hAnsi="Arial"/>
          <w:b/>
          <w:sz w:val="24"/>
        </w:rPr>
        <w:t>1. INTRODUÇÃO</w:t>
        <w:tab/>
        <w:t>4</w:t>
      </w:r>
    </w:p>
    <w:p>
      <w:pPr>
        <w:tabs>
          <w:tab w:pos="9031" w:val="right" w:leader="dot"/>
        </w:tabs>
        <w:spacing w:line="360" w:lineRule="auto" w:after="0"/>
        <w:ind w:left="0"/>
        <w:jc w:val="both"/>
      </w:pPr>
      <w:r>
        <w:rPr>
          <w:rFonts w:ascii="Arial" w:hAnsi="Arial"/>
          <w:b/>
          <w:sz w:val="24"/>
        </w:rPr>
        <w:t>2. OBJETIVO</w:t>
        <w:tab/>
        <w:t>4</w:t>
      </w:r>
    </w:p>
    <w:p>
      <w:pPr>
        <w:tabs>
          <w:tab w:pos="8671" w:val="right" w:leader="dot"/>
        </w:tabs>
        <w:spacing w:line="360" w:lineRule="auto" w:after="0"/>
        <w:ind w:left="360"/>
        <w:jc w:val="both"/>
      </w:pPr>
      <w:r>
        <w:rPr>
          <w:rFonts w:ascii="Arial" w:hAnsi="Arial"/>
          <w:b/>
          <w:sz w:val="24"/>
        </w:rPr>
        <w:t>2.1. Objetivo geral</w:t>
        <w:tab/>
        <w:t>4</w:t>
      </w:r>
    </w:p>
    <w:p>
      <w:pPr>
        <w:tabs>
          <w:tab w:pos="8671" w:val="right" w:leader="dot"/>
        </w:tabs>
        <w:spacing w:line="360" w:lineRule="auto" w:after="0"/>
        <w:ind w:left="360"/>
        <w:jc w:val="both"/>
      </w:pPr>
      <w:r>
        <w:rPr>
          <w:rFonts w:ascii="Arial" w:hAnsi="Arial"/>
          <w:b/>
          <w:sz w:val="24"/>
        </w:rPr>
        <w:t>2.2. Objetivos específicos</w:t>
        <w:tab/>
        <w:t>5</w:t>
      </w:r>
    </w:p>
    <w:p>
      <w:pPr>
        <w:tabs>
          <w:tab w:pos="9031" w:val="right" w:leader="dot"/>
        </w:tabs>
        <w:spacing w:line="360" w:lineRule="auto" w:after="0"/>
        <w:ind w:left="0"/>
        <w:jc w:val="both"/>
      </w:pPr>
      <w:r>
        <w:rPr>
          <w:rFonts w:ascii="Arial" w:hAnsi="Arial"/>
          <w:b/>
          <w:sz w:val="24"/>
        </w:rPr>
        <w:t>3. METODOLOGIA</w:t>
        <w:tab/>
        <w:t>5</w:t>
      </w:r>
    </w:p>
    <w:p>
      <w:pPr>
        <w:tabs>
          <w:tab w:pos="8671" w:val="right" w:leader="dot"/>
        </w:tabs>
        <w:spacing w:line="360" w:lineRule="auto" w:after="0"/>
        <w:ind w:left="360"/>
        <w:jc w:val="both"/>
      </w:pPr>
      <w:r>
        <w:rPr>
          <w:rFonts w:ascii="Arial" w:hAnsi="Arial"/>
          <w:b/>
          <w:sz w:val="24"/>
        </w:rPr>
        <w:t>3.1. Site avaliado e justificativa da escolha</w:t>
        <w:tab/>
        <w:t>5</w:t>
      </w:r>
    </w:p>
    <w:p>
      <w:pPr>
        <w:tabs>
          <w:tab w:pos="8671" w:val="right" w:leader="dot"/>
        </w:tabs>
        <w:spacing w:line="360" w:lineRule="auto" w:after="0"/>
        <w:ind w:left="360"/>
        <w:jc w:val="both"/>
      </w:pPr>
      <w:r>
        <w:rPr>
          <w:rFonts w:ascii="Arial" w:hAnsi="Arial"/>
          <w:b/>
          <w:sz w:val="24"/>
        </w:rPr>
        <w:t>3.2. Etapas da avaliação</w:t>
        <w:tab/>
        <w:t>6</w:t>
      </w:r>
    </w:p>
    <w:p>
      <w:pPr>
        <w:tabs>
          <w:tab w:pos="8671" w:val="right" w:leader="dot"/>
        </w:tabs>
        <w:spacing w:line="360" w:lineRule="auto" w:after="0"/>
        <w:ind w:left="360"/>
        <w:jc w:val="both"/>
      </w:pPr>
      <w:r>
        <w:rPr>
          <w:rFonts w:ascii="Arial" w:hAnsi="Arial"/>
          <w:b/>
          <w:sz w:val="24"/>
        </w:rPr>
        <w:t>3.3. Instrumentos utilizados</w:t>
        <w:tab/>
        <w:t>7</w:t>
      </w:r>
    </w:p>
    <w:p>
      <w:pPr>
        <w:tabs>
          <w:tab w:pos="9031" w:val="right" w:leader="dot"/>
        </w:tabs>
        <w:spacing w:line="360" w:lineRule="auto" w:after="0"/>
        <w:ind w:left="0"/>
        <w:jc w:val="both"/>
      </w:pPr>
      <w:r>
        <w:rPr>
          <w:rFonts w:ascii="Arial" w:hAnsi="Arial"/>
          <w:b/>
          <w:sz w:val="24"/>
        </w:rPr>
        <w:t>4. AVALIAÇÃO E RESULTADOS</w:t>
        <w:tab/>
        <w:t>7</w:t>
      </w:r>
    </w:p>
    <w:p>
      <w:pPr>
        <w:tabs>
          <w:tab w:pos="8671" w:val="right" w:leader="dot"/>
        </w:tabs>
        <w:spacing w:line="360" w:lineRule="auto" w:after="0"/>
        <w:ind w:left="360"/>
        <w:jc w:val="both"/>
      </w:pPr>
      <w:r>
        <w:rPr>
          <w:rFonts w:ascii="Arial" w:hAnsi="Arial"/>
          <w:b/>
          <w:sz w:val="24"/>
        </w:rPr>
        <w:t>4.1. Resultados da inspeção manual (checklist de 15 itens)</w:t>
        <w:tab/>
        <w:t>7</w:t>
      </w:r>
    </w:p>
    <w:p>
      <w:pPr>
        <w:tabs>
          <w:tab w:pos="8671" w:val="right" w:leader="dot"/>
        </w:tabs>
        <w:spacing w:line="360" w:lineRule="auto" w:after="0"/>
        <w:ind w:left="360"/>
        <w:jc w:val="both"/>
      </w:pPr>
      <w:r>
        <w:rPr>
          <w:rFonts w:ascii="Arial" w:hAnsi="Arial"/>
          <w:b/>
          <w:sz w:val="24"/>
        </w:rPr>
        <w:t>4.2. Resultados do avaliador automático WAVE</w:t>
        <w:tab/>
        <w:t>11</w:t>
      </w:r>
    </w:p>
    <w:p>
      <w:pPr>
        <w:tabs>
          <w:tab w:pos="8671" w:val="right" w:leader="dot"/>
        </w:tabs>
        <w:spacing w:line="360" w:lineRule="auto" w:after="0"/>
        <w:ind w:left="360"/>
        <w:jc w:val="both"/>
      </w:pPr>
      <w:r>
        <w:rPr>
          <w:rFonts w:ascii="Arial" w:hAnsi="Arial"/>
          <w:b/>
          <w:sz w:val="24"/>
        </w:rPr>
        <w:t>4.3. Resultados do avaliador automático ASES</w:t>
        <w:tab/>
        <w:t>12</w:t>
      </w:r>
    </w:p>
    <w:p>
      <w:pPr>
        <w:tabs>
          <w:tab w:pos="8671" w:val="right" w:leader="dot"/>
        </w:tabs>
        <w:spacing w:line="360" w:lineRule="auto" w:after="0"/>
        <w:ind w:left="360"/>
        <w:jc w:val="both"/>
      </w:pPr>
      <w:r>
        <w:rPr>
          <w:rFonts w:ascii="Arial" w:hAnsi="Arial"/>
          <w:b/>
          <w:sz w:val="24"/>
        </w:rPr>
        <w:t>4.4. Resultados do avaliador automático axe-core</w:t>
        <w:tab/>
        <w:t>13</w:t>
      </w:r>
    </w:p>
    <w:p>
      <w:pPr>
        <w:tabs>
          <w:tab w:pos="8671" w:val="right" w:leader="dot"/>
        </w:tabs>
        <w:spacing w:line="360" w:lineRule="auto" w:after="0"/>
        <w:ind w:left="360"/>
        <w:jc w:val="both"/>
      </w:pPr>
      <w:r>
        <w:rPr>
          <w:rFonts w:ascii="Arial" w:hAnsi="Arial"/>
          <w:b/>
          <w:sz w:val="24"/>
        </w:rPr>
        <w:t>4.5. Medição de contraste por amostragem de pixels</w:t>
        <w:tab/>
        <w:t>14</w:t>
      </w:r>
    </w:p>
    <w:p>
      <w:pPr>
        <w:tabs>
          <w:tab w:pos="8671" w:val="right" w:leader="dot"/>
        </w:tabs>
        <w:spacing w:line="360" w:lineRule="auto" w:after="0"/>
        <w:ind w:left="360"/>
        <w:jc w:val="both"/>
      </w:pPr>
      <w:r>
        <w:rPr>
          <w:rFonts w:ascii="Arial" w:hAnsi="Arial"/>
          <w:b/>
          <w:sz w:val="24"/>
        </w:rPr>
        <w:t>4.6. Evidências visuais da avaliação</w:t>
        <w:tab/>
        <w:t>15</w:t>
      </w:r>
    </w:p>
    <w:p>
      <w:pPr>
        <w:tabs>
          <w:tab w:pos="8671" w:val="right" w:leader="dot"/>
        </w:tabs>
        <w:spacing w:line="360" w:lineRule="auto" w:after="0"/>
        <w:ind w:left="360"/>
        <w:jc w:val="both"/>
      </w:pPr>
      <w:r>
        <w:rPr>
          <w:rFonts w:ascii="Arial" w:hAnsi="Arial"/>
          <w:b/>
          <w:sz w:val="24"/>
        </w:rPr>
        <w:t>4.7. Recurso de tradução para Libras (VLibras)</w:t>
        <w:tab/>
        <w:t>19</w:t>
      </w:r>
    </w:p>
    <w:p>
      <w:pPr>
        <w:tabs>
          <w:tab w:pos="8671" w:val="right" w:leader="dot"/>
        </w:tabs>
        <w:spacing w:line="360" w:lineRule="auto" w:after="0"/>
        <w:ind w:left="360"/>
        <w:jc w:val="both"/>
      </w:pPr>
      <w:r>
        <w:rPr>
          <w:rFonts w:ascii="Arial" w:hAnsi="Arial"/>
          <w:b/>
          <w:sz w:val="24"/>
        </w:rPr>
        <w:t>4.8. Resultados da auditoria programática do código-fonte</w:t>
        <w:tab/>
        <w:t>21</w:t>
      </w:r>
    </w:p>
    <w:p>
      <w:pPr>
        <w:tabs>
          <w:tab w:pos="8671" w:val="right" w:leader="dot"/>
        </w:tabs>
        <w:spacing w:line="360" w:lineRule="auto" w:after="0"/>
        <w:ind w:left="360"/>
        <w:jc w:val="both"/>
      </w:pPr>
      <w:r>
        <w:rPr>
          <w:rFonts w:ascii="Arial" w:hAnsi="Arial"/>
          <w:b/>
          <w:sz w:val="24"/>
        </w:rPr>
        <w:t>4.9. Simulação automatizada de acesso por smartphone</w:t>
        <w:tab/>
        <w:t>21</w:t>
      </w:r>
    </w:p>
    <w:p>
      <w:pPr>
        <w:tabs>
          <w:tab w:pos="8671" w:val="right" w:leader="dot"/>
        </w:tabs>
        <w:spacing w:line="360" w:lineRule="auto" w:after="0"/>
        <w:ind w:left="360"/>
        <w:jc w:val="both"/>
      </w:pPr>
      <w:r>
        <w:rPr>
          <w:rFonts w:ascii="Arial" w:hAnsi="Arial"/>
          <w:b/>
          <w:sz w:val="24"/>
        </w:rPr>
        <w:t>4.10. Tarefa complementar: uso real com leitor de tela</w:t>
        <w:tab/>
        <w:t>23</w:t>
      </w:r>
    </w:p>
    <w:p>
      <w:pPr>
        <w:tabs>
          <w:tab w:pos="8671" w:val="right" w:leader="dot"/>
        </w:tabs>
        <w:spacing w:line="360" w:lineRule="auto" w:after="0"/>
        <w:ind w:left="360"/>
        <w:jc w:val="both"/>
      </w:pPr>
      <w:r>
        <w:rPr>
          <w:rFonts w:ascii="Arial" w:hAnsi="Arial"/>
          <w:b/>
          <w:sz w:val="24"/>
        </w:rPr>
        <w:t>4.11. Análise do nível de conformidade WCAG</w:t>
        <w:tab/>
        <w:t>25</w:t>
      </w:r>
    </w:p>
    <w:p>
      <w:pPr>
        <w:tabs>
          <w:tab w:pos="9031" w:val="right" w:leader="dot"/>
        </w:tabs>
        <w:spacing w:line="360" w:lineRule="auto" w:after="0"/>
        <w:ind w:left="0"/>
        <w:jc w:val="both"/>
      </w:pPr>
      <w:r>
        <w:rPr>
          <w:rFonts w:ascii="Arial" w:hAnsi="Arial"/>
          <w:b/>
          <w:sz w:val="24"/>
        </w:rPr>
        <w:t>5. RECOMENDAÇÕES DE CORREÇÃO</w:t>
        <w:tab/>
        <w:t>27</w:t>
      </w:r>
    </w:p>
    <w:p>
      <w:pPr>
        <w:tabs>
          <w:tab w:pos="9031" w:val="right" w:leader="dot"/>
        </w:tabs>
        <w:spacing w:line="360" w:lineRule="auto" w:after="0"/>
        <w:ind w:left="0"/>
        <w:jc w:val="both"/>
      </w:pPr>
      <w:r>
        <w:rPr>
          <w:rFonts w:ascii="Arial" w:hAnsi="Arial"/>
          <w:b/>
          <w:sz w:val="24"/>
        </w:rPr>
        <w:t>6. CONCLUSÃO</w:t>
        <w:tab/>
        <w:t>29</w:t>
      </w:r>
    </w:p>
    <w:p>
      <w:pPr>
        <w:tabs>
          <w:tab w:pos="9031" w:val="right" w:leader="dot"/>
        </w:tabs>
        <w:spacing w:line="360" w:lineRule="auto" w:after="0"/>
        <w:ind w:left="0"/>
        <w:jc w:val="both"/>
      </w:pPr>
      <w:r>
        <w:rPr>
          <w:rFonts w:ascii="Arial" w:hAnsi="Arial"/>
          <w:b/>
          <w:sz w:val="24"/>
        </w:rPr>
        <w:t>7. REFERÊNCIAS</w:t>
        <w:tab/>
        <w:t>30</w:t>
      </w:r>
    </w:p>
    <w:p>
      <w:r>
        <w:br w:type="page"/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8"/>
        </w:rPr>
        <w:t>1. INTRODUÇÃO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A acessibilidade web é a propriedade que permite que pessoas com deficiência percebam, compreendam, naveguem, interajam e contribuam com a Web (W3C, 2018). Segundo o Censo Demográfico de 2022 do IBGE, cerca de 14,4 milhões de brasileiros com dois anos ou mais possuem algum tipo de deficiência, contingente para o qual a barreira digital se traduz, na prática, em exclusão do acesso a serviços, a informação pública e ao exercício da cidadania.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No Brasil, a acessibilidade digital não é apenas uma boa prática de engenharia de software: é uma obrigação legal. O Decreto n. 5.296/2004 determina a acessibilidade dos portais da administração pública, e a Lei Brasileira de Inclusão (Lei n. 13.146/2015), em seu artigo 63, estende a exigência aos sítios de empresas com sede ou representação comercial no país. Do ponto de vista técnico, esse dever se materializa em dois documentos normativos complementares: as Diretrizes de Acessibilidade para o Conteúdo da Web (WCAG) 2.1, publicadas pelo W3C em 2018, e o Modelo de Acessibilidade em Governo Eletrônico (eMAG) 3.1, de 2014, que adapta a WCAG ao contexto do governo brasileiro.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O presente relatório apresenta a avaliação de acessibilidade web do Portal do Instituto Federal de Alagoas - Campus Maceió, disponível em https://www2.ifal.edu.br/campus/maceio. A avaliação combinou quatro frentes complementares - inspeção manual por checklist, auditoria do código-fonte das páginas servidas, avaliação automatizada por ferramentas especializadas (axe-core, WAVE e ASES) e teste de uso real com leitor de tela em dispositivo móvel -, estratégia recomendada pela literatura porque ferramentas automáticas detectam, isoladamente, apenas parte dos problemas de acessibilidade, restando à inspeção humana os critérios de natureza semântica e subjetiva.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8"/>
        </w:rPr>
        <w:t>2. OBJETIVO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6"/>
        </w:rPr>
        <w:t>2.1 Objetivo geral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Avaliar o nível de conformidade de acessibilidade do Portal do IFAL - Campus Maceió (https://www2.ifal.edu.br/campus/maceio) frente às Diretrizes de Acessibilidade para o Conteúdo da Web (WCAG) 2.1 e às recomendações do eMAG 3.1, identificando as barreiras que impedem o uso pleno do sítio por pessoas com deficiência e propondo correções técnicas viáveis para cada problema encontrado.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6"/>
        </w:rPr>
        <w:t>2.2 Objetivos específicos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Inspecionar manualmente o sítio a partir de um checklist de 15 itens essenciais de acessibilidade, mapeando cada item aos critérios de sucesso da WCAG 2.1 e às recomendações do eMAG 3.1;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Submeter as páginas selecionadas a avaliadores automáticos (WAVE, ASES e axe-core), obtendo o diagnóstico quantitativo dos erros presentes no código-fonte;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Confrontar os resultados manuais e automáticos, distinguindo falhas de marcação de falhas de experiência de uso;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Vivenciar a navegação no sítio por meio de smartphone com leitor de tela ativado, registrando as barreiras percebidas na execução de uma tarefa real;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Determinar o nível de conformidade (A, AA ou AAA) alcançado pelo sítio e elaborar recomendações de correção priorizadas por severidade.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8"/>
        </w:rPr>
        <w:t>3. METODOLOGIA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6"/>
        </w:rPr>
        <w:t>3.1 Site avaliado e justificativa da escolha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O sítio selecionado para a avaliação foi o Portal do Instituto Federal de Alagoas - Campus Maceió, acessível em https://www2.ifal.edu.br/campus/maceio, mantido pelo Instituto Federal de Alagoas (IFAL).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Trata-se de um sítio institucional público, de escopo reduzido e navegação simples (página inicial, notícias, editais e contato), o que permite auditar integralmente o conjunto de páginas dentro do prazo do trabalho. Por pertencer à administração pública federal, está sujeito ao Decreto n. 5.296/2004, à Lei Brasileira de Inclusão (Lei n. 13.146/2015) e ao eMAG 3.1, o que torna a avaliação juridicamente relevante além de tecnicamente pertinente. Por fim, é o portal utilizado cotidianamente pelos próprios autores e demais estudantes, incluindo colegas com deficiência, o que aproxima o exercício acadêmico de um problema real da comunidade acadêmica.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6"/>
        </w:rPr>
        <w:t>3.2 Etapas da avaliação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A avaliação seguiu um desenho metodológico em quatro etapas sequenciais, aplicado sobre um recorte de 3 páginas representativas do sítio: https://www2.ifal.edu.br/campus/maceio; https://www2.ifal.edu.br/campus/maceio/noticias; https://www2.ifal.edu.br/campus/maceio/contato. O recorte privilegiou a página inicial, uma página de listagem de conteúdo e a página institucional de contato, de modo a cobrir os três padrões de interação presentes no portal.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Etapa 1 - Inspeção manual por checklist. Aplicou-se um checklist de 15 itens essenciais de acessibilidade, consolidado a partir do material de referência indicado pela disciplina e mapeado, item a item, aos critérios de sucesso da WCAG 2.1 e às recomendações do eMAG 3.1. Cada item foi verificado com o sítio aberto no navegador Google Chrome, com auxílio das ferramentas de desenvolvedor (F12) para leitura do código-fonte. A inspeção contemplou testes de operação exclusivamente por teclado (Tab, Shift+Tab, Enter, Espaço e Esc), verificação de zoom em 200% e simulação de escala de cinza para checar dependência de cor.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Etapa 2 - Avaliação automatizada. As mesmas páginas foram submetidas a três avaliadores de motores distintos: o WAVE (WebAIM), de referência internacional, que reporta erros diretamente sobre a renderização da página; o ASES (Avaliador e Simulador de Acessibilidade de Sítios), mantido pelo Governo Federal, que emite nota de 0 a 100 segundo as recomendações do eMAG; e o axe-core 4.10.2, da Deque Systems, executado sobre a página renderizada em Chromium. São motores independentes — o WAVE tem motor próprio, o axe-core é o que o Lighthouse do Google Chrome utiliza —, o que torna a convergência entre eles um indício mais forte do que a repetição de uma mesma ferramenta. Adicionalmente, desenvolveu-se um auditor próprio em Python (ferramenta/auditor_wcag.py), que percorre o HTML e verifica de forma programática os nove itens automatizáveis do checklist, servindo de conferência cruzada aos três avaliadores.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Etapa 3 - Tarefa complementar com leitor de tela. Um dos avaliadores acessou o sítio por smartphone com o leitor de tela nativo ativado e tentou executar uma tarefa real de ponta a ponta, sem visualizar a tela. Registraram-se o tempo gasto, a conclusão ou não da tarefa e as barreiras percebidas.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Etapa 4 - Consolidação e análise de conformidade. Os achados foram agrupados por critério de sucesso da WCAG 2.1 e classificados por severidade. Aplicou-se então a regra de conformidade do W3C, segundo a qual um sítio só atinge determinado nível se satisfizer integralmente todos os critérios daquele nível e dos anteriores - basta uma falha de Nível A para que a página não seja conforme em nenhum nível.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6"/>
        </w:rPr>
        <w:t>3.3 Instrumentos utilizados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262"/>
        <w:gridCol w:w="1809"/>
        <w:gridCol w:w="4944"/>
      </w:tblGrid>
      <w:tr>
        <w:tc>
          <w:tcPr>
            <w:tcW w:type="dxa" w:w="2262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Instrumento</w:t>
            </w:r>
          </w:p>
        </w:tc>
        <w:tc>
          <w:tcPr>
            <w:tcW w:type="dxa" w:w="1809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Natureza</w:t>
            </w:r>
          </w:p>
        </w:tc>
        <w:tc>
          <w:tcPr>
            <w:tcW w:type="dxa" w:w="4944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Finalidade na avaliação</w:t>
            </w:r>
          </w:p>
        </w:tc>
      </w:tr>
      <w:tr>
        <w:tc>
          <w:tcPr>
            <w:tcW w:type="dxa" w:w="226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Checklist de 15 itens</w:t>
            </w:r>
          </w:p>
        </w:tc>
        <w:tc>
          <w:tcPr>
            <w:tcW w:type="dxa" w:w="180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Manual</w:t>
            </w:r>
          </w:p>
        </w:tc>
        <w:tc>
          <w:tcPr>
            <w:tcW w:type="dxa" w:w="4944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Verificação guiada dos requisitos essenciais, com julgamento humano.</w:t>
            </w:r>
          </w:p>
        </w:tc>
      </w:tr>
      <w:tr>
        <w:tc>
          <w:tcPr>
            <w:tcW w:type="dxa" w:w="226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WAVE (WebAIM)</w:t>
            </w:r>
          </w:p>
        </w:tc>
        <w:tc>
          <w:tcPr>
            <w:tcW w:type="dxa" w:w="180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Automática</w:t>
            </w:r>
          </w:p>
        </w:tc>
        <w:tc>
          <w:tcPr>
            <w:tcW w:type="dxa" w:w="4944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Detecção de erros sobre a página renderizada e contagem por categoria.</w:t>
            </w:r>
          </w:p>
        </w:tc>
      </w:tr>
      <w:tr>
        <w:tc>
          <w:tcPr>
            <w:tcW w:type="dxa" w:w="226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ASES (Governo Federal)</w:t>
            </w:r>
          </w:p>
        </w:tc>
        <w:tc>
          <w:tcPr>
            <w:tcW w:type="dxa" w:w="180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Automática</w:t>
            </w:r>
          </w:p>
        </w:tc>
        <w:tc>
          <w:tcPr>
            <w:tcW w:type="dxa" w:w="4944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Nota de aderência ao eMAG 3.1 e ocorrências por seção do modelo.</w:t>
            </w:r>
          </w:p>
        </w:tc>
      </w:tr>
      <w:tr>
        <w:tc>
          <w:tcPr>
            <w:tcW w:type="dxa" w:w="226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axe-core 4.10.2 (Deque)</w:t>
            </w:r>
          </w:p>
        </w:tc>
        <w:tc>
          <w:tcPr>
            <w:tcW w:type="dxa" w:w="180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Automática</w:t>
            </w:r>
          </w:p>
        </w:tc>
        <w:tc>
          <w:tcPr>
            <w:tcW w:type="dxa" w:w="4944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Verificação das regras WCAG 2.1 sobre a página já renderizada.</w:t>
            </w:r>
          </w:p>
        </w:tc>
      </w:tr>
      <w:tr>
        <w:tc>
          <w:tcPr>
            <w:tcW w:type="dxa" w:w="226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Amostragem de pixels</w:t>
            </w:r>
          </w:p>
        </w:tc>
        <w:tc>
          <w:tcPr>
            <w:tcW w:type="dxa" w:w="180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Automática (própria)</w:t>
            </w:r>
          </w:p>
        </w:tc>
        <w:tc>
          <w:tcPr>
            <w:tcW w:type="dxa" w:w="4944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Contraste medido na imagem da tela, sem supor a cor do fundo.</w:t>
            </w:r>
          </w:p>
        </w:tc>
      </w:tr>
      <w:tr>
        <w:tc>
          <w:tcPr>
            <w:tcW w:type="dxa" w:w="226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auditor_wcag.py</w:t>
            </w:r>
          </w:p>
        </w:tc>
        <w:tc>
          <w:tcPr>
            <w:tcW w:type="dxa" w:w="180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Automática (própria)</w:t>
            </w:r>
          </w:p>
        </w:tc>
        <w:tc>
          <w:tcPr>
            <w:tcW w:type="dxa" w:w="4944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Conferência cruzada dos itens automatizáveis diretamente no HTML.</w:t>
            </w:r>
          </w:p>
        </w:tc>
      </w:tr>
      <w:tr>
        <w:tc>
          <w:tcPr>
            <w:tcW w:type="dxa" w:w="226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simulador_mobile.py</w:t>
            </w:r>
          </w:p>
        </w:tc>
        <w:tc>
          <w:tcPr>
            <w:tcW w:type="dxa" w:w="180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Automática (própria)</w:t>
            </w:r>
          </w:p>
        </w:tc>
        <w:tc>
          <w:tcPr>
            <w:tcW w:type="dxa" w:w="4944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Emulação de smartphone, árvore de acessibilidade, alvos de toque e contraste.</w:t>
            </w:r>
          </w:p>
        </w:tc>
      </w:tr>
      <w:tr>
        <w:tc>
          <w:tcPr>
            <w:tcW w:type="dxa" w:w="226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Leitor de tela em smartphone</w:t>
            </w:r>
          </w:p>
        </w:tc>
        <w:tc>
          <w:tcPr>
            <w:tcW w:type="dxa" w:w="180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Empírica</w:t>
            </w:r>
          </w:p>
        </w:tc>
        <w:tc>
          <w:tcPr>
            <w:tcW w:type="dxa" w:w="4944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Execução de tarefa real sem apoio visual, para avaliar a experiência de uso.</w:t>
            </w:r>
          </w:p>
        </w:tc>
      </w:tr>
    </w:tbl>
    <w:p>
      <w:pPr>
        <w:spacing w:line="240" w:lineRule="auto" w:after="200" w:before="0"/>
        <w:jc w:val="left"/>
      </w:pPr>
      <w:r>
        <w:rPr>
          <w:rFonts w:ascii="Arial" w:hAnsi="Arial"/>
          <w:b w:val="0"/>
          <w:sz w:val="20"/>
        </w:rPr>
        <w:t>Quadro 1 - Instrumentos empregados na avaliação. Fonte: elaborado pelos autores.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8"/>
        </w:rPr>
        <w:t>4. AVALIAÇÃO E RESULTADOS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Esta seção apresenta os resultados obtidos em cada frente de avaliação, partindo da inspeção humana, passando pelas medições automatizadas e encerrando na análise consolidada de conformidade.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6"/>
        </w:rPr>
        <w:t>4.1 Resultados da inspeção manual (checklist de 15 itens)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A inspeção manual aplicou o checklist de 15 itens essenciais sobre as páginas do recorte, com o sítio aberto no navegador e com uso das ferramentas de desenvolvedor para leitura do código-fonte. O Quadro 2 apresenta o resultado item a item, com a indicação do critério de sucesso da WCAG 2.1 e da recomendação correspondente do eMAG 3.1.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08"/>
        <w:gridCol w:w="1389"/>
        <w:gridCol w:w="1332"/>
        <w:gridCol w:w="1559"/>
        <w:gridCol w:w="1219"/>
        <w:gridCol w:w="3107"/>
      </w:tblGrid>
      <w:tr>
        <w:tc>
          <w:tcPr>
            <w:tcW w:type="dxa" w:w="408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1389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Item verificado</w:t>
            </w:r>
          </w:p>
        </w:tc>
        <w:tc>
          <w:tcPr>
            <w:tcW w:type="dxa" w:w="1332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Critério WCAG 2.1 (nível)</w:t>
            </w:r>
          </w:p>
        </w:tc>
        <w:tc>
          <w:tcPr>
            <w:tcW w:type="dxa" w:w="1559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Recomendação eMAG 3.1</w:t>
            </w:r>
          </w:p>
        </w:tc>
        <w:tc>
          <w:tcPr>
            <w:tcW w:type="dxa" w:w="1219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Situação</w:t>
            </w:r>
          </w:p>
        </w:tc>
        <w:tc>
          <w:tcPr>
            <w:tcW w:type="dxa" w:w="3107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Observação</w:t>
            </w:r>
          </w:p>
        </w:tc>
      </w:tr>
      <w:tr>
        <w:tc>
          <w:tcPr>
            <w:tcW w:type="dxa" w:w="4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138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Texto alternativo em imagens</w:t>
            </w:r>
          </w:p>
        </w:tc>
        <w:tc>
          <w:tcPr>
            <w:tcW w:type="dxa" w:w="133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1.1.1 Conteúdo não textual (A)</w:t>
            </w:r>
          </w:p>
        </w:tc>
        <w:tc>
          <w:tcPr>
            <w:tcW w:type="dxa" w:w="155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3.6 - Fornecer alternativa em texto para as imagens do sítio</w:t>
            </w:r>
          </w:p>
        </w:tc>
        <w:tc>
          <w:tcPr>
            <w:tcW w:type="dxa" w:w="121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Parcial</w:t>
            </w:r>
          </w:p>
        </w:tc>
        <w:tc>
          <w:tcPr>
            <w:tcW w:type="dxa" w:w="3107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Nas 3 páginas auditadas, 13 imagens na página inicial e nenhuma sem atributo alt nem com alt genérico ou nome de arquivo. O axe-core, porém, apontou 4 imagens cujo texto alternativo repete literalmente o texto do link ao lado, fazendo o leitor de tela anunciar a mesma informação duas vezes.</w:t>
            </w:r>
          </w:p>
        </w:tc>
      </w:tr>
      <w:tr>
        <w:tc>
          <w:tcPr>
            <w:tcW w:type="dxa" w:w="4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38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Hierarquia de cabeçalhos</w:t>
            </w:r>
          </w:p>
        </w:tc>
        <w:tc>
          <w:tcPr>
            <w:tcW w:type="dxa" w:w="133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1.3.1 Informações e relações (A)</w:t>
            </w:r>
          </w:p>
        </w:tc>
        <w:tc>
          <w:tcPr>
            <w:tcW w:type="dxa" w:w="155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1.3 - Utilizar corretamente os níveis de cabeçalho</w:t>
            </w:r>
          </w:p>
        </w:tc>
        <w:tc>
          <w:tcPr>
            <w:tcW w:type="dxa" w:w="121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Não conforme</w:t>
            </w:r>
          </w:p>
        </w:tc>
        <w:tc>
          <w:tcPr>
            <w:tcW w:type="dxa" w:w="3107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 página inicial possui 15 cabeçalhos, mas nenhum &lt;h1&gt;; a página de contato não possui cabeçalho algum. Apenas a página de notícias declara um &lt;h1&gt;. Sem &lt;h1&gt;, o leitor de tela não identifica o título principal e a navegação por cabeçalhos perde o ponto de partida.</w:t>
            </w:r>
          </w:p>
        </w:tc>
      </w:tr>
      <w:tr>
        <w:tc>
          <w:tcPr>
            <w:tcW w:type="dxa" w:w="4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38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Idioma da página declarado</w:t>
            </w:r>
          </w:p>
        </w:tc>
        <w:tc>
          <w:tcPr>
            <w:tcW w:type="dxa" w:w="133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3.1.1 Idioma da página (A)</w:t>
            </w:r>
          </w:p>
        </w:tc>
        <w:tc>
          <w:tcPr>
            <w:tcW w:type="dxa" w:w="155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3.1 - Identificar o idioma principal da página</w:t>
            </w:r>
          </w:p>
        </w:tc>
        <w:tc>
          <w:tcPr>
            <w:tcW w:type="dxa" w:w="121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Conforme</w:t>
            </w:r>
          </w:p>
        </w:tc>
        <w:tc>
          <w:tcPr>
            <w:tcW w:type="dxa" w:w="3107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As 3 páginas declaram lang="pt-br" na tag &lt;html&gt;, permitindo que o leitor de tela escolha a pronúncia correta.</w:t>
            </w:r>
          </w:p>
        </w:tc>
      </w:tr>
      <w:tr>
        <w:tc>
          <w:tcPr>
            <w:tcW w:type="dxa" w:w="4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38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Título de página descritivo</w:t>
            </w:r>
          </w:p>
        </w:tc>
        <w:tc>
          <w:tcPr>
            <w:tcW w:type="dxa" w:w="133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2.4.2 Página com título (A)</w:t>
            </w:r>
          </w:p>
        </w:tc>
        <w:tc>
          <w:tcPr>
            <w:tcW w:type="dxa" w:w="155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3.3 - Oferecer um título descritivo e informativo à página</w:t>
            </w:r>
          </w:p>
        </w:tc>
        <w:tc>
          <w:tcPr>
            <w:tcW w:type="dxa" w:w="121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Conforme</w:t>
            </w:r>
          </w:p>
        </w:tc>
        <w:tc>
          <w:tcPr>
            <w:tcW w:type="dxa" w:w="3107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Cada página possui &lt;title&gt; único e descritivo: "Campus Maceió — Instituto Federal de Alagoas", "Notícias — Instituto Federal de Alagoas" e "Instituto Federal de Alagoas". O critério 2.4.2 exige que o título descreva o tema ou a finalidade da página, e os três o fazem. Registra-se, como observação de usabilidade e não como falha, que o título da página de contato não distingue a seção dentro do portal.</w:t>
            </w:r>
          </w:p>
        </w:tc>
      </w:tr>
      <w:tr>
        <w:tc>
          <w:tcPr>
            <w:tcW w:type="dxa" w:w="4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38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Contraste mínimo de cores</w:t>
            </w:r>
          </w:p>
        </w:tc>
        <w:tc>
          <w:tcPr>
            <w:tcW w:type="dxa" w:w="133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1.4.3 Contraste (mínimo) (AA)</w:t>
            </w:r>
          </w:p>
        </w:tc>
        <w:tc>
          <w:tcPr>
            <w:tcW w:type="dxa" w:w="155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4.1 - Oferecer contraste mínimo entre plano de fundo e primeiro plano</w:t>
            </w:r>
          </w:p>
        </w:tc>
        <w:tc>
          <w:tcPr>
            <w:tcW w:type="dxa" w:w="121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Não conforme</w:t>
            </w:r>
          </w:p>
        </w:tc>
        <w:tc>
          <w:tcPr>
            <w:tcW w:type="dxa" w:w="3107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Medição por amostragem de pixels reais da página renderizada. Reprovações confirmadas: botões de navegação do banner rotativo, azul rgb(44,103,205) sobre verde rgb(14,86,31), razão de 1,66:1 (exige 4,5:1); o botão do slide ativo, azul sobre âmbar rgb(255,180,0), 3,0:1; e o link "Voltar para o topo", cinza rgb(119,119,119) sobre branco, 4,48:1. As legendas brancas sobre as fotos do banner não puderam ser medidas automaticamente e exigem conferência visual. Uma quarta reprovação, inicialmente atribuída à Barra do Governo Federal, foi descartada na reconferência: o cinza medido era o da marcação provisória exibida quando o script da barra não carrega, e não o da barra em operação.</w:t>
            </w:r>
          </w:p>
        </w:tc>
      </w:tr>
      <w:tr>
        <w:tc>
          <w:tcPr>
            <w:tcW w:type="dxa" w:w="4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6</w:t>
            </w:r>
          </w:p>
        </w:tc>
        <w:tc>
          <w:tcPr>
            <w:tcW w:type="dxa" w:w="138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Cor não é o único meio de transmitir informação</w:t>
            </w:r>
          </w:p>
        </w:tc>
        <w:tc>
          <w:tcPr>
            <w:tcW w:type="dxa" w:w="133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1.4.1 Uso de cores (A)</w:t>
            </w:r>
          </w:p>
        </w:tc>
        <w:tc>
          <w:tcPr>
            <w:tcW w:type="dxa" w:w="155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4.2 - Não utilizar apenas cor ou outras características sensoriais para diferenciar elementos</w:t>
            </w:r>
          </w:p>
        </w:tc>
        <w:tc>
          <w:tcPr>
            <w:tcW w:type="dxa" w:w="121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Não conforme</w:t>
            </w:r>
          </w:p>
        </w:tc>
        <w:tc>
          <w:tcPr>
            <w:tcW w:type="dxa" w:w="3107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No banner rotativo, o slide em exibição é sinalizado apenas pela cor de fundo do botão numérico: âmbar rgb(255,180,0) para o ativo e verde rgb(14,86,31) para os demais. Não há mudança de forma, contorno, sublinhado, ícone ou texto alternativo. Quem não distingue essas cores não identifica em que slide está.</w:t>
            </w:r>
          </w:p>
        </w:tc>
      </w:tr>
      <w:tr>
        <w:tc>
          <w:tcPr>
            <w:tcW w:type="dxa" w:w="4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7</w:t>
            </w:r>
          </w:p>
        </w:tc>
        <w:tc>
          <w:tcPr>
            <w:tcW w:type="dxa" w:w="138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Redimensionamento de texto até 200%</w:t>
            </w:r>
          </w:p>
        </w:tc>
        <w:tc>
          <w:tcPr>
            <w:tcW w:type="dxa" w:w="133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1.4.4 Redimensionar texto (AA)</w:t>
            </w:r>
          </w:p>
        </w:tc>
        <w:tc>
          <w:tcPr>
            <w:tcW w:type="dxa" w:w="155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4.3 - Permitir redimensionamento sem perda de funcionalidade</w:t>
            </w:r>
          </w:p>
        </w:tc>
        <w:tc>
          <w:tcPr>
            <w:tcW w:type="dxa" w:w="121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Parcial</w:t>
            </w:r>
          </w:p>
        </w:tc>
        <w:tc>
          <w:tcPr>
            <w:tcW w:type="dxa" w:w="3107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O meta viewport não bloqueia ampliação e, a 200% de zoom, a página não gera rolagem horizontal. Em 320 px de largura o conteúdo também cabe na tela, sem rolagem horizontal: o critério 1.4.10 Reflow é atendido. Falha, porém, o critério 1.4.12: ao aplicar o espaçamento de texto exigido (entrelinha 1,5; espaçamento entre letras 0,12em; entre palavras 0,16em), 3 elementos têm o conteúdo cortado por overflow oculto.</w:t>
            </w:r>
          </w:p>
        </w:tc>
      </w:tr>
      <w:tr>
        <w:tc>
          <w:tcPr>
            <w:tcW w:type="dxa" w:w="4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8</w:t>
            </w:r>
          </w:p>
        </w:tc>
        <w:tc>
          <w:tcPr>
            <w:tcW w:type="dxa" w:w="138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Navegação completa por teclado</w:t>
            </w:r>
          </w:p>
        </w:tc>
        <w:tc>
          <w:tcPr>
            <w:tcW w:type="dxa" w:w="133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2.1.1 Teclado / 2.1.2 Sem bloqueio de teclado (A)</w:t>
            </w:r>
          </w:p>
        </w:tc>
        <w:tc>
          <w:tcPr>
            <w:tcW w:type="dxa" w:w="155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2.1 - Disponibilizar todas as funções da página via teclado</w:t>
            </w:r>
          </w:p>
        </w:tc>
        <w:tc>
          <w:tcPr>
            <w:tcW w:type="dxa" w:w="121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Conforme</w:t>
            </w:r>
          </w:p>
        </w:tc>
        <w:tc>
          <w:tcPr>
            <w:tcW w:type="dxa" w:w="3107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Percurso completo por Tab na página inicial: 117 elementos interativos visíveis e 118 pontos de parada alcançados, ou seja, tudo que é clicável também é acessível pelo teclado. Shift+Tab retorna corretamente e não foi detectada armadilha de foco. O portal ainda oferece 4 atalhos de salto (Alt+1 a Alt+4).</w:t>
            </w:r>
          </w:p>
        </w:tc>
      </w:tr>
      <w:tr>
        <w:tc>
          <w:tcPr>
            <w:tcW w:type="dxa" w:w="4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9</w:t>
            </w:r>
          </w:p>
        </w:tc>
        <w:tc>
          <w:tcPr>
            <w:tcW w:type="dxa" w:w="138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Indicador de foco visível</w:t>
            </w:r>
          </w:p>
        </w:tc>
        <w:tc>
          <w:tcPr>
            <w:tcW w:type="dxa" w:w="133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2.4.7 Foco visível (AA)</w:t>
            </w:r>
          </w:p>
        </w:tc>
        <w:tc>
          <w:tcPr>
            <w:tcW w:type="dxa" w:w="155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4.4 - Possibilitar que o elemento com foco seja visualmente evidente</w:t>
            </w:r>
          </w:p>
        </w:tc>
        <w:tc>
          <w:tcPr>
            <w:tcW w:type="dxa" w:w="121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Parcial</w:t>
            </w:r>
          </w:p>
        </w:tc>
        <w:tc>
          <w:tcPr>
            <w:tcW w:type="dxa" w:w="3107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Todos os 118 pontos de parada exibem indicador de foco: contorno sólido de 2px na cor rgb(241,202,127). Sobre os fundos verdes do cabeçalho e do rodapé o indicador atinge 5,81:1 e 6,96:1. Sobre o fundo branco da área de conteúdo, porém, a razão cai para 1,56:1, abaixo dos 3:1 exigidos pelo critério 1.4.11, tornando o foco pouco perceptível justamente onde está a maior parte dos links.</w:t>
            </w:r>
          </w:p>
        </w:tc>
      </w:tr>
      <w:tr>
        <w:tc>
          <w:tcPr>
            <w:tcW w:type="dxa" w:w="4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10</w:t>
            </w:r>
          </w:p>
        </w:tc>
        <w:tc>
          <w:tcPr>
            <w:tcW w:type="dxa" w:w="138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Link para pular ao conteúdo principal</w:t>
            </w:r>
          </w:p>
        </w:tc>
        <w:tc>
          <w:tcPr>
            <w:tcW w:type="dxa" w:w="133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2.4.1 Ignorar blocos (A)</w:t>
            </w:r>
          </w:p>
        </w:tc>
        <w:tc>
          <w:tcPr>
            <w:tcW w:type="dxa" w:w="155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1.5 - Fornecer âncoras para ir direto a um bloco de conteúdo</w:t>
            </w:r>
          </w:p>
        </w:tc>
        <w:tc>
          <w:tcPr>
            <w:tcW w:type="dxa" w:w="121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Conforme</w:t>
            </w:r>
          </w:p>
        </w:tc>
        <w:tc>
          <w:tcPr>
            <w:tcW w:type="dxa" w:w="3107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O portal implementa a barra de acessibilidade padrão do Governo Federal com 4 links de salto no início do documento: "Ir para o conteúdo" (Alt+1), "Ir para o menu" (Alt+2), "Ir para a busca" (Alt+3) e "Ir para o rodapé" (Alt+4), todos visíveis e funcionais.</w:t>
            </w:r>
          </w:p>
        </w:tc>
      </w:tr>
      <w:tr>
        <w:tc>
          <w:tcPr>
            <w:tcW w:type="dxa" w:w="4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138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Rótulos associados aos campos de formulário</w:t>
            </w:r>
          </w:p>
        </w:tc>
        <w:tc>
          <w:tcPr>
            <w:tcW w:type="dxa" w:w="133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3.3.2 Rótulos ou instruções / 4.1.2 Nome, função, valor (A)</w:t>
            </w:r>
          </w:p>
        </w:tc>
        <w:tc>
          <w:tcPr>
            <w:tcW w:type="dxa" w:w="155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6.2 - Associar etiquetas aos seus campos</w:t>
            </w:r>
          </w:p>
        </w:tc>
        <w:tc>
          <w:tcPr>
            <w:tcW w:type="dxa" w:w="121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Conforme</w:t>
            </w:r>
          </w:p>
        </w:tc>
        <w:tc>
          <w:tcPr>
            <w:tcW w:type="dxa" w:w="3107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Todos os campos de formulário encontrados possuem rótulo associado: o campo de busca usa &lt;label class="hiddenStructure" for="nolivesearchGadget"&gt; mais atributo title, e o formulário de acesso usa &lt;label for&gt; nos campos de usuário e senha. Nenhum campo depende apenas de placeholder.</w:t>
            </w:r>
          </w:p>
        </w:tc>
      </w:tr>
      <w:tr>
        <w:tc>
          <w:tcPr>
            <w:tcW w:type="dxa" w:w="4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12</w:t>
            </w:r>
          </w:p>
        </w:tc>
        <w:tc>
          <w:tcPr>
            <w:tcW w:type="dxa" w:w="138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Identificação e sugestão de correção de erros</w:t>
            </w:r>
          </w:p>
        </w:tc>
        <w:tc>
          <w:tcPr>
            <w:tcW w:type="dxa" w:w="133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3.3.1 Identificação do erro / 3.3.3 Sugestão de erro (A / AA)</w:t>
            </w:r>
          </w:p>
        </w:tc>
        <w:tc>
          <w:tcPr>
            <w:tcW w:type="dxa" w:w="155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6.6 - Identificar e descrever erros de entrada de dados e confirmar o envio</w:t>
            </w:r>
          </w:p>
        </w:tc>
        <w:tc>
          <w:tcPr>
            <w:tcW w:type="dxa" w:w="121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Não aplicável</w:t>
            </w:r>
          </w:p>
        </w:tc>
        <w:tc>
          <w:tcPr>
            <w:tcW w:type="dxa" w:w="3107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As páginas avaliadas não possuem formulário de entrada de dados com validação: a página "Contato" apresenta apenas informações de telefone e endereço, sem formulário de mensagem. Os únicos formulários presentes são a busca do portal e o acesso restrito. Registra-se, ainda assim, que em nenhuma das páginas há qualquer semântica de erro: zero ocorrências de required, aria-required, aria-invalid, aria-describedby ou role="alert".</w:t>
            </w:r>
          </w:p>
        </w:tc>
      </w:tr>
      <w:tr>
        <w:tc>
          <w:tcPr>
            <w:tcW w:type="dxa" w:w="4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13</w:t>
            </w:r>
          </w:p>
        </w:tc>
        <w:tc>
          <w:tcPr>
            <w:tcW w:type="dxa" w:w="138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Links com texto descritivo</w:t>
            </w:r>
          </w:p>
        </w:tc>
        <w:tc>
          <w:tcPr>
            <w:tcW w:type="dxa" w:w="133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2.4.4 Finalidade do link (no contexto) (A)</w:t>
            </w:r>
          </w:p>
        </w:tc>
        <w:tc>
          <w:tcPr>
            <w:tcW w:type="dxa" w:w="155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3.5 - Descrever links clara e sucintamente</w:t>
            </w:r>
          </w:p>
        </w:tc>
        <w:tc>
          <w:tcPr>
            <w:tcW w:type="dxa" w:w="121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Parcial</w:t>
            </w:r>
          </w:p>
        </w:tc>
        <w:tc>
          <w:tcPr>
            <w:tcW w:type="dxa" w:w="3107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Nas 3 páginas avaliadas, os 128 links da página inicial, 128 da de notícias e 54 da de contato possuem texto acessível, sem ocorrências de "clique aqui" ou equivalentes. Na página institucional de Acessibilidade, porém, dois links usam a URL crua como texto visível, que o leitor de tela soletra caractere a caractere.</w:t>
            </w:r>
          </w:p>
        </w:tc>
      </w:tr>
      <w:tr>
        <w:tc>
          <w:tcPr>
            <w:tcW w:type="dxa" w:w="4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14</w:t>
            </w:r>
          </w:p>
        </w:tc>
        <w:tc>
          <w:tcPr>
            <w:tcW w:type="dxa" w:w="138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Controle de conteúdo em movimento</w:t>
            </w:r>
          </w:p>
        </w:tc>
        <w:tc>
          <w:tcPr>
            <w:tcW w:type="dxa" w:w="133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2.2.2 Pausar, parar, ocultar (A)</w:t>
            </w:r>
          </w:p>
        </w:tc>
        <w:tc>
          <w:tcPr>
            <w:tcW w:type="dxa" w:w="155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2.7 - Assegurar o controle do usuário sobre as alterações temporais do conteúdo</w:t>
            </w:r>
          </w:p>
        </w:tc>
        <w:tc>
          <w:tcPr>
            <w:tcW w:type="dxa" w:w="121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Não conforme</w:t>
            </w:r>
          </w:p>
        </w:tc>
        <w:tc>
          <w:tcPr>
            <w:tcW w:type="dxa" w:w="3107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 leitura do script banner_rotativo.js confirma que o banner da página inicial troca de slide sozinho a cada 4000 ms, reagendando-se indefinidamente. O movimento só é suspenso enquanto o ponteiro ou o foco permanece sobre um link do banner, e não existe botão de pausar, parar ou ocultar. Isso contraria diretamente o critério 2.2.2, de Nível A.</w:t>
            </w:r>
          </w:p>
        </w:tc>
      </w:tr>
      <w:tr>
        <w:tc>
          <w:tcPr>
            <w:tcW w:type="dxa" w:w="4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15</w:t>
            </w:r>
          </w:p>
        </w:tc>
        <w:tc>
          <w:tcPr>
            <w:tcW w:type="dxa" w:w="138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Estrutura semântica e marcação válida</w:t>
            </w:r>
          </w:p>
        </w:tc>
        <w:tc>
          <w:tcPr>
            <w:tcW w:type="dxa" w:w="133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1.3.1 Informações e relações / 4.1.1 Análise / 4.1.2 Nome, função, valor (A)</w:t>
            </w:r>
          </w:p>
        </w:tc>
        <w:tc>
          <w:tcPr>
            <w:tcW w:type="dxa" w:w="155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1.1 - Respeitar os Padrões Web / 1.2 - Organizar o código HTML de forma lógica e semântica</w:t>
            </w:r>
          </w:p>
        </w:tc>
        <w:tc>
          <w:tcPr>
            <w:tcW w:type="dxa" w:w="121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Parcial</w:t>
            </w:r>
          </w:p>
        </w:tc>
        <w:tc>
          <w:tcPr>
            <w:tcW w:type="dxa" w:w="3107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Não há identificadores duplicados, iframes sem title, tabelas sem &lt;th&gt;, botões sem nome acessível nem manipuladores de evento embutidos. O portal declara as regiões role="banner", role="main" e role="contentinfo", mas nenhuma região de navegação: as três páginas servidas pelo IFAL não trazem &lt;nav&gt; nem role="navigation". O WAVE contabiliza uma região de navegação, porém ela é injetada em tempo de execução pelo script da Barra de Identidade do Governo Federal e delimita os links do gov.br, não os menus do campus. Em consequência, o axe-core apontou de 3 a 4 blocos de conteúdo fora de qualquer região em cada página.</w:t>
            </w:r>
          </w:p>
        </w:tc>
      </w:tr>
    </w:tbl>
    <w:p>
      <w:pPr>
        <w:spacing w:line="240" w:lineRule="auto" w:after="200" w:before="0"/>
        <w:jc w:val="left"/>
      </w:pPr>
      <w:r>
        <w:rPr>
          <w:rFonts w:ascii="Arial" w:hAnsi="Arial"/>
          <w:b w:val="0"/>
          <w:sz w:val="20"/>
        </w:rPr>
        <w:t>Quadro 2 - Resultado da inspeção manual pelo checklist de 15 itens. Fonte: elaborado pelos autores.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6"/>
        </w:rPr>
        <w:t>4.2 Resultados do avaliador automático WAVE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O WAVE, desenvolvido pelo WebAIM da Utah State University, sobrepõe ícones à própria renderização da página, distinguindo erros (falhas certas de acessibilidade), alertas (situações que exigem julgamento humano) e recursos (boas práticas já aplicadas). O Quadro 3 sintetiza a contagem obtida.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432"/>
        <w:gridCol w:w="1474"/>
        <w:gridCol w:w="5108"/>
      </w:tblGrid>
      <w:tr>
        <w:tc>
          <w:tcPr>
            <w:tcW w:type="dxa" w:w="2432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Categoria</w:t>
            </w:r>
          </w:p>
        </w:tc>
        <w:tc>
          <w:tcPr>
            <w:tcW w:type="dxa" w:w="1474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Quantidade</w:t>
            </w:r>
          </w:p>
        </w:tc>
        <w:tc>
          <w:tcPr>
            <w:tcW w:type="dxa" w:w="5108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O que significa</w:t>
            </w:r>
          </w:p>
        </w:tc>
      </w:tr>
      <w:tr>
        <w:tc>
          <w:tcPr>
            <w:tcW w:type="dxa" w:w="243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Errors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5108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Falhas certas que impedem o acesso por tecnologia assistiva.</w:t>
            </w:r>
          </w:p>
        </w:tc>
      </w:tr>
      <w:tr>
        <w:tc>
          <w:tcPr>
            <w:tcW w:type="dxa" w:w="243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Contrast Errors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21</w:t>
            </w:r>
          </w:p>
        </w:tc>
        <w:tc>
          <w:tcPr>
            <w:tcW w:type="dxa" w:w="5108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Textos abaixo da razão mínima de contraste exigida (WCAG 1.4.3).</w:t>
            </w:r>
          </w:p>
        </w:tc>
      </w:tr>
      <w:tr>
        <w:tc>
          <w:tcPr>
            <w:tcW w:type="dxa" w:w="243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Alerts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32</w:t>
            </w:r>
          </w:p>
        </w:tc>
        <w:tc>
          <w:tcPr>
            <w:tcW w:type="dxa" w:w="5108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Ocorrências que exigem verificação manual para confirmar a falha.</w:t>
            </w:r>
          </w:p>
        </w:tc>
      </w:tr>
      <w:tr>
        <w:tc>
          <w:tcPr>
            <w:tcW w:type="dxa" w:w="243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Features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16</w:t>
            </w:r>
          </w:p>
        </w:tc>
        <w:tc>
          <w:tcPr>
            <w:tcW w:type="dxa" w:w="5108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Recursos de acessibilidade corretamente implementados.</w:t>
            </w:r>
          </w:p>
        </w:tc>
      </w:tr>
      <w:tr>
        <w:tc>
          <w:tcPr>
            <w:tcW w:type="dxa" w:w="243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Structural Elements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42</w:t>
            </w:r>
          </w:p>
        </w:tc>
        <w:tc>
          <w:tcPr>
            <w:tcW w:type="dxa" w:w="5108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Cabeçalhos, listas e regiões que estruturam a leitura da página.</w:t>
            </w:r>
          </w:p>
        </w:tc>
      </w:tr>
      <w:tr>
        <w:tc>
          <w:tcPr>
            <w:tcW w:type="dxa" w:w="243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ARIA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5108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Atributos ARIA presentes, que podem ajudar ou atrapalhar se mal usados.</w:t>
            </w:r>
          </w:p>
        </w:tc>
      </w:tr>
    </w:tbl>
    <w:p>
      <w:pPr>
        <w:spacing w:line="240" w:lineRule="auto" w:after="200" w:before="0"/>
        <w:jc w:val="left"/>
      </w:pPr>
      <w:r>
        <w:rPr>
          <w:rFonts w:ascii="Arial" w:hAnsi="Arial"/>
          <w:b w:val="0"/>
          <w:sz w:val="20"/>
        </w:rPr>
        <w:t>Quadro 3 - Síntese do relatório WAVE. Fonte: WebAIM (wave.webaim.org).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Os erros de maior incidência relatados pela ferramenta foram: os 4 erros dividem-se em 1 "Missing alternative text" e 3 "Empty link"; os 21 erros de contraste são todos da categoria "Very low contrast". Entre os 32 alertas predominam 8 "Redundant link", 7 "Accesskey", 5 "Very small text", 2 "Noscript element", 2 "Redundant title text", 1 "Long alternative text", 1 "Missing first level heading", 1 "Broken same-page link" e 1 "YouTube video".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A ferramenta resumiu o conjunto em uma pontuação AIM de 5,3 de 10.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A leitura desses erros exige uma distinção que o próprio WAVE não faz. Três dos quatro erros não pertencem ao código que o IFAL entrega, e o quarto não pôde ser atribuído. A auditoria do código-fonte havia registrado, nas três páginas, 13, 10 e 0 imagens, nenhuma sem atributo alt, e 125, 128 e 54 links, nenhum sem texto acessível. O script barra.brasil.gov.br/barra.js, que monta a Barra de Identidade do Governo Federal em tempo de execução, contém exatamente 1 imagem sem alt e 2 âncoras vazias (&lt;a href="#" id="menu-icon"&gt;&lt;/a&gt; e a do logotipo do VLibras). Isso explica o erro de texto alternativo e dois dos três links vazios; o terceiro link vazio não foi possível atribuir com as evidências disponíveis.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O WAVE contabiliza 1 região de navegação entre os 42 elementos estruturais. Ela também vem da barra federal: o barra.js traz um único elemento &lt;nav&gt;, e as três páginas servidas pelo IFAL não trazem nenhum &lt;nav&gt; nem role="navigation". A região existente delimita os links do gov.br, não os menus do campus.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Cabe registrar a limitação intrínseca desse tipo de ferramenta: o WAVE identifica a ausência do atributo alt, mas não avalia se o texto alternativo existente descreve adequadamente a imagem. Por isso os números deste quadro representam o piso, e não o total, dos problemas de acessibilidade do sítio.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6"/>
        </w:rPr>
        <w:t>4.3 Resultados do avaliador automático ASES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O ASES é o avaliador oficial do Governo Federal brasileiro e verifica a aderência ao eMAG 3.1, atribuindo nota de 0 a 100 e agrupando as ocorrências nas seis seções do modelo. A nota geral obtida pelo sítio avaliado foi de 90,48%.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507"/>
        <w:gridCol w:w="2256"/>
        <w:gridCol w:w="2251"/>
      </w:tblGrid>
      <w:tr>
        <w:tc>
          <w:tcPr>
            <w:tcW w:type="dxa" w:w="4507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Seção do eMAG</w:t>
            </w:r>
          </w:p>
        </w:tc>
        <w:tc>
          <w:tcPr>
            <w:tcW w:type="dxa" w:w="2256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Erros</w:t>
            </w:r>
          </w:p>
        </w:tc>
        <w:tc>
          <w:tcPr>
            <w:tcW w:type="dxa" w:w="2251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Avisos</w:t>
            </w:r>
          </w:p>
        </w:tc>
      </w:tr>
      <w:tr>
        <w:tc>
          <w:tcPr>
            <w:tcW w:type="dxa" w:w="4507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1. Marcação</w:t>
            </w:r>
          </w:p>
        </w:tc>
        <w:tc>
          <w:tcPr>
            <w:tcW w:type="dxa" w:w="2256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29</w:t>
            </w:r>
          </w:p>
        </w:tc>
        <w:tc>
          <w:tcPr>
            <w:tcW w:type="dxa" w:w="2251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236</w:t>
            </w:r>
          </w:p>
        </w:tc>
      </w:tr>
      <w:tr>
        <w:tc>
          <w:tcPr>
            <w:tcW w:type="dxa" w:w="4507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2. Comportamento</w:t>
            </w:r>
          </w:p>
        </w:tc>
        <w:tc>
          <w:tcPr>
            <w:tcW w:type="dxa" w:w="2256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251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</w:tr>
      <w:tr>
        <w:tc>
          <w:tcPr>
            <w:tcW w:type="dxa" w:w="4507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3. Conteúdo / Informação</w:t>
            </w:r>
          </w:p>
        </w:tc>
        <w:tc>
          <w:tcPr>
            <w:tcW w:type="dxa" w:w="2256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2251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69</w:t>
            </w:r>
          </w:p>
        </w:tc>
      </w:tr>
      <w:tr>
        <w:tc>
          <w:tcPr>
            <w:tcW w:type="dxa" w:w="4507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4. Apresentação / Design</w:t>
            </w:r>
          </w:p>
        </w:tc>
        <w:tc>
          <w:tcPr>
            <w:tcW w:type="dxa" w:w="2256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251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>
        <w:tc>
          <w:tcPr>
            <w:tcW w:type="dxa" w:w="4507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5. Multimídia</w:t>
            </w:r>
          </w:p>
        </w:tc>
        <w:tc>
          <w:tcPr>
            <w:tcW w:type="dxa" w:w="2256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251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>
        <w:tc>
          <w:tcPr>
            <w:tcW w:type="dxa" w:w="4507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6. Formulários</w:t>
            </w:r>
          </w:p>
        </w:tc>
        <w:tc>
          <w:tcPr>
            <w:tcW w:type="dxa" w:w="2256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251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</w:tbl>
    <w:p>
      <w:pPr>
        <w:spacing w:line="240" w:lineRule="auto" w:after="200" w:before="0"/>
        <w:jc w:val="left"/>
      </w:pPr>
      <w:r>
        <w:rPr>
          <w:rFonts w:ascii="Arial" w:hAnsi="Arial"/>
          <w:b w:val="0"/>
          <w:sz w:val="20"/>
        </w:rPr>
        <w:t>Quadro 4 - Ocorrências por seção do eMAG 3.1 segundo o ASES. Fonte: asesweb.governoeletronico.gov.br.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O somatório alcança 40 erros e 310 avisos, concentrados em duas seções.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Na seção Marcação, os 29 erros vêm de 1.1 Respeitar os Padrões Web (21), 1.2 Organizar o código HTML de forma lógica e semântica (7) e 1.3 Utilizar corretamente os níveis de cabeçalho (1). Os 11 erros de Conteúdo/Informação concentram-se integralmente em 3.5 Descrever links clara e sucintamente. Os 5 avisos de Comportamento referem-se a 2.2 Garantir que os objetos programáveis sejam acessíveis. As seções Apresentação/Design, Multimídia e Formulários não apresentaram erro nem aviso.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Dois aspectos deste resultado merecem atenção. O primeiro é a distância entre a nota e a contagem bruta: uma aderência de 90,48% convive com centenas de avisos porque o ASES pondera as ocorrências pela gravidade da recomendação violada, e a maior parte dos avisos recai sobre a recomendação 1.1, de conformidade com os padrões web, cujo peso é menor. O segundo é a convergência com as demais ferramentas: o erro registrado na recomendação 1.3, sobre níveis de cabeçalho, é a mesma falha que o WAVE relata como "Missing first level heading" e que a auditoria de código-fonte havia identificado como ausência de &lt;h1&gt;. Três instrumentos independentes apontando o mesmo defeito dão a ele uma solidez que nenhum deles teria isoladamente.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6"/>
        </w:rPr>
        <w:t>4.4 Resultados do avaliador automático axe-core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O WAVE e o ASES dependem de execução interativa no navegador — o ASES, inclusive, protege o envio com CAPTCHA. Para que a etapa de avaliação automatizada não ficasse sem medição, utilizou-se o axe-core, motor de auditoria mantido pela Deque Systems e empregado, entre outras ferramentas, pela extensão Lighthouse do Google Chrome. O WAVE possui motor próprio, desenvolvido pelo WebAIM, e não se confunde com o axe-core. Motor injetado na página já renderizada em Chromium (viewport 1366x900), executando o conjunto completo de regras e separando violações de Critérios de Sucesso da WCAG das regras classificadas como boas práticas.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016"/>
        <w:gridCol w:w="1361"/>
        <w:gridCol w:w="1474"/>
        <w:gridCol w:w="1247"/>
        <w:gridCol w:w="1916"/>
      </w:tblGrid>
      <w:tr>
        <w:tc>
          <w:tcPr>
            <w:tcW w:type="dxa" w:w="3016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Página</w:t>
            </w:r>
          </w:p>
        </w:tc>
        <w:tc>
          <w:tcPr>
            <w:tcW w:type="dxa" w:w="1361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Regras aprovadas</w:t>
            </w:r>
          </w:p>
        </w:tc>
        <w:tc>
          <w:tcPr>
            <w:tcW w:type="dxa" w:w="1474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Violações WCAG A/AA</w:t>
            </w:r>
          </w:p>
        </w:tc>
        <w:tc>
          <w:tcPr>
            <w:tcW w:type="dxa" w:w="1247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Boas práticas</w:t>
            </w:r>
          </w:p>
        </w:tc>
        <w:tc>
          <w:tcPr>
            <w:tcW w:type="dxa" w:w="1916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Revisão manual</w:t>
            </w:r>
          </w:p>
        </w:tc>
      </w:tr>
      <w:tr>
        <w:tc>
          <w:tcPr>
            <w:tcW w:type="dxa" w:w="3016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/campus/maceio</w:t>
            </w:r>
          </w:p>
        </w:tc>
        <w:tc>
          <w:tcPr>
            <w:tcW w:type="dxa" w:w="1361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41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8</w:t>
            </w:r>
          </w:p>
        </w:tc>
        <w:tc>
          <w:tcPr>
            <w:tcW w:type="dxa" w:w="1916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31</w:t>
            </w:r>
          </w:p>
        </w:tc>
      </w:tr>
      <w:tr>
        <w:tc>
          <w:tcPr>
            <w:tcW w:type="dxa" w:w="3016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/campus/maceio/noticias</w:t>
            </w:r>
          </w:p>
        </w:tc>
        <w:tc>
          <w:tcPr>
            <w:tcW w:type="dxa" w:w="1361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40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916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25</w:t>
            </w:r>
          </w:p>
        </w:tc>
      </w:tr>
      <w:tr>
        <w:tc>
          <w:tcPr>
            <w:tcW w:type="dxa" w:w="3016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/campus/maceio/contato</w:t>
            </w:r>
          </w:p>
        </w:tc>
        <w:tc>
          <w:tcPr>
            <w:tcW w:type="dxa" w:w="1361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35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916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25</w:t>
            </w:r>
          </w:p>
        </w:tc>
      </w:tr>
    </w:tbl>
    <w:p>
      <w:pPr>
        <w:spacing w:line="240" w:lineRule="auto" w:after="200" w:before="0"/>
        <w:jc w:val="left"/>
      </w:pPr>
      <w:r>
        <w:rPr>
          <w:rFonts w:ascii="Arial" w:hAnsi="Arial"/>
          <w:b w:val="0"/>
          <w:sz w:val="20"/>
        </w:rPr>
        <w:t>Quadro 5 - Resultado do axe-core 4.10.2 por página avaliada. Fonte: os autores.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O resultado exige leitura cuidadosa. O axe-core não encontrou nenhuma violação direta de Critério de Sucesso da WCAG 2.1 nos níveis A e AA nas três páginas, o que confirma que a base técnica do portal, herdada do Plone com a Identidade Digital do Governo, é sólida: idioma declarado, títulos presentes, rótulos associados e nenhum identificador duplicado.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As ocorrências classificadas como boas práticas, somadas às três páginas, foram: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region — 10 ocorrência(s): All page content should be contained by landmarks.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image-redundant-alt — 4 ocorrência(s): Alternative text of images should not be repeated as text.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page-has-heading-one — 2 ocorrência(s): Page should contain a level-one heading.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A ferramenta ainda devolveu ocorrências que ela própria não consegue decidir sozinha e transfere ao avaliador humano: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color-contrast — 80 ocorrência(s): Elements must meet minimum color contrast ratio thresholds.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frame-tested — 1 ocorrência(s): Frames should be tested with axe-core.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O dado mais relevante deste quadro é justamente o que a ferramenta devolveu sem resposta: a regra de contraste apareceu como indecidível dezenas de vezes porque o texto é desenhado sobre fotografias. Isso não significa aprovação — significa que o critério 1.4.3 precisou ser medido por outro caminho, descrito na subseção seguinte.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6"/>
        </w:rPr>
        <w:t>4.5 Medição de contraste por amostragem de pixels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Amostragem de pixels reais: o texto é pintado de transparente, a área do elemento é fotografada e a cor dominante da imagem é tomada como fundo efetivo. Isso evita o erro de supor o fundo subindo a árvore do DOM, que falha quando o elemento é desenhado sobre um irmão posicionado.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29"/>
        <w:gridCol w:w="1695"/>
        <w:gridCol w:w="1695"/>
        <w:gridCol w:w="964"/>
        <w:gridCol w:w="1531"/>
      </w:tblGrid>
      <w:tr>
        <w:tc>
          <w:tcPr>
            <w:tcW w:type="dxa" w:w="3129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Elemento</w:t>
            </w:r>
          </w:p>
        </w:tc>
        <w:tc>
          <w:tcPr>
            <w:tcW w:type="dxa" w:w="1695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Texto</w:t>
            </w:r>
          </w:p>
        </w:tc>
        <w:tc>
          <w:tcPr>
            <w:tcW w:type="dxa" w:w="1695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Fundo</w:t>
            </w:r>
          </w:p>
        </w:tc>
        <w:tc>
          <w:tcPr>
            <w:tcW w:type="dxa" w:w="964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Razão</w:t>
            </w:r>
          </w:p>
        </w:tc>
        <w:tc>
          <w:tcPr>
            <w:tcW w:type="dxa" w:w="1531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Exigido</w:t>
            </w:r>
          </w:p>
        </w:tc>
      </w:tr>
      <w:tr>
        <w:tc>
          <w:tcPr>
            <w:tcW w:type="dxa" w:w="312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Botão de navegação do banner rotativo (slides 1, 3 e 4)</w:t>
            </w:r>
          </w:p>
        </w:tc>
        <w:tc>
          <w:tcPr>
            <w:tcW w:type="dxa" w:w="1695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rgb(44,103,205)</w:t>
            </w:r>
          </w:p>
        </w:tc>
        <w:tc>
          <w:tcPr>
            <w:tcW w:type="dxa" w:w="1695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rgb(14,86,31)</w:t>
            </w:r>
          </w:p>
        </w:tc>
        <w:tc>
          <w:tcPr>
            <w:tcW w:type="dxa" w:w="96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1.66:1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4.5:1</w:t>
            </w:r>
          </w:p>
        </w:tc>
      </w:tr>
      <w:tr>
        <w:tc>
          <w:tcPr>
            <w:tcW w:type="dxa" w:w="312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Botão de navegação do banner rotativo (slide ativo)</w:t>
            </w:r>
          </w:p>
        </w:tc>
        <w:tc>
          <w:tcPr>
            <w:tcW w:type="dxa" w:w="1695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rgb(44,103,205)</w:t>
            </w:r>
          </w:p>
        </w:tc>
        <w:tc>
          <w:tcPr>
            <w:tcW w:type="dxa" w:w="1695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rgb(255,180,0)</w:t>
            </w:r>
          </w:p>
        </w:tc>
        <w:tc>
          <w:tcPr>
            <w:tcW w:type="dxa" w:w="96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3.0:1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4.5:1</w:t>
            </w:r>
          </w:p>
        </w:tc>
      </w:tr>
      <w:tr>
        <w:tc>
          <w:tcPr>
            <w:tcW w:type="dxa" w:w="312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Link "Voltar para o topo"</w:t>
            </w:r>
          </w:p>
        </w:tc>
        <w:tc>
          <w:tcPr>
            <w:tcW w:type="dxa" w:w="1695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rgb(119,119,119)</w:t>
            </w:r>
          </w:p>
        </w:tc>
        <w:tc>
          <w:tcPr>
            <w:tcW w:type="dxa" w:w="1695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rgb(255,255,255)</w:t>
            </w:r>
          </w:p>
        </w:tc>
        <w:tc>
          <w:tcPr>
            <w:tcW w:type="dxa" w:w="96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4.48:1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4.5:1</w:t>
            </w:r>
          </w:p>
        </w:tc>
      </w:tr>
    </w:tbl>
    <w:p>
      <w:pPr>
        <w:spacing w:line="240" w:lineRule="auto" w:after="200" w:before="0"/>
        <w:jc w:val="left"/>
      </w:pPr>
      <w:r>
        <w:rPr>
          <w:rFonts w:ascii="Arial" w:hAnsi="Arial"/>
          <w:b w:val="0"/>
          <w:sz w:val="20"/>
        </w:rPr>
        <w:t>Quadro 6 - Reprovações de contraste confirmadas por amostragem de pixels na página renderizada. Fonte: os autores.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A reprovação mais severa é a dos botões numéricos que controlam o banner rotativo: com 1,66:1, o texto azul sobre o verde institucional fica praticamente indistinguível do fundo. São, ao mesmo tempo, os únicos controles do banner e alvos de apenas 22 por 20 pixels, o que os faz falhar também no critério 2.5.8 Tamanho do alvo (mínimo) — critério da WCAG 2.2, aqui adotado como complemento.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O indicador de foco do teclado merece registro separado. Ele está sempre presente, na cor rgb(241,202,127), e atinge 5.81:1 sobre o verde do cabeçalho e 6.96:1 sobre o verde do rodapé. Sobre o fundo branco da área de conteúdo, porém, cai para 1.56:1, abaixo dos 3.0:1 exigidos pelo critério 1.4.11. O resultado é que o foco fica nítido nas bordas da página e quase invisível exatamente onde se concentra a maior parte dos links.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Registra-se, por honestidade metodológica, o que não foi possível medir: As legendas brancas sobre as fotografias do banner rotativo não puderam ser medidas: os quatro slides ocupam a mesma posição na tela e a amostra de pixels resulta em composição das camadas. Exigem conferência visual humana no site em operação.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6"/>
        </w:rPr>
        <w:t>4.6 Evidências visuais da avaliação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As figuras a seguir registram o estado do portal no momento da avaliação e sustentam as medições apresentadas nas subseções anteriores. Todas foram capturadas em Chromium, sobre as folhas de estilo e as imagens do próprio sítio.</w:t>
      </w:r>
    </w:p>
    <w:p>
      <w:pPr>
        <w:spacing w:line="240" w:lineRule="auto" w:after="80" w:before="0"/>
        <w:jc w:val="left"/>
        <w:keepNext w:val="true"/>
        <w:keepLines w:val="true"/>
      </w:pPr>
      <w:r>
        <w:rPr>
          <w:rFonts w:ascii="Arial" w:hAnsi="Arial"/>
          <w:b w:val="0"/>
          <w:sz w:val="20"/>
        </w:rPr>
        <w:t>Figura 1 - Barra de acessibilidade do portal. O portal declara sete teclas de acesso (accesskey): quatro atalhos de salto (Alt+1 conteúdo, Alt+2 menu, Alt+3 busca, Alt+4 rodapé) e mais três para Acessibilidade, Alto Contraste e Mapa do site.</w:t>
      </w:r>
    </w:p>
    <w:p>
      <w:pPr>
        <w:jc w:val="center"/>
        <w:keepNext w:val="true"/>
        <w:keepLines w:val="true"/>
      </w:pPr>
      <w:r>
        <w:drawing>
          <wp:inline xmlns:a="http://schemas.openxmlformats.org/drawingml/2006/main" xmlns:pic="http://schemas.openxmlformats.org/drawingml/2006/picture">
            <wp:extent cx="5580000" cy="1470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topo-barra-acessibilida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7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 w:before="0"/>
        <w:jc w:val="left"/>
      </w:pPr>
      <w:r>
        <w:rPr>
          <w:rFonts w:ascii="Arial" w:hAnsi="Arial"/>
          <w:b w:val="0"/>
          <w:sz w:val="20"/>
        </w:rPr>
        <w:t>Fonte: os autores.</w:t>
      </w:r>
    </w:p>
    <w:p>
      <w:pPr>
        <w:spacing w:line="240" w:lineRule="auto" w:after="80" w:before="0"/>
        <w:jc w:val="left"/>
        <w:keepNext w:val="true"/>
        <w:keepLines w:val="true"/>
      </w:pPr>
      <w:r>
        <w:rPr>
          <w:rFonts w:ascii="Arial" w:hAnsi="Arial"/>
          <w:b w:val="0"/>
          <w:sz w:val="20"/>
        </w:rPr>
        <w:t>Figura 2 - Banner rotativo da página inicial. Os botões numéricos no canto inferior direito são os únicos controles do carrossel: medem 22 por 20 pixels, apresentam razão de contraste de 1,66:1 e sinalizam o slide em exibição apenas pela cor de fundo.</w:t>
      </w:r>
    </w:p>
    <w:p>
      <w:pPr>
        <w:jc w:val="center"/>
        <w:keepNext w:val="true"/>
        <w:keepLines w:val="true"/>
      </w:pPr>
      <w:r>
        <w:drawing>
          <wp:inline xmlns:a="http://schemas.openxmlformats.org/drawingml/2006/main" xmlns:pic="http://schemas.openxmlformats.org/drawingml/2006/picture">
            <wp:extent cx="5580000" cy="432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arrossel-banner-rotativ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2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 w:before="0"/>
        <w:jc w:val="left"/>
      </w:pPr>
      <w:r>
        <w:rPr>
          <w:rFonts w:ascii="Arial" w:hAnsi="Arial"/>
          <w:b w:val="0"/>
          <w:sz w:val="20"/>
        </w:rPr>
        <w:t>Fonte: os autores.</w:t>
      </w:r>
    </w:p>
    <w:p>
      <w:pPr>
        <w:spacing w:line="240" w:lineRule="auto" w:after="80" w:before="0"/>
        <w:jc w:val="left"/>
        <w:keepNext w:val="true"/>
        <w:keepLines w:val="true"/>
      </w:pPr>
      <w:r>
        <w:rPr>
          <w:rFonts w:ascii="Arial" w:hAnsi="Arial"/>
          <w:b w:val="0"/>
          <w:sz w:val="20"/>
        </w:rPr>
        <w:t>Figura 3 - Indicador de foco do teclado sobre o link Acessibilidade. Sobre o verde do cabeçalho o contorno âmbar é nítido (5,81:1); sobre o branco da área de conteúdo cai para 1,56:1.</w:t>
      </w:r>
    </w:p>
    <w:p>
      <w:pPr>
        <w:jc w:val="center"/>
        <w:keepNext w:val="true"/>
        <w:keepLines w:val="true"/>
      </w:pPr>
      <w:r>
        <w:drawing>
          <wp:inline xmlns:a="http://schemas.openxmlformats.org/drawingml/2006/main" xmlns:pic="http://schemas.openxmlformats.org/drawingml/2006/picture">
            <wp:extent cx="5580000" cy="16339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oco-tecla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3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 w:before="0"/>
        <w:jc w:val="left"/>
      </w:pPr>
      <w:r>
        <w:rPr>
          <w:rFonts w:ascii="Arial" w:hAnsi="Arial"/>
          <w:b w:val="0"/>
          <w:sz w:val="20"/>
        </w:rPr>
        <w:t>Fonte: os autores.</w:t>
      </w:r>
    </w:p>
    <w:p>
      <w:pPr>
        <w:spacing w:line="240" w:lineRule="auto" w:after="80" w:before="0"/>
        <w:jc w:val="left"/>
        <w:keepNext w:val="true"/>
        <w:keepLines w:val="true"/>
      </w:pPr>
      <w:r>
        <w:rPr>
          <w:rFonts w:ascii="Arial" w:hAnsi="Arial"/>
          <w:b w:val="0"/>
          <w:sz w:val="20"/>
        </w:rPr>
        <w:t>Figura 4 - Página inicial renderizada em 320 pixels de largura com o script da Barra do Governo Federal bloqueado. A faixa cinza do topo é a marcação provisória "Atualize sua Barra de Governo", cortada à direita: é ela, e só ela, que faz o conteúdo ocupar 330 pixels. Com o script carregado o conteúdo mede 320 pixels e o critério 1.4.10 é atendido.</w:t>
      </w:r>
    </w:p>
    <w:p>
      <w:pPr>
        <w:jc w:val="center"/>
        <w:keepNext w:val="true"/>
        <w:keepLines w:val="true"/>
      </w:pPr>
      <w:r>
        <w:drawing>
          <wp:inline xmlns:a="http://schemas.openxmlformats.org/drawingml/2006/main" xmlns:pic="http://schemas.openxmlformats.org/drawingml/2006/picture">
            <wp:extent cx="2736000" cy="68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flow-320p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 w:before="0"/>
        <w:jc w:val="left"/>
      </w:pPr>
      <w:r>
        <w:rPr>
          <w:rFonts w:ascii="Arial" w:hAnsi="Arial"/>
          <w:b w:val="0"/>
          <w:sz w:val="20"/>
        </w:rPr>
        <w:t>Fonte: os autores.</w:t>
      </w:r>
    </w:p>
    <w:p>
      <w:pPr>
        <w:spacing w:line="240" w:lineRule="auto" w:after="80" w:before="0"/>
        <w:jc w:val="left"/>
        <w:keepNext w:val="true"/>
        <w:keepLines w:val="true"/>
      </w:pPr>
      <w:r>
        <w:rPr>
          <w:rFonts w:ascii="Arial" w:hAnsi="Arial"/>
          <w:b w:val="0"/>
          <w:sz w:val="20"/>
        </w:rPr>
        <w:t>Figura 5 - Página institucional de Acessibilidade, publicada em 2013 e modificada pela última vez em 2020. Descreve apenas três das sete teclas de acesso declaradas pelo portal e expande a sigla WCAG incorretamente.</w:t>
      </w:r>
    </w:p>
    <w:p>
      <w:pPr>
        <w:jc w:val="center"/>
        <w:keepNext w:val="true"/>
        <w:keepLines w:val="true"/>
      </w:pPr>
      <w:r>
        <w:drawing>
          <wp:inline xmlns:a="http://schemas.openxmlformats.org/drawingml/2006/main" xmlns:pic="http://schemas.openxmlformats.org/drawingml/2006/picture">
            <wp:extent cx="2724829" cy="68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agina-acessibilid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24829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 w:before="0"/>
        <w:jc w:val="left"/>
      </w:pPr>
      <w:r>
        <w:rPr>
          <w:rFonts w:ascii="Arial" w:hAnsi="Arial"/>
          <w:b w:val="0"/>
          <w:sz w:val="20"/>
        </w:rPr>
        <w:t>Fonte: os autores.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6"/>
        </w:rPr>
        <w:t>4.7 Recurso de tradução para Libras (VLibras)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O portal disponibiliza o VLibras, tradutor automático de Português para Língua Brasileira de Sinais mantido pelo Governo Federal, por meio de um botão flutuante presente em todas as páginas. O recurso é injetado pela Barra de Identidade do Governo Federal (barra.brasil.gov.br/barra.js), presente em todas as páginas do portal.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O modo como esse recurso foi identificado merece registro metodológico, por expor um limite comum a todas as frentes automatizadas empregadas. O widget não existe no HTML entregue pelo servidor: é inserido em tempo de execução por script de terceiro. A busca pelo termo "vlibras" no código-fonte das três páginas do recorte, e também na página institucional de Acessibilidade, retorna zero ocorrências, e o domínio barra.brasil.gov.br não carregou no espelho local usado para as medições de renderização. O recurso só apareceu porque um dos avaliadores abriu o portal em seu próprio aparelho Android e fotografou a tela, episódio que ilustra de forma concreta a razão pela qual o W3C recomenda que a avaliação automática jamais seja empregada isoladamente.</w:t>
      </w:r>
    </w:p>
    <w:p>
      <w:pPr>
        <w:spacing w:line="240" w:lineRule="auto" w:after="80" w:before="0"/>
        <w:jc w:val="left"/>
        <w:keepNext w:val="true"/>
        <w:keepLines w:val="true"/>
      </w:pPr>
      <w:r>
        <w:rPr>
          <w:rFonts w:ascii="Arial" w:hAnsi="Arial"/>
          <w:b w:val="0"/>
          <w:sz w:val="20"/>
        </w:rPr>
        <w:t>Figura 6 - Botão flutuante do VLibras, à direita, sobre a página institucional de Acessibilidade aberta em aparelho Android. Na mesma captura aparece o link que exibe a URL completa do Decreto n. 5.296/2004 como texto visível.</w:t>
      </w:r>
    </w:p>
    <w:p>
      <w:pPr>
        <w:jc w:val="center"/>
        <w:keepNext w:val="true"/>
        <w:keepLines w:val="true"/>
      </w:pPr>
      <w:r>
        <w:drawing>
          <wp:inline xmlns:a="http://schemas.openxmlformats.org/drawingml/2006/main" xmlns:pic="http://schemas.openxmlformats.org/drawingml/2006/picture">
            <wp:extent cx="5580000" cy="193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vlibras-botao-flutuant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 w:before="0"/>
        <w:jc w:val="left"/>
      </w:pPr>
      <w:r>
        <w:rPr>
          <w:rFonts w:ascii="Arial" w:hAnsi="Arial"/>
          <w:b w:val="0"/>
          <w:sz w:val="20"/>
        </w:rPr>
        <w:t>Fonte: captura feita pelos autores em aparelho real.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Há, porém, uma incoerência a assinalar. A página institucional de Acessibilidade não menciona Libras nem o VLibras em nenhum momento: o portal oferece o recurso, mas não o informa a quem procuraria por ele. Um recurso de acessibilidade que o público não sabe existir tem seu alcance reduzido, e a própria página que deveria anunciá-lo é a que o omite.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Delimita-se o alcance desta constatação: registra-se a presença do recurso, não a sua qualidade. Por não ter carregado no ambiente de medição, o próprio widget não foi avaliado quanto a contraste, tamanho de alvo, nome acessível ou operação por teclado. Fica como item para a inspeção presencial da equipe.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6"/>
        </w:rPr>
        <w:t>4.8 Resultados da auditoria programática do código-fonte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Como quarta frente de verificação, ao lado do WAVE, do ASES e do axe-core, desenvolveu-se um auditor próprio em Python (ferramenta/auditor_wcag.py), que percorre o HTML das páginas e verifica programaticamente os nove itens automatizáveis do checklist. Seu papel é servir de conferência cruzada aos avaliadores comerciais e permitir reexecutar a medição sempre que o sítio for atualizado.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946"/>
        <w:gridCol w:w="1242"/>
        <w:gridCol w:w="1242"/>
        <w:gridCol w:w="1015"/>
        <w:gridCol w:w="1570"/>
      </w:tblGrid>
      <w:tr>
        <w:tc>
          <w:tcPr>
            <w:tcW w:type="dxa" w:w="3946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Página auditada</w:t>
            </w:r>
          </w:p>
        </w:tc>
        <w:tc>
          <w:tcPr>
            <w:tcW w:type="dxa" w:w="1242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Não conf.</w:t>
            </w:r>
          </w:p>
        </w:tc>
        <w:tc>
          <w:tcPr>
            <w:tcW w:type="dxa" w:w="1242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Conformes</w:t>
            </w:r>
          </w:p>
        </w:tc>
        <w:tc>
          <w:tcPr>
            <w:tcW w:type="dxa" w:w="1015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Manual</w:t>
            </w:r>
          </w:p>
        </w:tc>
        <w:tc>
          <w:tcPr>
            <w:tcW w:type="dxa" w:w="1570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Ocorrências</w:t>
            </w:r>
          </w:p>
        </w:tc>
      </w:tr>
      <w:tr>
        <w:tc>
          <w:tcPr>
            <w:tcW w:type="dxa" w:w="3946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https://www2.ifal.edu.br/campus/maceio</w:t>
            </w:r>
          </w:p>
        </w:tc>
        <w:tc>
          <w:tcPr>
            <w:tcW w:type="dxa" w:w="124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24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6</w:t>
            </w:r>
          </w:p>
        </w:tc>
        <w:tc>
          <w:tcPr>
            <w:tcW w:type="dxa" w:w="1015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7</w:t>
            </w:r>
          </w:p>
        </w:tc>
        <w:tc>
          <w:tcPr>
            <w:tcW w:type="dxa" w:w="157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</w:tr>
      <w:tr>
        <w:tc>
          <w:tcPr>
            <w:tcW w:type="dxa" w:w="3946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https://www2.ifal.edu.br/campus/maceio/noticias</w:t>
            </w:r>
          </w:p>
        </w:tc>
        <w:tc>
          <w:tcPr>
            <w:tcW w:type="dxa" w:w="124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124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8</w:t>
            </w:r>
          </w:p>
        </w:tc>
        <w:tc>
          <w:tcPr>
            <w:tcW w:type="dxa" w:w="1015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7</w:t>
            </w:r>
          </w:p>
        </w:tc>
        <w:tc>
          <w:tcPr>
            <w:tcW w:type="dxa" w:w="157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>
        <w:tc>
          <w:tcPr>
            <w:tcW w:type="dxa" w:w="3946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https://www2.ifal.edu.br/campus/maceio/contato</w:t>
            </w:r>
          </w:p>
        </w:tc>
        <w:tc>
          <w:tcPr>
            <w:tcW w:type="dxa" w:w="124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124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6</w:t>
            </w:r>
          </w:p>
        </w:tc>
        <w:tc>
          <w:tcPr>
            <w:tcW w:type="dxa" w:w="1015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7</w:t>
            </w:r>
          </w:p>
        </w:tc>
        <w:tc>
          <w:tcPr>
            <w:tcW w:type="dxa" w:w="157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</w:tr>
    </w:tbl>
    <w:p>
      <w:pPr>
        <w:spacing w:line="240" w:lineRule="auto" w:after="200" w:before="0"/>
        <w:jc w:val="left"/>
      </w:pPr>
      <w:r>
        <w:rPr>
          <w:rFonts w:ascii="Arial" w:hAnsi="Arial"/>
          <w:b w:val="0"/>
          <w:sz w:val="20"/>
        </w:rPr>
        <w:t>Quadro 7 - Síntese da auditoria programática por página. Fonte: elaborado pelos autores.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A página com maior número de ocorrências foi https://www2.ifal.edu.br/campus/maceio, com 3 problemas somados. O detalhamento das falhas identificadas nessa página é apresentado no Quadro 8.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05"/>
        <w:gridCol w:w="2256"/>
        <w:gridCol w:w="6253"/>
      </w:tblGrid>
      <w:tr>
        <w:tc>
          <w:tcPr>
            <w:tcW w:type="dxa" w:w="505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2256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Item</w:t>
            </w:r>
          </w:p>
        </w:tc>
        <w:tc>
          <w:tcPr>
            <w:tcW w:type="dxa" w:w="6253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Diagnóstico automático</w:t>
            </w:r>
          </w:p>
        </w:tc>
      </w:tr>
      <w:tr>
        <w:tc>
          <w:tcPr>
            <w:tcW w:type="dxa" w:w="505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2256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Hierarquia de cabeçalhos</w:t>
            </w:r>
          </w:p>
        </w:tc>
        <w:tc>
          <w:tcPr>
            <w:tcW w:type="dxa" w:w="625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15 cabeçalhos; 0 elemento(s) h1; 0 salto(s) de nível; 0 cabeçalho(s) vazio(s).</w:t>
            </w:r>
          </w:p>
        </w:tc>
      </w:tr>
      <w:tr>
        <w:tc>
          <w:tcPr>
            <w:tcW w:type="dxa" w:w="505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13</w:t>
            </w:r>
          </w:p>
        </w:tc>
        <w:tc>
          <w:tcPr>
            <w:tcW w:type="dxa" w:w="2256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Links com texto descritivo</w:t>
            </w:r>
          </w:p>
        </w:tc>
        <w:tc>
          <w:tcPr>
            <w:tcW w:type="dxa" w:w="625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125 links; 0 sem texto acessível; 2 com texto genérico ou URL crua.</w:t>
            </w:r>
          </w:p>
        </w:tc>
      </w:tr>
    </w:tbl>
    <w:p>
      <w:pPr>
        <w:spacing w:line="240" w:lineRule="auto" w:after="200" w:before="0"/>
        <w:jc w:val="left"/>
      </w:pPr>
      <w:r>
        <w:rPr>
          <w:rFonts w:ascii="Arial" w:hAnsi="Arial"/>
          <w:b w:val="0"/>
          <w:sz w:val="20"/>
        </w:rPr>
        <w:t>Quadro 8 - Falhas detectadas pela auditoria programática. Fonte: elaborado pelos autores.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6"/>
        </w:rPr>
        <w:t>4.9 Simulação automatizada de acesso por smartphone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Para tornar a avaliação mobile reproduzível e verificável, construiu-se um ambiente de teste automatizado (ferramenta/simulador_mobile.py) que emula um aparelho real em Chromium - com viewport, densidade de pixels, eventos de toque e user-agent móveis - e executa seis baterias de medição. A principal delas percorre a árvore de acessibilidade da página, que é exatamente a estrutura consumida pelo TalkBack e pelo VoiceOver, e produz a transcrição do que seria anunciado ao usuário a cada deslize.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A simulação foi executada sobre uma cópia local fiel da página inicial do portal, servida em servidor HTTP próprio porque o navegador de automação deste ambiente não estabelece a conexão TLS com o sítio, emulando o aparelho Google Pixel 7 (TalkBack) em viewport de 412x915 pixels lógicos. O Quadro 9 reúne as medições.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6"/>
        <w:gridCol w:w="2030"/>
        <w:gridCol w:w="3379"/>
      </w:tblGrid>
      <w:tr>
        <w:tc>
          <w:tcPr>
            <w:tcW w:type="dxa" w:w="3606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Medição</w:t>
            </w:r>
          </w:p>
        </w:tc>
        <w:tc>
          <w:tcPr>
            <w:tcW w:type="dxa" w:w="2030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Resultado</w:t>
            </w:r>
          </w:p>
        </w:tc>
        <w:tc>
          <w:tcPr>
            <w:tcW w:type="dxa" w:w="3379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Critério WCAG 2.1</w:t>
            </w:r>
          </w:p>
        </w:tc>
      </w:tr>
      <w:tr>
        <w:tc>
          <w:tcPr>
            <w:tcW w:type="dxa" w:w="3606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Elementos anunciados sem rótulo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337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1.1.1 / 4.1.2 (A)</w:t>
            </w:r>
          </w:p>
        </w:tc>
      </w:tr>
      <w:tr>
        <w:tc>
          <w:tcPr>
            <w:tcW w:type="dxa" w:w="3606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Deslizes até o conteúdo principal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337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2.4.1 (A)</w:t>
            </w:r>
          </w:p>
        </w:tc>
      </w:tr>
      <w:tr>
        <w:tc>
          <w:tcPr>
            <w:tcW w:type="dxa" w:w="3606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Elementos focáveis sem foco visível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337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2.4.7 (AA)</w:t>
            </w:r>
          </w:p>
        </w:tc>
      </w:tr>
      <w:tr>
        <w:tc>
          <w:tcPr>
            <w:tcW w:type="dxa" w:w="3606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Elementos focáveis sem nome acessível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9</w:t>
            </w:r>
          </w:p>
        </w:tc>
        <w:tc>
          <w:tcPr>
            <w:tcW w:type="dxa" w:w="337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4.1.2 (A)</w:t>
            </w:r>
          </w:p>
        </w:tc>
      </w:tr>
      <w:tr>
        <w:tc>
          <w:tcPr>
            <w:tcW w:type="dxa" w:w="3606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Armadilha de foco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não detectada</w:t>
            </w:r>
          </w:p>
        </w:tc>
        <w:tc>
          <w:tcPr>
            <w:tcW w:type="dxa" w:w="337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2.1.2 (A)</w:t>
            </w:r>
          </w:p>
        </w:tc>
      </w:tr>
      <w:tr>
        <w:tc>
          <w:tcPr>
            <w:tcW w:type="dxa" w:w="3606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Alvos de toque menores que 24x24 px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23</w:t>
            </w:r>
          </w:p>
        </w:tc>
        <w:tc>
          <w:tcPr>
            <w:tcW w:type="dxa" w:w="337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2.5.8 (AA, WCAG 2.2)</w:t>
            </w:r>
          </w:p>
        </w:tc>
      </w:tr>
      <w:tr>
        <w:tc>
          <w:tcPr>
            <w:tcW w:type="dxa" w:w="3606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Alvos de toque menores que 44x44 px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44</w:t>
            </w:r>
          </w:p>
        </w:tc>
        <w:tc>
          <w:tcPr>
            <w:tcW w:type="dxa" w:w="337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2.5.5 (AAA)</w:t>
            </w:r>
          </w:p>
        </w:tc>
      </w:tr>
      <w:tr>
        <w:tc>
          <w:tcPr>
            <w:tcW w:type="dxa" w:w="3606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Rolagem horizontal em 320 px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não</w:t>
            </w:r>
          </w:p>
        </w:tc>
        <w:tc>
          <w:tcPr>
            <w:tcW w:type="dxa" w:w="337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1.4.10 (AA)</w:t>
            </w:r>
          </w:p>
        </w:tc>
      </w:tr>
      <w:tr>
        <w:tc>
          <w:tcPr>
            <w:tcW w:type="dxa" w:w="3606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Zoom bloqueado pela meta viewport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não</w:t>
            </w:r>
          </w:p>
        </w:tc>
        <w:tc>
          <w:tcPr>
            <w:tcW w:type="dxa" w:w="337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1.4.4 (AA)</w:t>
            </w:r>
          </w:p>
        </w:tc>
      </w:tr>
      <w:tr>
        <w:tc>
          <w:tcPr>
            <w:tcW w:type="dxa" w:w="3606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Trechos reprovados no contraste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0 de 56</w:t>
            </w:r>
          </w:p>
        </w:tc>
        <w:tc>
          <w:tcPr>
            <w:tcW w:type="dxa" w:w="337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1.4.3 (AA)</w:t>
            </w:r>
          </w:p>
        </w:tc>
      </w:tr>
    </w:tbl>
    <w:p>
      <w:pPr>
        <w:spacing w:line="240" w:lineRule="auto" w:after="200" w:before="0"/>
        <w:jc w:val="left"/>
      </w:pPr>
      <w:r>
        <w:rPr>
          <w:rFonts w:ascii="Arial" w:hAnsi="Arial"/>
          <w:b w:val="0"/>
          <w:sz w:val="20"/>
        </w:rPr>
        <w:t>Quadro 9 - Medições da simulação automatizada em smartphone. Fonte: elaborado pelos autores.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Três linhas deste quadro pedem leitura cuidadosa, porque à primeira vista contradizem seções anteriores.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Os elementos sem nome acessível e o único elemento sem foco visível não pertencem ao código do IFAL. Conferidos na árvore de acessibilidade do próprio navegador, são três links da Barra de Identidade do Governo Federal — o ícone de menu, o logotipo do VLibras e o selo Acesso à Informação — e é também o link do VLibras o que não recebe contorno de foco. Nenhum deles existe no HTML servido pelo IFAL, o que mantém válido o resultado do item 15 do checklist. A contagem maior que aparece no quadro vem da heurística do próprio simulador, que procura o nome no texto do elemento e não na árvore de acessibilidade, e por isso não enxerga o nome que vem do atributo alt de uma imagem interna.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O contraste desta bateria aparece sem reprovação alguma, em aparente conflito com as três reprovações da seção 4.5. A explicação é simples e vale como limitação registrada: a bateria descarta trechos com menos de dois caracteres, e os controles do banner rotativo — onde estão as duas piores razões medidas — são dígitos isolados, de 1 a 4. Eles nunca entram nesta amostra. Quem os mede é a amostragem de pixels da seção 4.5, e é ela que vale.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O Quadro 10 reproduz os primeiros anúncios que o leitor de tela emitiria ao percorrer a página, permitindo verificar como a estrutura do código se converte em experiência sonora.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242"/>
        <w:gridCol w:w="7773"/>
      </w:tblGrid>
      <w:tr>
        <w:tc>
          <w:tcPr>
            <w:tcW w:type="dxa" w:w="1242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Deslize</w:t>
            </w:r>
          </w:p>
        </w:tc>
        <w:tc>
          <w:tcPr>
            <w:tcW w:type="dxa" w:w="7773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Anúncio do leitor de tela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77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lista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777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lista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777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lista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777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cabeçalho da página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777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região principal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6</w:t>
            </w:r>
          </w:p>
        </w:tc>
        <w:tc>
          <w:tcPr>
            <w:tcW w:type="dxa" w:w="777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rodapé da página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7</w:t>
            </w:r>
          </w:p>
        </w:tc>
        <w:tc>
          <w:tcPr>
            <w:tcW w:type="dxa" w:w="777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item de lista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8</w:t>
            </w:r>
          </w:p>
        </w:tc>
        <w:tc>
          <w:tcPr>
            <w:tcW w:type="dxa" w:w="777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item de lista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9</w:t>
            </w:r>
          </w:p>
        </w:tc>
        <w:tc>
          <w:tcPr>
            <w:tcW w:type="dxa" w:w="777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item de lista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10</w:t>
            </w:r>
          </w:p>
        </w:tc>
        <w:tc>
          <w:tcPr>
            <w:tcW w:type="dxa" w:w="777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item de lista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77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item de lista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12</w:t>
            </w:r>
          </w:p>
        </w:tc>
        <w:tc>
          <w:tcPr>
            <w:tcW w:type="dxa" w:w="777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ESPAÑOL, link</w:t>
            </w:r>
          </w:p>
        </w:tc>
      </w:tr>
    </w:tbl>
    <w:p>
      <w:pPr>
        <w:spacing w:line="240" w:lineRule="auto" w:after="200" w:before="0"/>
        <w:jc w:val="left"/>
      </w:pPr>
      <w:r>
        <w:rPr>
          <w:rFonts w:ascii="Arial" w:hAnsi="Arial"/>
          <w:b w:val="0"/>
          <w:sz w:val="20"/>
        </w:rPr>
        <w:t>Quadro 10 - Transcrição dos anúncios do leitor de tela. Fonte: elaborado pelos autores.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6"/>
        </w:rPr>
        <w:t>4.10 Tarefa complementar: uso real com leitor de tela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A simulação automatizada mede o que a máquina consegue medir; a experiência de uso, porém, só se revela no uso. Por isso a avaliação foi complementada com um teste presencial: um dos autores acessou o sítio pelo próprio smartphone, com o leitor de tela ativado e a tela desligada do seu campo de visão, e tentou executar uma tarefa real de ponta a ponta.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379"/>
        <w:gridCol w:w="5635"/>
      </w:tblGrid>
      <w:tr>
        <w:tc>
          <w:tcPr>
            <w:tcW w:type="dxa" w:w="3379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Parâmetro do teste</w:t>
            </w:r>
          </w:p>
        </w:tc>
        <w:tc>
          <w:tcPr>
            <w:tcW w:type="dxa" w:w="5635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Registro</w:t>
            </w:r>
          </w:p>
        </w:tc>
      </w:tr>
      <w:tr>
        <w:tc>
          <w:tcPr>
            <w:tcW w:type="dxa" w:w="337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Aparelho utilizado</w:t>
            </w:r>
          </w:p>
        </w:tc>
        <w:tc>
          <w:tcPr>
            <w:tcW w:type="dxa" w:w="5635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Samsung Galaxy A15 5G</w:t>
            </w:r>
          </w:p>
        </w:tc>
      </w:tr>
      <w:tr>
        <w:tc>
          <w:tcPr>
            <w:tcW w:type="dxa" w:w="337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Sistema operacional</w:t>
            </w:r>
          </w:p>
        </w:tc>
        <w:tc>
          <w:tcPr>
            <w:tcW w:type="dxa" w:w="5635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Android 16</w:t>
            </w:r>
          </w:p>
        </w:tc>
      </w:tr>
      <w:tr>
        <w:tc>
          <w:tcPr>
            <w:tcW w:type="dxa" w:w="337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Leitor de tela</w:t>
            </w:r>
          </w:p>
        </w:tc>
        <w:tc>
          <w:tcPr>
            <w:tcW w:type="dxa" w:w="5635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TalkBack</w:t>
            </w:r>
          </w:p>
        </w:tc>
      </w:tr>
      <w:tr>
        <w:tc>
          <w:tcPr>
            <w:tcW w:type="dxa" w:w="337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Tarefa proposta</w:t>
            </w:r>
          </w:p>
        </w:tc>
        <w:tc>
          <w:tcPr>
            <w:tcW w:type="dxa" w:w="5635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Localizar, a partir da página inicial, o edital mais recente publicado pelo campus e abrir o documento correspondente.</w:t>
            </w:r>
          </w:p>
        </w:tc>
      </w:tr>
      <w:tr>
        <w:tc>
          <w:tcPr>
            <w:tcW w:type="dxa" w:w="337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Tempo gasto</w:t>
            </w:r>
          </w:p>
        </w:tc>
        <w:tc>
          <w:tcPr>
            <w:tcW w:type="dxa" w:w="5635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primeira tentativa abandonada aos 12 min 4 s; segunda tentativa concluída em 10 min 16 s</w:t>
            </w:r>
          </w:p>
        </w:tc>
      </w:tr>
      <w:tr>
        <w:tc>
          <w:tcPr>
            <w:tcW w:type="dxa" w:w="3379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Tarefa concluída</w:t>
            </w:r>
          </w:p>
        </w:tc>
        <w:tc>
          <w:tcPr>
            <w:tcW w:type="dxa" w:w="5635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Sim, na segunda tentativa</w:t>
            </w:r>
          </w:p>
        </w:tc>
      </w:tr>
    </w:tbl>
    <w:p>
      <w:pPr>
        <w:spacing w:line="240" w:lineRule="auto" w:after="200" w:before="0"/>
        <w:jc w:val="left"/>
      </w:pPr>
      <w:r>
        <w:rPr>
          <w:rFonts w:ascii="Arial" w:hAnsi="Arial"/>
          <w:b w:val="0"/>
          <w:sz w:val="20"/>
        </w:rPr>
        <w:t>Quadro 11 - Condições do teste com leitor de tela. Fonte: elaborado pelos autores.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Relato da experiência: A primeira tentativa não chegou ao edital. Foram necessários 5 min 30 s apenas para concluir o tutorial do TalkBack, seguidos de 5 min de tentativas frustradas para sair da própria tela de configuração do aparelho e 8 min 46 s para conseguir desativar o leitor. Já no portal, a busca pelo edital foi abandonada aos 12 min 4 s. Na segunda tentativa, depois de desativar os atalhos de gesto, a navegação fluiu e a tarefa foi concluída em 10 min 16 s, contados do painel de ativação do TalkBack até abrir o primeiro edital.</w:t>
        <w:br/>
        <w:br/>
        <w:t>A utilização do TalkBack mostrou-se desafiadora desde o momento de sua ativação. Inicialmente, foram observadas dificuldades relacionadas à própria navegação nas configurações do dispositivo, incluindo a saída da página de configuração e a compreensão dos comandos necessários para a movimentação pela interface.</w:t>
        <w:br/>
        <w:br/>
        <w:t>Durante a avaliação, verificou-se que o TalkBack apresenta uma sequência de leitura diferente daquela normalmente utilizada por quem não depende de leitores de tela. Essa característica dificultou a compreensão da estrutura da interface e exigiu um período maior de adaptação aos comandos e à lógica de navegação do recurso.</w:t>
        <w:br/>
        <w:br/>
        <w:t>A navegação até o navegador Google Chrome foi a etapa mais simples do processo. Em seguida, realizou-se a pesquisa por comandos de voz. Na primeira tentativa houve dificuldade para concluir a tarefa; na segunda, foi possível realizá-la com êxito.</w:t>
        <w:br/>
        <w:br/>
        <w:t>Apesar da conclusão da atividade, o processo foi considerado bastante dificultoso, principalmente em razão da sequência de leitura apresentada pelo TalkBack e da quantidade de elementos que precisavam ser percorridos antes de alcançar a informação desejada. A experiência evidenciou a importância de uma organização adequada dos elementos da interface e de uma sequência de navegação coerente para proporcionar maior eficiência a quem utiliza tecnologia assistiva.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A confrontação entre este relato e as medições automatizadas da seção anterior é o ponto central da avaliação: cada elemento anunciado sem rótulo contado no Quadro 9 corresponde, na experiência real, a um momento de interrupção em que o usuário precisa adivinhar a função do que está tocando.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Cabe separar, no relato acima, o que é do portal e o que é da tecnologia assistiva. Boa parte do tempo da primeira tentativa foi consumida pela curva de aprendizado do próprio TalkBack e pela navegação no sistema operacional, não pelo portal avaliado. Registrar essa distinção é necessário para não atribuir ao sítio uma dificuldade que pertence à tecnologia assistiva. O que cabe ao portal é o trecho final: a quantidade de elementos a percorrer até alcançar o edital, apesar de existirem os quatro atalhos de salto da barra de acessibilidade, e a sequência de leitura percebida como pouco coerente com a organização visual da página — indícios que remetem aos critérios 1.3.2 Sequência significativa e 2.4.3 Ordem de foco. Registre-se que esses dois critérios não foram medidos formalmente nas páginas avaliadas e por isso não entram na análise de conformidade da seção 4.11: são observações extraídas da experiência de uso, que indicam onde uma próxima medição deveria olhar.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6"/>
        </w:rPr>
        <w:t>4.11 Análise do nível de conformidade WCAG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A WCAG 2.1 organiza seus 78 critérios de sucesso em três níveis cumulativos. O Nível A reúne os requisitos mínimos, cuja ausência torna o conteúdo inacessível para grupos inteiros de usuários. O Nível AA acrescenta os requisitos que removem as barreiras mais significativas e constitui o patamar exigido da administração pública brasileira e adotado como referência pela legislação de diversos países. O Nível AAA compreende o refinamento máximo, nem sempre aplicável a todo tipo de conteúdo.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A regra de conformidade é estrita e não admite compensação: a página só é conforme em determinado nível se atender integralmente a todos os critérios daquele nível e dos níveis anteriores. Uma única falha de Nível A, portanto, impede a conformidade mesmo que todos os demais critérios estejam satisfeitos.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Aplicada essa regra aos resultados consolidados, o nível de conformidade atingido pelo sítio avaliado foi: Não atinge o Nível A.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Não foram atendidos, em Nível A, os seguintes critérios de sucesso: 1.3.1 Informações e relações (a página de contato não declara nenhum elemento de cabeçalho, embora apresente seções visualmente tituladas, de modo que a estrutura percebida por quem enxerga não é programaticamente determinável); 1.4.1 Uso de cores (marcador do slide ativo diferenciado apenas pela cor de fundo); e 2.2.2 Pausar, Parar, Ocultar (banner rotativo com avanço automático a cada 4 segundos, sem mecanismo de pausa).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Em Nível AA, não foram atendidos os critérios: 1.4.3 Contraste mínimo (3 reprovações confirmadas por amostragem de pixels, a pior em 1,66:1); 1.4.11 Contraste não textual (indicador de foco de 2 px na cor rgb(241,202,127), que atinge apenas 1,56:1 sobre o fundo branco da área de conteúdo, onde exige-se 3:1); e 1.4.12 Espaçamento de texto (3 elementos com conteúdo cortado sob o espaçamento exigido pelo critério). Acrescenta-se o critério 2.5.8 Tamanho do alvo (mínimo), que mede 23 dos 58 alvos interativos da versão móvel abaixo de 24 por 24 pixels: ele pertence à WCAG 2.2, e não à 2.1, e é aqui adotado como complemento, conforme facultado pelo enunciado do trabalho ao admitir "WCAG 2.1 ou mais recentes". Na WCAG 2.1 o requisito equivalente é o 2.5.5 Tamanho do alvo, de Nível AAA, que o sítio também não cumpre. O critério 1.4.10 Reflow, registrado como falho na primeira medição, foi reclassificado como atendido — ver, ao fim desta seção, a nota de reconferência.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Os três avaliadores automáticos convergem quanto à qualidade da base técnica: o axe-core não registrou violação direta de critério WCAG A/AA, o ASES atribuiu nota 90,48% de aderência ao eMAG 3.1 e o WAVE apurou apenas 4 erros, dos quais três foram atribuídos à Barra de Identidade do Governo Federal e não ao código entregue pelo IFAL; o quarto não foi possível atribuir. Convergem também no cabeçalho ausente: o alerta "Missing first level heading" do WAVE e o erro da recomendação 1.3 do ASES apontam para a mesma falha que a auditoria de código-fonte havia detectado. Nenhuma das três ferramentas, porém, verifica os critérios 2.2.2 e 1.4.1: o avanço automático do banner exigiu a leitura do script que o governa, e a sinalização do slide ativo apenas pela cor exigiu medir os pixels efetivamente pintados na tela. A aprovação nos avaliadores automáticos não é, portanto, atestado de conformidade.</w:t>
      </w:r>
    </w:p>
    <w:p>
      <w:pPr>
        <w:spacing w:line="360" w:lineRule="auto" w:after="40" w:before="240"/>
        <w:jc w:val="both"/>
      </w:pPr>
      <w:r>
        <w:rPr>
          <w:rFonts w:ascii="Arial" w:hAnsi="Arial"/>
          <w:b/>
          <w:sz w:val="24"/>
        </w:rPr>
        <w:t>Nota de reconferência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Reconferência de 22/09/2026. Duas constatações da primeira medição eram artefatos do ambiente, não propriedades do sítio, e foram corrigidas. Ambas têm a mesma causa: o espelho local usado nas medições de renderização não carregava o barra.brasil.gov.br/barra.js, e o portal exibe, enquanto esse script não chega, um bloco provisório &lt;div id="barra-brasil" style="background:#7F7F7F"&gt; com o texto "Atualize sua Barra de Governo". (a) Reflow: esse bloco provisório media 330 px e era o único elemento a ultrapassar a tela de 320 px; com o barra.js carregado, o conteúdo mede exatamente 320 px e não há rolagem horizontal — medido nas duas condições, com e sem o script, e também com as fontes da barra servidas localmente. (b) Contraste: o cinza #7F7F7F de fundo do bloco provisório foi lido como se fosse a cor da barra; a barra em operação mede 5,57:1 e 5,42:1. É a terceira vez que o mesmo ponto cego — conteúdo de terceiro injetado em tempo de execução — distorce um resultado, depois do VLibras e da região de navegação contada pelo WAVE.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8"/>
        </w:rPr>
        <w:t>5. RECOMENDAÇÕES DE CORREÇÃO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As recomendações a seguir estão ordenadas por severidade, considerando o impacto sobre o usuário e o nível WCAG afetado. Problemas de severidade crítica bloqueiam integralmente o acesso de determinados grupos e devem ser corrigidos com prioridade. A severidade não coincide com o nível WCAG: as duas recomendações críticas tratam das falhas de Nível A do banner rotativo, que nenhum avaliador automático detectou e que bastam para impedir a declaração de conformidade, mas há também uma falha de Nível A entre as recomendações de severidade alta — a ausência de cabeçalhos na página de contato (1.3.1) —, classificada assim por afetar uma página do recorte, e não todas.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242"/>
        <w:gridCol w:w="2030"/>
        <w:gridCol w:w="4280"/>
        <w:gridCol w:w="1463"/>
      </w:tblGrid>
      <w:tr>
        <w:tc>
          <w:tcPr>
            <w:tcW w:type="dxa" w:w="1242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Severidade</w:t>
            </w:r>
          </w:p>
        </w:tc>
        <w:tc>
          <w:tcPr>
            <w:tcW w:type="dxa" w:w="2030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Problema</w:t>
            </w:r>
          </w:p>
        </w:tc>
        <w:tc>
          <w:tcPr>
            <w:tcW w:type="dxa" w:w="4280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Correção recomendada</w:t>
            </w:r>
          </w:p>
        </w:tc>
        <w:tc>
          <w:tcPr>
            <w:tcW w:type="dxa" w:w="1463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Critério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Crítica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Banner rotativo sem controle de pausa</w:t>
            </w:r>
          </w:p>
        </w:tc>
        <w:tc>
          <w:tcPr>
            <w:tcW w:type="dxa" w:w="428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O script banner_rotativo.js troca de slide a cada 4000 ms e se reagenda indefinidamente. Incluir um botão de pausar/retomar alcançável por teclado e anunciado ao leitor de tela, ou suprimir o avanço automático. Enquanto não houver esse controle, o portal não atinge sequer o Nível A.</w:t>
            </w:r>
          </w:p>
        </w:tc>
        <w:tc>
          <w:tcPr>
            <w:tcW w:type="dxa" w:w="146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WCAG 2.2.2 (A)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Crítica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Slide ativo identificado apenas pela cor</w:t>
            </w:r>
          </w:p>
        </w:tc>
        <w:tc>
          <w:tcPr>
            <w:tcW w:type="dxa" w:w="428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No banner, o slide em exibição é sinalizado somente pela cor de fundo do botão numérico (âmbar contra verde). Acrescentar um segundo indicador não cromático — contorno, mudança de forma ou aria-current="true" — para que a informação não dependa da percepção de cor.</w:t>
            </w:r>
          </w:p>
        </w:tc>
        <w:tc>
          <w:tcPr>
            <w:tcW w:type="dxa" w:w="146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WCAG 1.4.1 (A)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Alta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Contraste insuficiente nos controles do banner</w:t>
            </w:r>
          </w:p>
        </w:tc>
        <w:tc>
          <w:tcPr>
            <w:tcW w:type="dxa" w:w="428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Os botões numéricos usam azul rgb(44,103,205) sobre verde rgb(14,86,31), razão de 1,66:1, e 3,0:1 quando o slide está ativo. Adotar texto branco ou de luminância equivalente, atingindo ao menos 4,5:1.</w:t>
            </w:r>
          </w:p>
        </w:tc>
        <w:tc>
          <w:tcPr>
            <w:tcW w:type="dxa" w:w="146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WCAG 1.4.3 (AA)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Alta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Página inicial e página de contato sem &lt;h1&gt;</w:t>
            </w:r>
          </w:p>
        </w:tc>
        <w:tc>
          <w:tcPr>
            <w:tcW w:type="dxa" w:w="428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 página inicial reúne 15 cabeçalhos sem nenhum &lt;h1&gt;, e a página de contato não possui cabeçalho algum. Declarar um &lt;h1&gt; único por página, correspondente ao título principal, para dar ponto de partida à navegação por cabeçalhos.</w:t>
            </w:r>
          </w:p>
        </w:tc>
        <w:tc>
          <w:tcPr>
            <w:tcW w:type="dxa" w:w="146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WCAG 1.3.1 / 2.4.6 (A/AA)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Alta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Ausência de região de navegação no código do campus</w:t>
            </w:r>
          </w:p>
        </w:tc>
        <w:tc>
          <w:tcPr>
            <w:tcW w:type="dxa" w:w="428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O portal declara role="banner", role="main" e role="contentinfo", mas nenhum &lt;nav&gt; ou role="navigation". A única região de navegação que o WAVE encontra na página é injetada pelo script da Barra de Identidade do Governo Federal e delimita os links do gov.br. Marcar o menu principal e o menu lateral do campus como regiões de navegação, o que também elimina os blocos de conteúdo que o axe-core apontou fora de qualquer região.</w:t>
            </w:r>
          </w:p>
        </w:tc>
        <w:tc>
          <w:tcPr>
            <w:tcW w:type="dxa" w:w="146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WCAG 1.3.1 (A)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Média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Indicador de foco pouco perceptível sobre fundo branco</w:t>
            </w:r>
          </w:p>
        </w:tc>
        <w:tc>
          <w:tcPr>
            <w:tcW w:type="dxa" w:w="428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O contorno de foco rgb(241,202,127) atinge 5,81:1 sobre o verde do cabeçalho, mas apenas 1,56:1 sobre o branco da área de conteúdo, onde está a maior parte dos links. Escurecer o contorno ou acrescentar um traço externo de apoio para garantir 3:1 em qualquer fundo.</w:t>
            </w:r>
          </w:p>
        </w:tc>
        <w:tc>
          <w:tcPr>
            <w:tcW w:type="dxa" w:w="146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WCAG 1.4.11 (AA)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Média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Alvos de toque abaixo do mínimo</w:t>
            </w:r>
          </w:p>
        </w:tc>
        <w:tc>
          <w:tcPr>
            <w:tcW w:type="dxa" w:w="428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Na emulação do Pixel 7, 23 dos 58 elementos interativos medem menos de 24 por 24 pixels, entre eles os próprios controles do banner (22x20). Ampliar a área clicável por meio de preenchimento, sem necessariamente aumentar o texto.</w:t>
            </w:r>
          </w:p>
        </w:tc>
        <w:tc>
          <w:tcPr>
            <w:tcW w:type="dxa" w:w="146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WCAG 2.5.8 (AA, WCAG 2.2)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Média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Layout quebra com espaçamento de texto ampliado</w:t>
            </w:r>
          </w:p>
        </w:tc>
        <w:tc>
          <w:tcPr>
            <w:tcW w:type="dxa" w:w="428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Ao aplicar entrelinha 1,5, espaçamento entre letras de 0,12em e entre palavras de 0,16em, três elementos têm o conteúdo cortado por overflow oculto. Substituir alturas fixas por alturas mínimas nos blocos afetados.</w:t>
            </w:r>
          </w:p>
        </w:tc>
        <w:tc>
          <w:tcPr>
            <w:tcW w:type="dxa" w:w="146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WCAG 1.4.12 (AA)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Média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Texto alternativo redundante</w:t>
            </w:r>
          </w:p>
        </w:tc>
        <w:tc>
          <w:tcPr>
            <w:tcW w:type="dxa" w:w="428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Em quatro imagens da página inicial o atributo alt repete literalmente o texto do link vizinho, levando o leitor de tela a anunciar a mesma informação duas vezes. Usar alt="" nessas imagens, já que o link adjacente cumpre a função descritiva.</w:t>
            </w:r>
          </w:p>
        </w:tc>
        <w:tc>
          <w:tcPr>
            <w:tcW w:type="dxa" w:w="146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WCAG 1.1.1 (A)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Baixa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URL crua como texto de link</w:t>
            </w:r>
          </w:p>
        </w:tc>
        <w:tc>
          <w:tcPr>
            <w:tcW w:type="dxa" w:w="428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Na página institucional de Acessibilidade, dois links exibem o endereço completo como texto visível, que o leitor de tela soletra caractere a caractere. Substituir pelo nome do documento de destino.</w:t>
            </w:r>
          </w:p>
        </w:tc>
        <w:tc>
          <w:tcPr>
            <w:tcW w:type="dxa" w:w="146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WCAG 2.4.4 (A)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Baixa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Página de Acessibilidade desatualizada</w:t>
            </w:r>
          </w:p>
        </w:tc>
        <w:tc>
          <w:tcPr>
            <w:tcW w:type="dxa" w:w="428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 página foi modificada pela última vez em 2020, descreve apenas três dos sete atalhos existentes, expande a sigla WCAG incorretamente como "World Content Accessibility Guide" e não declara nível de conformidade. Mais grave: não menciona Libras nem o VLibras em nenhum momento, embora o portal ofereça o tradutor em todas as páginas — quem procura o recurso não é informado de que ele existe. Registrou-se ainda que o script collective.lazysizes referenciado pelas páginas responde HTTP 404. Atualizar o conteúdo, anunciar o VLibras e publicar a declaração de conformidade prevista pelo eMAG.</w:t>
            </w:r>
          </w:p>
        </w:tc>
        <w:tc>
          <w:tcPr>
            <w:tcW w:type="dxa" w:w="146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eMAG 3.1</w:t>
            </w:r>
          </w:p>
        </w:tc>
      </w:tr>
      <w:tr>
        <w:tc>
          <w:tcPr>
            <w:tcW w:type="dxa" w:w="1242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Baixa</w:t>
            </w:r>
          </w:p>
        </w:tc>
        <w:tc>
          <w:tcPr>
            <w:tcW w:type="dxa" w:w="203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Marcação provisória da Barra do Governo em estado degradado</w:t>
            </w:r>
          </w:p>
        </w:tc>
        <w:tc>
          <w:tcPr>
            <w:tcW w:type="dxa" w:w="4280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Enquanto o barra.brasil.gov.br/barra.js não carrega, o portal exibe o bloco provisório &lt;div id="barra-brasil" style="background:#7F7F7F"&gt; com o texto "Atualize sua Barra de Governo". Esse bloco tem largura fixa e, em tela de 320 pixels, é o único elemento a transbordar — o conteúdo passa a ocupar 330 pixels e surge rolagem horizontal; seu texto branco sobre o cinza #7F7F7F mede 4,0:1. Com o script carregado nada disso ocorre, de modo que não há falha de conformidade a registrar; o defeito pertence ao estado degradado, que se manifesta sempre que o domínio federal está indisponível ou bloqueado na rede do usuário. Dar ao bloco provisório largura fluida e contraste suficiente.</w:t>
            </w:r>
          </w:p>
        </w:tc>
        <w:tc>
          <w:tcPr>
            <w:tcW w:type="dxa" w:w="1463"/>
          </w:tcPr>
          <w:p>
            <w:pPr>
              <w:spacing w:line="240" w:lineRule="auto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WCAG 1.4.10 / 1.4.3 (AA), apenas em estado degradado</w:t>
            </w:r>
          </w:p>
        </w:tc>
      </w:tr>
    </w:tbl>
    <w:p>
      <w:pPr>
        <w:spacing w:line="240" w:lineRule="auto" w:after="200" w:before="0"/>
        <w:jc w:val="left"/>
      </w:pPr>
      <w:r>
        <w:rPr>
          <w:rFonts w:ascii="Arial" w:hAnsi="Arial"/>
          <w:b w:val="0"/>
          <w:sz w:val="20"/>
        </w:rPr>
        <w:t>Quadro 12 - Recomendações de correção priorizadas. Fonte: elaborado pelos autores.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Estima-se que as correções de severidade crítica e alta sejam implementáveis sem redesenho visual do sítio, uma vez que dizem respeito à camada de marcação semântica do HTML e a ajustes pontuais de paleta, e não a arquitetura da aplicação.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8"/>
        </w:rPr>
        <w:t>6. CONCLUSÃO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A avaliação do Portal do IFAL - Campus Maceió produziu um resultado menos simples do que o esperado. A base técnica herdada do Plone com a Identidade Digital do Governo cumpre bem o essencial: idioma declarado, títulos únicos, campos com rótulo associado, imagens com atributo alt, quatro atalhos de salto e indicador de foco em todos os 118 pontos de parada do teclado. O avaliador axe-core não encontrou uma única violação direta de critério de sucesso nas três páginas analisadas. As barreiras concentram-se, em vez disso, em um componente específico e em detalhes de apresentação que nenhuma verificação superficial revelaria.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A triangulação metodológica mostrou-se decisiva. Os avaliadores automáticos quantificaram com precisão as falhas de código, mas não julgam se um texto alternativo descreve adequadamente a imagem, nem se a ordem de foco faz sentido para quem navega. O caso do contraste é exemplar: o axe-core devolveu dezenas de ocorrências como indecidíveis, por serem textos desenhados sobre fotografias, e a falha mais grave - botões a 1,66:1 - só apareceu ao medir os pixels efetivamente pintados na tela. Do mesmo modo, a ausência de controle de pausa no banner exigiu a leitura do código-fonte do script que o governa. Isso confirma a orientação do W3C de que a avaliação automática cobre apenas parte dos critérios de sucesso.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O diagnóstico final aponta para o nível de conformidade Não atinge o Nível A. As correções recomendadas na seção anterior são, em sua maioria, de baixo custo de implementação: um botão de pausa no banner rotativo, um segundo indicador não cromático para o slide ativo, a troca da cor dos botões numéricos, a declaração de um &lt;h1&gt; por página e a marcação dos menus como região de navegação - ajustes pontuais que não exigem redesenho visual nem reescrita da aplicação. A desproporção entre o baixo esforço técnico das correções e o alto impacto que produzem na vida dos usuários é, talvez, a lição mais importante deste trabalho.</w:t>
      </w:r>
    </w:p>
    <w:p>
      <w:pPr>
        <w:spacing w:line="360" w:lineRule="auto" w:after="240" w:before="240"/>
        <w:jc w:val="both"/>
      </w:pPr>
      <w:r>
        <w:rPr>
          <w:rFonts w:ascii="Arial" w:hAnsi="Arial"/>
          <w:b w:val="0"/>
          <w:sz w:val="24"/>
        </w:rPr>
        <w:t>Conclui-se que acessibilidade não é um requisito acessório a ser considerado ao final do desenvolvimento, mas uma qualidade que precisa ser projetada desde a concepção da interface. Recomenda-se, por fim, que avaliações como a aqui realizada sejam incorporadas ao ciclo de manutenção do sítio, e não tratadas como diagnóstico pontual, uma vez que cada nova publicação de conteúdo pode reintroduzir barreiras já corrigidas.</w:t>
      </w:r>
    </w:p>
    <w:p>
      <w:pPr>
        <w:spacing w:line="360" w:lineRule="auto" w:after="240" w:before="240"/>
        <w:jc w:val="both"/>
      </w:pPr>
      <w:r>
        <w:rPr>
          <w:rFonts w:ascii="Arial" w:hAnsi="Arial"/>
          <w:b/>
          <w:sz w:val="28"/>
        </w:rPr>
        <w:t>7. REFERÊNCIAS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BRASIL. Decreto n. 5.296, de 2 de dezembro de 2004. Regulamenta as Leis n. 10.048/2000 e n. 10.098/2000. Brasília: Presidência da República, 2004.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BRASIL. Lei n. 13.146, de 6 de julho de 2015. Institui a Lei Brasileira de Inclusão da Pessoa com Deficiência (Estatuto da Pessoa com Deficiência). Brasília: Presidência da República, 2015.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BRASIL. Ministério do Planejamento, Orçamento e Gestão. eMAG - Modelo de Acessibilidade em Governo Eletrônico, versão 3.1. Brasília, 2014. Disponível em: https://emag.governoeletronico.gov.br/.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BRASIL. Governo Federal. ASES - Avaliador e Simulador de Acessibilidade de Sítios. Disponível em: https://asesweb.governoeletronico.gov.br/.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BRASIL. Ministério da Gestão e da Inovação em Serviços Públicos. VLibras - suíte de ferramentas de tradução automática do Português para a Libras. Disponível em: https://www.gov.br/governodigital/pt-br/vlibras.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CEWEB.BR. Cartilha de Acessibilidade na Web - Fascículo III: Metodologias e ferramentas de avaliação. São Paulo: Comitê Gestor da Internet no Brasil, 2019. Disponível em: https://ceweb.br/guias/cartilha-de-acessibilidade-na-web-fasciculo-iii/.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CEWEB.BR. Cartilha de Acessibilidade na Web - Fascículo IV: O papel dos usuários na avaliação de acessibilidade. São Paulo: Comitê Gestor da Internet no Brasil, 2020. Disponível em: https://ceweb.br/cartilhas/cartilha-w3cbr-acessibilidade-web-fasciculo-IV/.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DEQUE SYSTEMS. axe-core: accessibility engine for automated Web UI testing, versão 4.10.2. Disponível em: https://github.com/dequelabs/axe-core.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IBGE. Censo Demográfico 2022: Pessoas com deficiência. Rio de Janeiro: Instituto Brasileiro de Geografia e Estatística, 2023.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MWPT. 15 checklists de acessibilidade essenciais para quem desenvolve canais digitais. Disponível em: https://mwpt.com.br/15-checklists-de-acessibilidade-essenciais-para-quem-desenvolve-canais-digitais/.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W3C. Web Content Accessibility Guidelines (WCAG) 2.1. W3C Recommendation, 5 jun. 2018. Disponível em: https://www.w3.org/TR/WCAG21/.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W3C. Web Content Accessibility Guidelines (WCAG) 2.2. W3C Recommendation, 5 out. 2023. Disponível em: https://www.w3.org/TR/WCAG22/.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W3C BRASIL. Diretrizes de Acessibilidade para Conteúdo Web (WCAG) 2.1 - tradução autorizada para o português do Brasil. Disponível em: https://www.w3c.br/traducoes/wcag/wcag21-pt-BR/.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WEBAIM. WAVE Web Accessibility Evaluation Tool. Utah State University. Disponível em: https://wave.webaim.org/. Acesso em: 18 set. 2026.</w:t>
      </w:r>
    </w:p>
    <w:sectPr w:rsidR="00FC693F" w:rsidRPr="0006063C" w:rsidSect="00034616">
      <w:footerReference w:type="default" r:id="rId10"/>
      <w:pgSz w:w="11911" w:h="16832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jc w:val="both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