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0"/>
      </w:pPr>
    </w:p>
    <w:p>
      <w:pPr>
        <w:spacing w:line="240" w:lineRule="auto" w:after="0"/>
        <w:jc w:val="center"/>
      </w:pPr>
      <w:r>
        <w:rPr>
          <w:rFonts w:ascii="Arial" w:hAnsi="Arial"/>
          <w:b/>
          <w:sz w:val="24"/>
        </w:rPr>
        <w:t>INSTITUTO FEDERAL DE ALAGOAS</w:t>
      </w:r>
    </w:p>
    <w:p>
      <w:pPr>
        <w:spacing w:line="240" w:lineRule="auto" w:after="0"/>
        <w:jc w:val="center"/>
      </w:pPr>
      <w:r>
        <w:rPr>
          <w:rFonts w:ascii="Arial" w:hAnsi="Arial"/>
          <w:b/>
          <w:sz w:val="24"/>
        </w:rPr>
        <w:t>CAMPUS MACEIÓ</w:t>
      </w:r>
    </w:p>
    <w:p>
      <w:pPr>
        <w:spacing w:line="240" w:lineRule="auto" w:after="0"/>
        <w:jc w:val="center"/>
      </w:pPr>
      <w:r>
        <w:rPr>
          <w:rFonts w:ascii="Arial" w:hAnsi="Arial"/>
          <w:b/>
          <w:sz w:val="24"/>
        </w:rPr>
        <w:t>BACHARELADO EM SISTEMAS DE INFORMAÇÃO</w:t>
      </w: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  <w:jc w:val="center"/>
      </w:pPr>
      <w:r>
        <w:rPr>
          <w:rFonts w:ascii="Arial" w:hAnsi="Arial"/>
          <w:b/>
          <w:sz w:val="28"/>
        </w:rPr>
        <w:t>RELATÓRIO DE AVALIAÇÃO DE ACESSIBILIDADE WEB</w:t>
      </w:r>
    </w:p>
    <w:p>
      <w:pPr>
        <w:spacing w:line="360" w:lineRule="auto" w:after="0"/>
        <w:jc w:val="center"/>
      </w:pPr>
      <w:r>
        <w:rPr>
          <w:rFonts w:ascii="Arial" w:hAnsi="Arial"/>
          <w:b/>
          <w:sz w:val="28"/>
        </w:rPr>
        <w:t>PORTAL DO INSTITUTO FEDERAL DE ALAGOAS - CAMPUS MACEIÓ</w:t>
      </w: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  <w:jc w:val="center"/>
      </w:pPr>
      <w:r>
        <w:rPr>
          <w:rFonts w:ascii="Arial" w:hAnsi="Arial"/>
          <w:b w:val="0"/>
          <w:sz w:val="24"/>
        </w:rPr>
        <w:t>Guilherme de Oliveira Pontes Pinto</w:t>
      </w:r>
    </w:p>
    <w:p>
      <w:pPr>
        <w:spacing w:line="360" w:lineRule="auto" w:after="0"/>
        <w:jc w:val="center"/>
      </w:pPr>
      <w:r>
        <w:rPr>
          <w:rFonts w:ascii="Arial" w:hAnsi="Arial"/>
          <w:b w:val="0"/>
          <w:sz w:val="24"/>
        </w:rPr>
        <w:t>Kelven Eduardo Terto dos Santos</w:t>
      </w: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240" w:lineRule="auto" w:after="0"/>
        <w:jc w:val="center"/>
      </w:pPr>
      <w:r>
        <w:rPr>
          <w:rFonts w:ascii="Arial" w:hAnsi="Arial"/>
          <w:b w:val="0"/>
          <w:sz w:val="24"/>
        </w:rPr>
        <w:t>Maceió - AL</w:t>
      </w:r>
    </w:p>
    <w:p>
      <w:pPr>
        <w:spacing w:line="240" w:lineRule="auto" w:after="0"/>
        <w:jc w:val="center"/>
      </w:pPr>
      <w:r>
        <w:rPr>
          <w:rFonts w:ascii="Arial" w:hAnsi="Arial"/>
          <w:b w:val="0"/>
          <w:sz w:val="24"/>
        </w:rPr>
        <w:t>09 / 2026</w:t>
      </w:r>
    </w:p>
    <w:p>
      <w:r>
        <w:br w:type="page"/>
      </w:r>
    </w:p>
    <w:p>
      <w:pPr>
        <w:spacing w:line="240" w:lineRule="auto" w:after="0"/>
        <w:jc w:val="center"/>
      </w:pPr>
      <w:r>
        <w:rPr>
          <w:rFonts w:ascii="Arial" w:hAnsi="Arial"/>
          <w:b/>
          <w:sz w:val="24"/>
        </w:rPr>
        <w:t>INSTITUTO FEDERAL DE ALAGOAS</w:t>
      </w:r>
    </w:p>
    <w:p>
      <w:pPr>
        <w:spacing w:line="240" w:lineRule="auto" w:after="0"/>
        <w:jc w:val="center"/>
      </w:pPr>
      <w:r>
        <w:rPr>
          <w:rFonts w:ascii="Arial" w:hAnsi="Arial"/>
          <w:b/>
          <w:sz w:val="24"/>
        </w:rPr>
        <w:t>CAMPUS MACEIÓ</w:t>
      </w:r>
    </w:p>
    <w:p>
      <w:pPr>
        <w:spacing w:line="240" w:lineRule="auto" w:after="0"/>
        <w:jc w:val="center"/>
      </w:pPr>
      <w:r>
        <w:rPr>
          <w:rFonts w:ascii="Arial" w:hAnsi="Arial"/>
          <w:b/>
          <w:sz w:val="24"/>
        </w:rPr>
        <w:t>BACHARELADO EM SISTEMAS DE INFORMAÇÃO</w:t>
      </w: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  <w:jc w:val="center"/>
      </w:pPr>
      <w:r>
        <w:rPr>
          <w:rFonts w:ascii="Arial" w:hAnsi="Arial"/>
          <w:b w:val="0"/>
          <w:sz w:val="24"/>
        </w:rPr>
        <w:t>Guilherme de Oliveira Pontes Pinto</w:t>
      </w:r>
    </w:p>
    <w:p>
      <w:pPr>
        <w:spacing w:line="360" w:lineRule="auto" w:after="0"/>
        <w:jc w:val="center"/>
      </w:pPr>
      <w:r>
        <w:rPr>
          <w:rFonts w:ascii="Arial" w:hAnsi="Arial"/>
          <w:b w:val="0"/>
          <w:sz w:val="24"/>
        </w:rPr>
        <w:t>Kelven Eduardo Terto dos Santos</w:t>
      </w: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  <w:jc w:val="center"/>
      </w:pPr>
      <w:r>
        <w:rPr>
          <w:rFonts w:ascii="Arial" w:hAnsi="Arial"/>
          <w:b/>
          <w:sz w:val="28"/>
        </w:rPr>
        <w:t>RELATÓRIO DE AVALIAÇÃO DE ACESSIBILIDADE WEB</w:t>
      </w:r>
    </w:p>
    <w:p>
      <w:pPr>
        <w:spacing w:line="360" w:lineRule="auto" w:after="0"/>
        <w:jc w:val="center"/>
      </w:pPr>
      <w:r>
        <w:rPr>
          <w:rFonts w:ascii="Arial" w:hAnsi="Arial"/>
          <w:b/>
          <w:sz w:val="28"/>
        </w:rPr>
        <w:t>Portal do Instituto Federal de Alagoas - Campus Maceió</w:t>
      </w: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240" w:lineRule="auto"/>
        <w:ind w:left="4535"/>
        <w:jc w:val="both"/>
      </w:pPr>
      <w:r>
        <w:rPr>
          <w:rFonts w:ascii="Arial" w:hAnsi="Arial"/>
          <w:sz w:val="22"/>
        </w:rPr>
        <w:t>Relatório de avaliação apresentado como requisito integrante à nota da disciplina de Interação Humano-Computador do curso de Bacharelado em Sistemas de Informação.</w:t>
      </w: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360" w:lineRule="auto" w:after="0"/>
      </w:pPr>
    </w:p>
    <w:p>
      <w:pPr>
        <w:spacing w:line="240" w:lineRule="auto" w:after="0"/>
        <w:jc w:val="center"/>
      </w:pPr>
      <w:r>
        <w:rPr>
          <w:rFonts w:ascii="Arial" w:hAnsi="Arial"/>
          <w:b w:val="0"/>
          <w:sz w:val="24"/>
        </w:rPr>
        <w:t>Maceió - AL</w:t>
      </w:r>
    </w:p>
    <w:p>
      <w:pPr>
        <w:spacing w:line="240" w:lineRule="auto" w:after="0"/>
        <w:jc w:val="center"/>
      </w:pPr>
      <w:r>
        <w:rPr>
          <w:rFonts w:ascii="Arial" w:hAnsi="Arial"/>
          <w:b w:val="0"/>
          <w:sz w:val="24"/>
        </w:rPr>
        <w:t>09 / 2026</w:t>
      </w:r>
    </w:p>
    <w:p>
      <w:r>
        <w:br w:type="page"/>
      </w:r>
    </w:p>
    <w:p>
      <w:pPr>
        <w:spacing w:line="360" w:lineRule="auto" w:after="240"/>
        <w:jc w:val="center"/>
      </w:pPr>
      <w:r>
        <w:rPr>
          <w:rFonts w:ascii="Arial" w:hAnsi="Arial"/>
          <w:b/>
          <w:sz w:val="28"/>
        </w:rPr>
        <w:t>SUMARIO</w:t>
      </w:r>
    </w:p>
    <w:p>
      <w:pPr>
        <w:spacing w:line="360" w:lineRule="auto" w:after="0"/>
      </w:pPr>
      <w:r>
        <w:rPr>
          <w:rFonts w:ascii="Arial" w:hAnsi="Arial"/>
          <w:b/>
          <w:sz w:val="24"/>
        </w:rPr>
        <w:t>1  INTRODUÇÃO</w:t>
      </w:r>
    </w:p>
    <w:p>
      <w:pPr>
        <w:spacing w:line="360" w:lineRule="auto" w:after="0"/>
      </w:pPr>
      <w:r>
        <w:rPr>
          <w:rFonts w:ascii="Arial" w:hAnsi="Arial"/>
          <w:b/>
          <w:sz w:val="24"/>
        </w:rPr>
        <w:t>2  OBJETIVO</w:t>
      </w:r>
    </w:p>
    <w:p>
      <w:pPr>
        <w:spacing w:line="360" w:lineRule="auto" w:after="0"/>
        <w:ind w:left="454"/>
      </w:pPr>
      <w:r>
        <w:rPr>
          <w:rFonts w:ascii="Arial" w:hAnsi="Arial"/>
          <w:b w:val="0"/>
          <w:sz w:val="24"/>
        </w:rPr>
        <w:t>2.1  Objetivo geral</w:t>
      </w:r>
    </w:p>
    <w:p>
      <w:pPr>
        <w:spacing w:line="360" w:lineRule="auto" w:after="0"/>
        <w:ind w:left="454"/>
      </w:pPr>
      <w:r>
        <w:rPr>
          <w:rFonts w:ascii="Arial" w:hAnsi="Arial"/>
          <w:b w:val="0"/>
          <w:sz w:val="24"/>
        </w:rPr>
        <w:t>2.2  Objetivos específicos</w:t>
      </w:r>
    </w:p>
    <w:p>
      <w:pPr>
        <w:spacing w:line="360" w:lineRule="auto" w:after="0"/>
      </w:pPr>
      <w:r>
        <w:rPr>
          <w:rFonts w:ascii="Arial" w:hAnsi="Arial"/>
          <w:b/>
          <w:sz w:val="24"/>
        </w:rPr>
        <w:t>3  METODOLOGIA</w:t>
      </w:r>
    </w:p>
    <w:p>
      <w:pPr>
        <w:spacing w:line="360" w:lineRule="auto" w:after="0"/>
        <w:ind w:left="454"/>
      </w:pPr>
      <w:r>
        <w:rPr>
          <w:rFonts w:ascii="Arial" w:hAnsi="Arial"/>
          <w:b w:val="0"/>
          <w:sz w:val="24"/>
        </w:rPr>
        <w:t>3.1  Site avaliado e justificativa da escolha</w:t>
      </w:r>
    </w:p>
    <w:p>
      <w:pPr>
        <w:spacing w:line="360" w:lineRule="auto" w:after="0"/>
        <w:ind w:left="454"/>
      </w:pPr>
      <w:r>
        <w:rPr>
          <w:rFonts w:ascii="Arial" w:hAnsi="Arial"/>
          <w:b w:val="0"/>
          <w:sz w:val="24"/>
        </w:rPr>
        <w:t>3.2  Etapas da avaliação</w:t>
      </w:r>
    </w:p>
    <w:p>
      <w:pPr>
        <w:spacing w:line="360" w:lineRule="auto" w:after="0"/>
        <w:ind w:left="454"/>
      </w:pPr>
      <w:r>
        <w:rPr>
          <w:rFonts w:ascii="Arial" w:hAnsi="Arial"/>
          <w:b w:val="0"/>
          <w:sz w:val="24"/>
        </w:rPr>
        <w:t>3.3  Instrumentos utilizados</w:t>
      </w:r>
    </w:p>
    <w:p>
      <w:pPr>
        <w:spacing w:line="360" w:lineRule="auto" w:after="0"/>
      </w:pPr>
      <w:r>
        <w:rPr>
          <w:rFonts w:ascii="Arial" w:hAnsi="Arial"/>
          <w:b/>
          <w:sz w:val="24"/>
        </w:rPr>
        <w:t>4  AVALIAÇÃO E RESULTADOS</w:t>
      </w:r>
    </w:p>
    <w:p>
      <w:pPr>
        <w:spacing w:line="360" w:lineRule="auto" w:after="0"/>
        <w:ind w:left="454"/>
      </w:pPr>
      <w:r>
        <w:rPr>
          <w:rFonts w:ascii="Arial" w:hAnsi="Arial"/>
          <w:b w:val="0"/>
          <w:sz w:val="24"/>
        </w:rPr>
        <w:t>4.1  Resultados da inspeção manual (checklist de 15 itens)</w:t>
      </w:r>
    </w:p>
    <w:p>
      <w:pPr>
        <w:spacing w:line="360" w:lineRule="auto" w:after="0"/>
        <w:ind w:left="454"/>
      </w:pPr>
      <w:r>
        <w:rPr>
          <w:rFonts w:ascii="Arial" w:hAnsi="Arial"/>
          <w:b w:val="0"/>
          <w:sz w:val="24"/>
        </w:rPr>
        <w:t>4.2  Resultados do avaliador automático WAVE</w:t>
      </w:r>
    </w:p>
    <w:p>
      <w:pPr>
        <w:spacing w:line="360" w:lineRule="auto" w:after="0"/>
        <w:ind w:left="454"/>
      </w:pPr>
      <w:r>
        <w:rPr>
          <w:rFonts w:ascii="Arial" w:hAnsi="Arial"/>
          <w:b w:val="0"/>
          <w:sz w:val="24"/>
        </w:rPr>
        <w:t>4.3  Resultados do avaliador automático ASES</w:t>
      </w:r>
    </w:p>
    <w:p>
      <w:pPr>
        <w:spacing w:line="360" w:lineRule="auto" w:after="0"/>
        <w:ind w:left="454"/>
      </w:pPr>
      <w:r>
        <w:rPr>
          <w:rFonts w:ascii="Arial" w:hAnsi="Arial"/>
          <w:b w:val="0"/>
          <w:sz w:val="24"/>
        </w:rPr>
        <w:t>4.4  Resultados do avaliador automático axe-core</w:t>
      </w:r>
    </w:p>
    <w:p>
      <w:pPr>
        <w:spacing w:line="360" w:lineRule="auto" w:after="0"/>
        <w:ind w:left="454"/>
      </w:pPr>
      <w:r>
        <w:rPr>
          <w:rFonts w:ascii="Arial" w:hAnsi="Arial"/>
          <w:b w:val="0"/>
          <w:sz w:val="24"/>
        </w:rPr>
        <w:t>4.5  Medição de contraste por amostragem de pixels</w:t>
      </w:r>
    </w:p>
    <w:p>
      <w:pPr>
        <w:spacing w:line="360" w:lineRule="auto" w:after="0"/>
        <w:ind w:left="454"/>
      </w:pPr>
      <w:r>
        <w:rPr>
          <w:rFonts w:ascii="Arial" w:hAnsi="Arial"/>
          <w:b w:val="0"/>
          <w:sz w:val="24"/>
        </w:rPr>
        <w:t>4.6  Evidências visuais da avaliação</w:t>
      </w:r>
    </w:p>
    <w:p>
      <w:pPr>
        <w:spacing w:line="360" w:lineRule="auto" w:after="0"/>
        <w:ind w:left="454"/>
      </w:pPr>
      <w:r>
        <w:rPr>
          <w:rFonts w:ascii="Arial" w:hAnsi="Arial"/>
          <w:b w:val="0"/>
          <w:sz w:val="24"/>
        </w:rPr>
        <w:t>4.7  Resultados da auditoria programática do código-fonte</w:t>
      </w:r>
    </w:p>
    <w:p>
      <w:pPr>
        <w:spacing w:line="360" w:lineRule="auto" w:after="0"/>
        <w:ind w:left="454"/>
      </w:pPr>
      <w:r>
        <w:rPr>
          <w:rFonts w:ascii="Arial" w:hAnsi="Arial"/>
          <w:b w:val="0"/>
          <w:sz w:val="24"/>
        </w:rPr>
        <w:t>4.8  Simulação automatizada de acesso por smartphone</w:t>
      </w:r>
    </w:p>
    <w:p>
      <w:pPr>
        <w:spacing w:line="360" w:lineRule="auto" w:after="0"/>
        <w:ind w:left="454"/>
      </w:pPr>
      <w:r>
        <w:rPr>
          <w:rFonts w:ascii="Arial" w:hAnsi="Arial"/>
          <w:b w:val="0"/>
          <w:sz w:val="24"/>
        </w:rPr>
        <w:t>4.9  Tarefa complementar: uso real com leitor de tela</w:t>
      </w:r>
    </w:p>
    <w:p>
      <w:pPr>
        <w:spacing w:line="360" w:lineRule="auto" w:after="0"/>
        <w:ind w:left="454"/>
      </w:pPr>
      <w:r>
        <w:rPr>
          <w:rFonts w:ascii="Arial" w:hAnsi="Arial"/>
          <w:b w:val="0"/>
          <w:sz w:val="24"/>
        </w:rPr>
        <w:t>4.10  Análise do nível de conformidade WCAG</w:t>
      </w:r>
    </w:p>
    <w:p>
      <w:pPr>
        <w:spacing w:line="360" w:lineRule="auto" w:after="0"/>
      </w:pPr>
      <w:r>
        <w:rPr>
          <w:rFonts w:ascii="Arial" w:hAnsi="Arial"/>
          <w:b/>
          <w:sz w:val="24"/>
        </w:rPr>
        <w:t>5  RECOMENDAÇÕES DE CORREÇÃO</w:t>
      </w:r>
    </w:p>
    <w:p>
      <w:pPr>
        <w:spacing w:line="360" w:lineRule="auto" w:after="0"/>
      </w:pPr>
      <w:r>
        <w:rPr>
          <w:rFonts w:ascii="Arial" w:hAnsi="Arial"/>
          <w:b/>
          <w:sz w:val="24"/>
        </w:rPr>
        <w:t>6  CONCLUSÃO</w:t>
      </w:r>
    </w:p>
    <w:p>
      <w:pPr>
        <w:spacing w:line="360" w:lineRule="auto" w:after="0"/>
      </w:pPr>
      <w:r>
        <w:rPr>
          <w:rFonts w:ascii="Arial" w:hAnsi="Arial"/>
          <w:b/>
          <w:sz w:val="24"/>
        </w:rPr>
        <w:t>7  REFERÊNCIAS</w:t>
      </w:r>
    </w:p>
    <w:p>
      <w:r>
        <w:br w:type="page"/>
      </w:r>
    </w:p>
    <w:p/>
    <w:p>
      <w:pPr>
        <w:spacing w:line="360" w:lineRule="auto" w:after="120"/>
        <w:jc w:val="left"/>
      </w:pPr>
      <w:r>
        <w:rPr>
          <w:rFonts w:ascii="Arial" w:hAnsi="Arial"/>
          <w:b/>
          <w:sz w:val="24"/>
        </w:rPr>
        <w:t>1 INTRODUÇÃO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A acessibilidade web é a propriedade que permite que pessoas com deficiência percebam, compreendam, naveguem, interajam e contribuam com a Web (W3C, 2018). Segundo o Censo Demográfico de 2022 do IBGE, cerca de 14,4 milhões de brasileiros com dois anos ou mais possuem algum tipo de deficiência, contingente para o qual a barreira digital se traduz, na prática, em exclusão do acesso a serviços, a informação pública e ao exercício da cidadania.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No Brasil, a acessibilidade digital não é apenas uma boa prática de engenharia de software: é uma obrigação legal. O Decreto n. 5.296/2004 determina a acessibilidade dos portais da administração pública, e a Lei Brasileira de Inclusão (Lei n. 13.146/2015), em seu artigo 63, estende a exigência aos sítios de empresas com sede ou representação comercial no país. Do ponto de vista técnico, esse dever se materializa em dois documentos normativos complementares: as Diretrizes de Acessibilidade para o Conteúdo da Web (WCAG) 2.1, publicadas pelo W3C em 2018, e o Modelo de Acessibilidade em Governo Eletrônico (eMAG) 3.1, de 2014, que adapta a WCAG ao contexto do governo brasileiro.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O presente relatório apresenta a avaliação de acessibilidade web do Portal do Instituto Federal de Alagoas - Campus Maceió, disponível em https://www2.ifal.edu.br/campus/maceio. A avaliação combinou três abordagens complementares - inspeção manual por checklist, avaliação automatizada por ferramentas especializadas e teste de uso real com leitor de tela em dispositivo móvel -, estratégia recomendada pela literatura porque ferramentas automáticas detectam, isoladamente, apenas parte dos problemas de acessibilidade, restando a inspeção humana os critérios de natureza semântica e subjetiva.</w:t>
      </w:r>
    </w:p>
    <w:p/>
    <w:p>
      <w:pPr>
        <w:spacing w:line="360" w:lineRule="auto" w:after="120"/>
        <w:jc w:val="left"/>
      </w:pPr>
      <w:r>
        <w:rPr>
          <w:rFonts w:ascii="Arial" w:hAnsi="Arial"/>
          <w:b/>
          <w:sz w:val="24"/>
        </w:rPr>
        <w:t>2 OBJETIVO</w:t>
      </w:r>
    </w:p>
    <w:p/>
    <w:p>
      <w:pPr>
        <w:spacing w:line="360" w:lineRule="auto" w:after="120"/>
        <w:jc w:val="left"/>
      </w:pPr>
      <w:r>
        <w:rPr>
          <w:rFonts w:ascii="Arial" w:hAnsi="Arial"/>
          <w:b/>
          <w:sz w:val="24"/>
        </w:rPr>
        <w:t>2.1 Objetivo geral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Avaliar o nível de conformidade de acessibilidade do Portal do IFAL - Campus Maceió (https://www2.ifal.edu.br/campus/maceio) frente as Diretrizes de Acessibilidade para o Conteúdo da Web (WCAG) 2.1 e as recomendações do eMAG 3.1, identificando as barreiras que impedem o uso pleno do sítio por pessoas com deficiência e propondo correções técnicas viáveis para cada problema encontrado.</w:t>
      </w:r>
    </w:p>
    <w:p/>
    <w:p>
      <w:pPr>
        <w:spacing w:line="360" w:lineRule="auto" w:after="120"/>
        <w:jc w:val="left"/>
      </w:pPr>
      <w:r>
        <w:rPr>
          <w:rFonts w:ascii="Arial" w:hAnsi="Arial"/>
          <w:b/>
          <w:sz w:val="24"/>
        </w:rPr>
        <w:t>2.2 Objetivos específicos</w:t>
      </w:r>
    </w:p>
    <w:p>
      <w:pPr>
        <w:spacing w:line="360" w:lineRule="auto" w:after="80"/>
        <w:ind w:left="709"/>
        <w:jc w:val="both"/>
      </w:pPr>
      <w:r>
        <w:rPr>
          <w:rFonts w:ascii="Arial" w:hAnsi="Arial"/>
          <w:sz w:val="24"/>
        </w:rPr>
        <w:t xml:space="preserve">• </w:t>
      </w:r>
      <w:r>
        <w:rPr>
          <w:rFonts w:ascii="Arial" w:hAnsi="Arial"/>
          <w:sz w:val="24"/>
        </w:rPr>
        <w:t>Inspecionar manualmente o sítio a partir de um checklist de 15 itens essenciais de acessibilidade, mapeando cada item aos critérios de sucesso da WCAG 2.1 e as recomendações do eMAG 3.1;</w:t>
      </w:r>
    </w:p>
    <w:p>
      <w:pPr>
        <w:spacing w:line="360" w:lineRule="auto" w:after="80"/>
        <w:ind w:left="709"/>
        <w:jc w:val="both"/>
      </w:pPr>
      <w:r>
        <w:rPr>
          <w:rFonts w:ascii="Arial" w:hAnsi="Arial"/>
          <w:sz w:val="24"/>
        </w:rPr>
        <w:t xml:space="preserve">• </w:t>
      </w:r>
      <w:r>
        <w:rPr>
          <w:rFonts w:ascii="Arial" w:hAnsi="Arial"/>
          <w:sz w:val="24"/>
        </w:rPr>
        <w:t>Submeter as páginas selecionadas a avaliadores automáticos (WAVE e ASES), obtendo o diagnóstico quantitativo dos erros presentes no código-fonte;</w:t>
      </w:r>
    </w:p>
    <w:p>
      <w:pPr>
        <w:spacing w:line="360" w:lineRule="auto" w:after="80"/>
        <w:ind w:left="709"/>
        <w:jc w:val="both"/>
      </w:pPr>
      <w:r>
        <w:rPr>
          <w:rFonts w:ascii="Arial" w:hAnsi="Arial"/>
          <w:sz w:val="24"/>
        </w:rPr>
        <w:t xml:space="preserve">• </w:t>
      </w:r>
      <w:r>
        <w:rPr>
          <w:rFonts w:ascii="Arial" w:hAnsi="Arial"/>
          <w:sz w:val="24"/>
        </w:rPr>
        <w:t>Confrontar os resultados manuais e automáticos, distinguindo falhas de marcação de falhas de experiência de uso;</w:t>
      </w:r>
    </w:p>
    <w:p>
      <w:pPr>
        <w:spacing w:line="360" w:lineRule="auto" w:after="80"/>
        <w:ind w:left="709"/>
        <w:jc w:val="both"/>
      </w:pPr>
      <w:r>
        <w:rPr>
          <w:rFonts w:ascii="Arial" w:hAnsi="Arial"/>
          <w:sz w:val="24"/>
        </w:rPr>
        <w:t xml:space="preserve">• </w:t>
      </w:r>
      <w:r>
        <w:rPr>
          <w:rFonts w:ascii="Arial" w:hAnsi="Arial"/>
          <w:sz w:val="24"/>
        </w:rPr>
        <w:t>Vivenciar a navegação no sítio por meio de smartphone com leitor de tela ativado, registrando as barreiras percebidas na execução de uma tarefa real;</w:t>
      </w:r>
    </w:p>
    <w:p>
      <w:pPr>
        <w:spacing w:line="360" w:lineRule="auto" w:after="80"/>
        <w:ind w:left="709"/>
        <w:jc w:val="both"/>
      </w:pPr>
      <w:r>
        <w:rPr>
          <w:rFonts w:ascii="Arial" w:hAnsi="Arial"/>
          <w:sz w:val="24"/>
        </w:rPr>
        <w:t xml:space="preserve">• </w:t>
      </w:r>
      <w:r>
        <w:rPr>
          <w:rFonts w:ascii="Arial" w:hAnsi="Arial"/>
          <w:sz w:val="24"/>
        </w:rPr>
        <w:t>Determinar o nível de conformidade (A, AA ou AAA) alcancado pelo sítio e elaborar recomendações de correção priorizadas por severidade.</w:t>
      </w:r>
    </w:p>
    <w:p/>
    <w:p>
      <w:pPr>
        <w:spacing w:line="360" w:lineRule="auto" w:after="120"/>
        <w:jc w:val="left"/>
      </w:pPr>
      <w:r>
        <w:rPr>
          <w:rFonts w:ascii="Arial" w:hAnsi="Arial"/>
          <w:b/>
          <w:sz w:val="24"/>
        </w:rPr>
        <w:t>3 METODOLOGIA</w:t>
      </w:r>
    </w:p>
    <w:p/>
    <w:p>
      <w:pPr>
        <w:spacing w:line="360" w:lineRule="auto" w:after="120"/>
        <w:jc w:val="left"/>
      </w:pPr>
      <w:r>
        <w:rPr>
          <w:rFonts w:ascii="Arial" w:hAnsi="Arial"/>
          <w:b/>
          <w:sz w:val="24"/>
        </w:rPr>
        <w:t>3.1 Site avaliado e justificativa da escolha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O sítio selecionado para a avaliação foi o Portal do Instituto Federal de Alagoas - Campus Maceió, acessível em https://www2.ifal.edu.br/campus/maceio, mantido por Instituto Federal de Alagoas (IFAL).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Trata-se de um sítio institucional público, de escopo reduzido e navegação simples (página inicial, noticias, editais e contato), o que permite auditar integralmente o conjunto de páginas dentro do prazo do trabalho. Por pertencer a administração pública federal, esta sujeito ao Decreto n. 5.296/2004, a Lei Brasileira de Inclusão (Lei n. 13.146/2015) e ao eMAG 3.1, o que torna a avaliação juridicamente relevante além de tecnicamente pertinente. Por fim, e o portal utilizado cotidianamente pelos próprios autores e demais estudantes, incluindo colegas com deficiência, o que aproxima o exercício acadêmico de um problema real da comunidade acadêmica.</w:t>
      </w:r>
    </w:p>
    <w:p/>
    <w:p>
      <w:pPr>
        <w:spacing w:line="360" w:lineRule="auto" w:after="120"/>
        <w:jc w:val="left"/>
      </w:pPr>
      <w:r>
        <w:rPr>
          <w:rFonts w:ascii="Arial" w:hAnsi="Arial"/>
          <w:b/>
          <w:sz w:val="24"/>
        </w:rPr>
        <w:t>3.2 Etapas da avaliação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A avaliação seguiu um desenho metodologico em quatro etapas sequenciais, aplicado sobre um recorte de 3 páginas representativas do sítio: https://www2.ifal.edu.br/campus/maceio; https://www2.ifal.edu.br/campus/maceio/noticias; https://www2.ifal.edu.br/campus/maceio/contato. O recorte privilegiou a página inicial, uma página de listagem de conteúdo e uma página transacional (com formulário), de modo a cobrir os três padrões de interação presentes no portal.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Etapa 1 - Inspeção manual por checklist. Aplicou-se um checklist de 15 itens essenciais de acessibilidade, consolidado a partir do material de referência indicado pela disciplina e mapeado, item a item, aos critérios de sucesso da WCAG 2.1 e as recomendações do eMAG 3.1. Cada item foi verificado com o sítio aberto no navegador Google Chrome, com auxílio das ferramentas de desenvolvedor (F12) para leitura do código-fonte. A inspeção contemplou testes de operação exclusivamente por teclado (Tab, Shift+Tab, Enter, Espaco e Esc), verificação de zoom em 200% e simulação de escala de cinza para checar dependência de cor.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Etapa 2 - Avaliação automatizada. As mesmas páginas foram submetidas a dois avaliadores: o WAVE (WebAIM), de referência internacional, que reporta erros diretamente sobre a renderização da página; e o ASES (Avaliador e Simulador de Acessibilidade de Sítios), mantido pelo Governo Federal, que emite nota de 0 a 100 segundo as recomendações do eMAG. Adicionalmente, desenvolveu-se um auditor próprio em Python (ferramenta/auditor_wcag.py), que percorre o HTML e verifica de forma programática os nove itens automatizáveis do checklist, servindo de conferência cruzada aos dois avaliadores.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Etapa 3 - Tarefa complementar com leitor de tela. Um dos avaliadores acessou o sítio por smartphone com o leitor de tela nativo ativado e tentou executar uma tarefa real de ponta a ponta, sem visualizar a tela. Registraram-se o tempo gasto, a conclusão ou não da tarefa e as barreiras percebidas.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Etapa 4 - Consolidação e análise de conformidade. Os achados foram agrupados por critério de sucesso da WCAG 2.1 e classificados por severidade. Aplicou-se entao a regra de conformidade do W3C, segundo a qual um sítio só atinge determinado nível se satisfizer integralmente todos os critérios daquele nível e dos anteriores - basta uma falha de Nível A para que a página não seja conforme em nenhum nível.</w:t>
      </w:r>
    </w:p>
    <w:p/>
    <w:p>
      <w:pPr>
        <w:spacing w:line="360" w:lineRule="auto" w:after="120"/>
        <w:jc w:val="left"/>
      </w:pPr>
      <w:r>
        <w:rPr>
          <w:rFonts w:ascii="Arial" w:hAnsi="Arial"/>
          <w:b/>
          <w:sz w:val="24"/>
        </w:rPr>
        <w:t>3.3 Instrumentos utilizados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381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Instrumento</w:t>
            </w:r>
          </w:p>
        </w:tc>
        <w:tc>
          <w:tcPr>
            <w:tcW w:type="dxa" w:w="1928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Natureza</w:t>
            </w:r>
          </w:p>
        </w:tc>
        <w:tc>
          <w:tcPr>
            <w:tcW w:type="dxa" w:w="4762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Finalidade na avaliação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Checklist de 15 itens</w:t>
            </w:r>
          </w:p>
        </w:tc>
        <w:tc>
          <w:tcPr>
            <w:tcW w:type="dxa" w:w="192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Manual</w:t>
            </w:r>
          </w:p>
        </w:tc>
        <w:tc>
          <w:tcPr>
            <w:tcW w:type="dxa" w:w="4762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Verificação guiada dos requisitos essenciais, com julgamento humano.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WAVE (WebAIM)</w:t>
            </w:r>
          </w:p>
        </w:tc>
        <w:tc>
          <w:tcPr>
            <w:tcW w:type="dxa" w:w="192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Automática</w:t>
            </w:r>
          </w:p>
        </w:tc>
        <w:tc>
          <w:tcPr>
            <w:tcW w:type="dxa" w:w="4762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Detecção de erros sobre a página renderizada e contagem por categoria.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ASES (Governo Federal)</w:t>
            </w:r>
          </w:p>
        </w:tc>
        <w:tc>
          <w:tcPr>
            <w:tcW w:type="dxa" w:w="192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Automática</w:t>
            </w:r>
          </w:p>
        </w:tc>
        <w:tc>
          <w:tcPr>
            <w:tcW w:type="dxa" w:w="4762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Nota de aderência ao eMAG 3.1 e ocorrências por seção do modelo.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axe-core 4.10.2 (Deque)</w:t>
            </w:r>
          </w:p>
        </w:tc>
        <w:tc>
          <w:tcPr>
            <w:tcW w:type="dxa" w:w="192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Automática</w:t>
            </w:r>
          </w:p>
        </w:tc>
        <w:tc>
          <w:tcPr>
            <w:tcW w:type="dxa" w:w="4762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Verificação das regras WCAG 2.1 sobre a página já renderizada.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Amostragem de pixels</w:t>
            </w:r>
          </w:p>
        </w:tc>
        <w:tc>
          <w:tcPr>
            <w:tcW w:type="dxa" w:w="192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Automática (própria)</w:t>
            </w:r>
          </w:p>
        </w:tc>
        <w:tc>
          <w:tcPr>
            <w:tcW w:type="dxa" w:w="4762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Contraste medido na imagem da tela, sem supor a cor do fundo.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auditor_wcag.py</w:t>
            </w:r>
          </w:p>
        </w:tc>
        <w:tc>
          <w:tcPr>
            <w:tcW w:type="dxa" w:w="192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Automática (própria)</w:t>
            </w:r>
          </w:p>
        </w:tc>
        <w:tc>
          <w:tcPr>
            <w:tcW w:type="dxa" w:w="4762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Conferência cruzada dos itens automatizáveis diretamente no HTML.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simulador_mobile.py</w:t>
            </w:r>
          </w:p>
        </w:tc>
        <w:tc>
          <w:tcPr>
            <w:tcW w:type="dxa" w:w="192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Automática (própria)</w:t>
            </w:r>
          </w:p>
        </w:tc>
        <w:tc>
          <w:tcPr>
            <w:tcW w:type="dxa" w:w="4762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Emulação de smartphone, árvore de acessibilidade, alvos de toque e contraste.</w:t>
            </w:r>
          </w:p>
        </w:tc>
      </w:tr>
      <w:tr>
        <w:tc>
          <w:tcPr>
            <w:tcW w:type="dxa" w:w="238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Leitor de tela em smartphone</w:t>
            </w:r>
          </w:p>
        </w:tc>
        <w:tc>
          <w:tcPr>
            <w:tcW w:type="dxa" w:w="192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Empírica</w:t>
            </w:r>
          </w:p>
        </w:tc>
        <w:tc>
          <w:tcPr>
            <w:tcW w:type="dxa" w:w="4762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Execução de tarefa real sem apoio visual, para avaliar a experiência de uso.</w:t>
            </w:r>
          </w:p>
        </w:tc>
      </w:tr>
    </w:tbl>
    <w:p>
      <w:pPr>
        <w:spacing w:line="240" w:lineRule="auto" w:after="200"/>
        <w:jc w:val="left"/>
      </w:pPr>
      <w:r>
        <w:rPr>
          <w:rFonts w:ascii="Arial" w:hAnsi="Arial"/>
          <w:b w:val="0"/>
          <w:sz w:val="20"/>
        </w:rPr>
        <w:t>Quadro 1 - Instrumentos empregados na avaliação. Fonte: elaborado pelos autores.</w:t>
      </w:r>
    </w:p>
    <w:p/>
    <w:p>
      <w:pPr>
        <w:spacing w:line="360" w:lineRule="auto" w:after="120"/>
        <w:jc w:val="left"/>
      </w:pPr>
      <w:r>
        <w:rPr>
          <w:rFonts w:ascii="Arial" w:hAnsi="Arial"/>
          <w:b/>
          <w:sz w:val="24"/>
        </w:rPr>
        <w:t>4 AVALIAÇÃO E RESULTADOS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Esta seção apresenta os resultados obtidos em cada frente de avaliação, partindo da inspeção humana, passando pelas medições automatizadas e encerrando na análise consolidada de conformidade.</w:t>
      </w:r>
    </w:p>
    <w:p/>
    <w:p>
      <w:pPr>
        <w:spacing w:line="360" w:lineRule="auto" w:after="120"/>
        <w:jc w:val="left"/>
      </w:pPr>
      <w:r>
        <w:rPr>
          <w:rFonts w:ascii="Arial" w:hAnsi="Arial"/>
          <w:b/>
          <w:sz w:val="24"/>
        </w:rPr>
        <w:t>4.1 Resultados da inspeção manual (checklist de 15 itens)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A inspeção manual aplicou o checklist de 15 itens essenciais sobre as páginas do recorte, com o sítio aberto no navegador e com uso das ferramentas de desenvolvedor para leitura do código-fonte. O Quadro 2 apresenta o resultado item a item, com a indicacao do critério de sucesso da WCAG 2.1 e da recomendação correspondente do eMAG 3.1.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510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#</w:t>
            </w:r>
          </w:p>
        </w:tc>
        <w:tc>
          <w:tcPr>
            <w:tcW w:type="dxa" w:w="2268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Item verificado</w:t>
            </w:r>
          </w:p>
        </w:tc>
        <w:tc>
          <w:tcPr>
            <w:tcW w:type="dxa" w:w="2098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Critério WCAG 2.1 (nível)</w:t>
            </w:r>
          </w:p>
        </w:tc>
        <w:tc>
          <w:tcPr>
            <w:tcW w:type="dxa" w:w="1247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Situação</w:t>
            </w:r>
          </w:p>
        </w:tc>
        <w:tc>
          <w:tcPr>
            <w:tcW w:type="dxa" w:w="2948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Observação</w:t>
            </w:r>
          </w:p>
        </w:tc>
      </w:tr>
      <w:tr>
        <w:tc>
          <w:tcPr>
            <w:tcW w:type="dxa" w:w="510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Texto alternativo em imagens</w:t>
            </w:r>
          </w:p>
        </w:tc>
        <w:tc>
          <w:tcPr>
            <w:tcW w:type="dxa" w:w="209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1.1.1 Conteúdo não textual (A)</w:t>
            </w:r>
          </w:p>
        </w:tc>
        <w:tc>
          <w:tcPr>
            <w:tcW w:type="dxa" w:w="124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Parcial</w:t>
            </w:r>
          </w:p>
        </w:tc>
        <w:tc>
          <w:tcPr>
            <w:tcW w:type="dxa" w:w="294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Nas 3 páginas auditadas, 13 imagens na página inicial e nenhuma sem atributo alt nem com alt genérico ou nome de arquivo. O axe-core, porém, apontou 4 imagens cujo texto alternativo repete literalmente o texto do link ao lado, fazendo o leitor de tela anunciar a mesma informação duas vezes.</w:t>
            </w:r>
          </w:p>
        </w:tc>
      </w:tr>
      <w:tr>
        <w:tc>
          <w:tcPr>
            <w:tcW w:type="dxa" w:w="510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Hierarquia de cabeçalhos</w:t>
            </w:r>
          </w:p>
        </w:tc>
        <w:tc>
          <w:tcPr>
            <w:tcW w:type="dxa" w:w="209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1.3.1 Informações e relacoes (A)</w:t>
            </w:r>
          </w:p>
        </w:tc>
        <w:tc>
          <w:tcPr>
            <w:tcW w:type="dxa" w:w="124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Não conforme</w:t>
            </w:r>
          </w:p>
        </w:tc>
        <w:tc>
          <w:tcPr>
            <w:tcW w:type="dxa" w:w="294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A página inicial possui 15 cabeçalhos, mas nenhum &lt;h1&gt;; a página de contato não possui cabeçalho algum. Apenas a página de notícias declara um &lt;h1&gt;. Sem &lt;h1&gt;, o leitor de tela não identifica o título principal e a navegação por cabeçalhos perde o ponto de partida.</w:t>
            </w:r>
          </w:p>
        </w:tc>
      </w:tr>
      <w:tr>
        <w:tc>
          <w:tcPr>
            <w:tcW w:type="dxa" w:w="510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Idioma da página declarado</w:t>
            </w:r>
          </w:p>
        </w:tc>
        <w:tc>
          <w:tcPr>
            <w:tcW w:type="dxa" w:w="209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3.1.1 Idioma da página (A)</w:t>
            </w:r>
          </w:p>
        </w:tc>
        <w:tc>
          <w:tcPr>
            <w:tcW w:type="dxa" w:w="124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Conforme</w:t>
            </w:r>
          </w:p>
        </w:tc>
        <w:tc>
          <w:tcPr>
            <w:tcW w:type="dxa" w:w="294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As 3 páginas declaram lang="pt-br" na tag &lt;html&gt;, permitindo que o leitor de tela escolha a pronúncia correta.</w:t>
            </w:r>
          </w:p>
        </w:tc>
      </w:tr>
      <w:tr>
        <w:tc>
          <w:tcPr>
            <w:tcW w:type="dxa" w:w="510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Título de página descritivo</w:t>
            </w:r>
          </w:p>
        </w:tc>
        <w:tc>
          <w:tcPr>
            <w:tcW w:type="dxa" w:w="209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2.4.2 Página com título (A)</w:t>
            </w:r>
          </w:p>
        </w:tc>
        <w:tc>
          <w:tcPr>
            <w:tcW w:type="dxa" w:w="124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Conforme</w:t>
            </w:r>
          </w:p>
        </w:tc>
        <w:tc>
          <w:tcPr>
            <w:tcW w:type="dxa" w:w="294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Cada página possui &lt;title&gt; único e descritivo: "Campus Maceió — Instituto Federal de Alagoas", "Notícias — Instituto Federal de Alagoas" e "Instituto Federal de Alagoas". O título da página de contato, porém, não distingue a seção.</w:t>
            </w:r>
          </w:p>
        </w:tc>
      </w:tr>
      <w:tr>
        <w:tc>
          <w:tcPr>
            <w:tcW w:type="dxa" w:w="510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Contraste mínimo de cores</w:t>
            </w:r>
          </w:p>
        </w:tc>
        <w:tc>
          <w:tcPr>
            <w:tcW w:type="dxa" w:w="209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1.4.3 Contraste (mínimo) (AA)</w:t>
            </w:r>
          </w:p>
        </w:tc>
        <w:tc>
          <w:tcPr>
            <w:tcW w:type="dxa" w:w="124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Não conforme</w:t>
            </w:r>
          </w:p>
        </w:tc>
        <w:tc>
          <w:tcPr>
            <w:tcW w:type="dxa" w:w="294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Medição por amostragem de pixels reais da página renderizada. Reprovações confirmadas: botões de navegação do banner rotativo, azul rgb(44,103,205) sobre verde rgb(14,86,31), razão de 1,66:1 (exige 4,5:1); o botão do slide ativo, azul sobre âmbar rgb(255,180,0), 3,0:1; o link "Voltar para o topo", cinza rgb(119,119,119) sobre branco, 4,48:1; e a Barra do Governo Federal, branco sobre cinza #7F7F7F, 4,0:1. As legendas brancas sobre as fotos do banner não puderam ser medidas automaticamente e exigem conferência visual.</w:t>
            </w:r>
          </w:p>
        </w:tc>
      </w:tr>
      <w:tr>
        <w:tc>
          <w:tcPr>
            <w:tcW w:type="dxa" w:w="510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6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Cor não é o único meio de transmitir informação</w:t>
            </w:r>
          </w:p>
        </w:tc>
        <w:tc>
          <w:tcPr>
            <w:tcW w:type="dxa" w:w="209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1.4.1 Uso de cores (A)</w:t>
            </w:r>
          </w:p>
        </w:tc>
        <w:tc>
          <w:tcPr>
            <w:tcW w:type="dxa" w:w="124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Não conforme</w:t>
            </w:r>
          </w:p>
        </w:tc>
        <w:tc>
          <w:tcPr>
            <w:tcW w:type="dxa" w:w="294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No banner rotativo, o slide em exibição é sinalizado apenas pela cor de fundo do botão numérico: âmbar rgb(255,180,0) para o ativo e verde rgb(14,86,31) para os demais. Não há mudança de forma, contorno, sublinhado, ícone ou texto alternativo. Quem não distingue essas cores não identifica em que slide está.</w:t>
            </w:r>
          </w:p>
        </w:tc>
      </w:tr>
      <w:tr>
        <w:tc>
          <w:tcPr>
            <w:tcW w:type="dxa" w:w="510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7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Redimensionamento de texto até 200%</w:t>
            </w:r>
          </w:p>
        </w:tc>
        <w:tc>
          <w:tcPr>
            <w:tcW w:type="dxa" w:w="209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1.4.4 Redimensionar texto (AA)</w:t>
            </w:r>
          </w:p>
        </w:tc>
        <w:tc>
          <w:tcPr>
            <w:tcW w:type="dxa" w:w="124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Parcial</w:t>
            </w:r>
          </w:p>
        </w:tc>
        <w:tc>
          <w:tcPr>
            <w:tcW w:type="dxa" w:w="294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O meta viewport não bloqueia ampliação e, a 200% de zoom, a página não gera rolagem horizontal. Porém, ao aplicar o espaçamento de texto exigido pelo critério 1.4.12 (entrelinha 1,5; espaçamento entre letras 0,12em; entre palavras 0,16em), surge rolagem horizontal e 3 elementos têm o conteúdo cortado.</w:t>
            </w:r>
          </w:p>
        </w:tc>
      </w:tr>
      <w:tr>
        <w:tc>
          <w:tcPr>
            <w:tcW w:type="dxa" w:w="510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8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Navegação completa por teclado</w:t>
            </w:r>
          </w:p>
        </w:tc>
        <w:tc>
          <w:tcPr>
            <w:tcW w:type="dxa" w:w="209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2.1.1 Teclado / 2.1.2 Sem bloqueio de teclado (A)</w:t>
            </w:r>
          </w:p>
        </w:tc>
        <w:tc>
          <w:tcPr>
            <w:tcW w:type="dxa" w:w="124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Conforme</w:t>
            </w:r>
          </w:p>
        </w:tc>
        <w:tc>
          <w:tcPr>
            <w:tcW w:type="dxa" w:w="294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Percurso completo por Tab na página inicial: 117 elementos interativos visíveis e 118 pontos de parada alcançados, ou seja, tudo que é clicável também é acessível pelo teclado. Shift+Tab retorna corretamente e não foi detectada armadilha de foco. O portal ainda oferece 4 atalhos de salto (Alt+1 a Alt+4).</w:t>
            </w:r>
          </w:p>
        </w:tc>
      </w:tr>
      <w:tr>
        <w:tc>
          <w:tcPr>
            <w:tcW w:type="dxa" w:w="510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9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Indicador de foco visível</w:t>
            </w:r>
          </w:p>
        </w:tc>
        <w:tc>
          <w:tcPr>
            <w:tcW w:type="dxa" w:w="209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2.4.7 Foco visível (AA)</w:t>
            </w:r>
          </w:p>
        </w:tc>
        <w:tc>
          <w:tcPr>
            <w:tcW w:type="dxa" w:w="124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Parcial</w:t>
            </w:r>
          </w:p>
        </w:tc>
        <w:tc>
          <w:tcPr>
            <w:tcW w:type="dxa" w:w="294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Todos os 118 pontos de parada exibem indicador de foco: contorno sólido de 2px na cor rgb(241,202,127). Sobre os fundos verdes do cabeçalho e do rodapé o indicador atinge 5,81:1 e 6,96:1. Sobre o fundo branco da área de conteúdo, porém, a razão cai para 1,56:1, abaixo dos 3:1 exigidos pelo critério 1.4.11, tornando o foco pouco perceptível justamente onde está a maior parte dos links.</w:t>
            </w:r>
          </w:p>
        </w:tc>
      </w:tr>
      <w:tr>
        <w:tc>
          <w:tcPr>
            <w:tcW w:type="dxa" w:w="510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10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Link para pular ao conteúdo principal</w:t>
            </w:r>
          </w:p>
        </w:tc>
        <w:tc>
          <w:tcPr>
            <w:tcW w:type="dxa" w:w="209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2.4.1 Ignorar blocos (A)</w:t>
            </w:r>
          </w:p>
        </w:tc>
        <w:tc>
          <w:tcPr>
            <w:tcW w:type="dxa" w:w="124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Conforme</w:t>
            </w:r>
          </w:p>
        </w:tc>
        <w:tc>
          <w:tcPr>
            <w:tcW w:type="dxa" w:w="294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O portal implementa a barra de acessibilidade padrão do Governo Federal com 4 links de salto no início do documento: "Ir para o conteúdo" (Alt+1), "Ir para o menu" (Alt+2), "Ir para a busca" (Alt+3) e "Ir para o rodapé" (Alt+4), todos visíveis e funcionais.</w:t>
            </w:r>
          </w:p>
        </w:tc>
      </w:tr>
      <w:tr>
        <w:tc>
          <w:tcPr>
            <w:tcW w:type="dxa" w:w="510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Rótulos associados aos campos de formulário</w:t>
            </w:r>
          </w:p>
        </w:tc>
        <w:tc>
          <w:tcPr>
            <w:tcW w:type="dxa" w:w="209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3.3.2 Rótulos ou instruções / 4.1.2 Nome, função, valor (A)</w:t>
            </w:r>
          </w:p>
        </w:tc>
        <w:tc>
          <w:tcPr>
            <w:tcW w:type="dxa" w:w="124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Conforme</w:t>
            </w:r>
          </w:p>
        </w:tc>
        <w:tc>
          <w:tcPr>
            <w:tcW w:type="dxa" w:w="294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Todos os campos de formulário encontrados possuem rótulo associado: o campo de busca usa &lt;label class="hiddenStructure" for="nolivesearchGadget"&gt; mais atributo title, e o formulário de acesso usa &lt;label for&gt; nos campos de usuário e senha. Nenhum campo depende apenas de placeholder.</w:t>
            </w:r>
          </w:p>
        </w:tc>
      </w:tr>
      <w:tr>
        <w:tc>
          <w:tcPr>
            <w:tcW w:type="dxa" w:w="510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12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Identificação e sugestão de correção de erros</w:t>
            </w:r>
          </w:p>
        </w:tc>
        <w:tc>
          <w:tcPr>
            <w:tcW w:type="dxa" w:w="209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3.3.1 Identificação do erro / 3.3.3 Sugestão de erro (A / AA)</w:t>
            </w:r>
          </w:p>
        </w:tc>
        <w:tc>
          <w:tcPr>
            <w:tcW w:type="dxa" w:w="124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Não aplicável</w:t>
            </w:r>
          </w:p>
        </w:tc>
        <w:tc>
          <w:tcPr>
            <w:tcW w:type="dxa" w:w="294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As páginas avaliadas não possuem formulário de entrada de dados com validação: a página "Contato" apresenta apenas informações de telefone e endereço, sem formulário de mensagem. Os únicos formulários presentes são a busca do portal e o acesso restrito. Registra-se, ainda assim, que em nenhuma das páginas há qualquer semântica de erro: zero ocorrências de required, aria-required, aria-invalid, aria-describedby ou role="alert".</w:t>
            </w:r>
          </w:p>
        </w:tc>
      </w:tr>
      <w:tr>
        <w:tc>
          <w:tcPr>
            <w:tcW w:type="dxa" w:w="510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13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Links com texto descritivo</w:t>
            </w:r>
          </w:p>
        </w:tc>
        <w:tc>
          <w:tcPr>
            <w:tcW w:type="dxa" w:w="209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2.4.4 Finalidade do link (no contexto) (A)</w:t>
            </w:r>
          </w:p>
        </w:tc>
        <w:tc>
          <w:tcPr>
            <w:tcW w:type="dxa" w:w="124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Parcial</w:t>
            </w:r>
          </w:p>
        </w:tc>
        <w:tc>
          <w:tcPr>
            <w:tcW w:type="dxa" w:w="294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Nas 3 páginas avaliadas, os 128 links da página inicial, 128 da de notícias e 54 da de contato possuem texto acessível, sem ocorrências de "clique aqui" ou equivalentes. Na página institucional de Acessibilidade, porém, dois links usam a URL crua como texto visível, que o leitor de tela soletra caractere a caractere.</w:t>
            </w:r>
          </w:p>
        </w:tc>
      </w:tr>
      <w:tr>
        <w:tc>
          <w:tcPr>
            <w:tcW w:type="dxa" w:w="510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14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Controle de conteúdo em movimento</w:t>
            </w:r>
          </w:p>
        </w:tc>
        <w:tc>
          <w:tcPr>
            <w:tcW w:type="dxa" w:w="209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2.2.2 Pausar, parar, ocultar (A)</w:t>
            </w:r>
          </w:p>
        </w:tc>
        <w:tc>
          <w:tcPr>
            <w:tcW w:type="dxa" w:w="124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Não conforme</w:t>
            </w:r>
          </w:p>
        </w:tc>
        <w:tc>
          <w:tcPr>
            <w:tcW w:type="dxa" w:w="294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A leitura do script banner_rotativo.js confirma que o banner da página inicial troca de slide sozinho a cada 4000 ms, reagendando-se indefinidamente. O movimento só é suspenso enquanto o ponteiro ou o foco permanece sobre um link do banner, e não existe botão de pausar, parar ou ocultar. Isso contraria diretamente o critério 2.2.2, de Nível A.</w:t>
            </w:r>
          </w:p>
        </w:tc>
      </w:tr>
      <w:tr>
        <w:tc>
          <w:tcPr>
            <w:tcW w:type="dxa" w:w="510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15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Estrutura semântica e marcação válida</w:t>
            </w:r>
          </w:p>
        </w:tc>
        <w:tc>
          <w:tcPr>
            <w:tcW w:type="dxa" w:w="209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1.3.1 Informações e relacoes / 4.1.1 Análise / 4.1.2 Nome, função, valor (A)</w:t>
            </w:r>
          </w:p>
        </w:tc>
        <w:tc>
          <w:tcPr>
            <w:tcW w:type="dxa" w:w="124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Parcial</w:t>
            </w:r>
          </w:p>
        </w:tc>
        <w:tc>
          <w:tcPr>
            <w:tcW w:type="dxa" w:w="294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Não há identificadores duplicados, iframes sem title, tabelas sem &lt;th&gt;, botões sem nome acessível nem manipuladores de evento embutidos. O portal declara as regiões role="banner", role="main" e role="contentinfo", mas não declara nenhuma região de navegação (&lt;nav&gt; ou role="navigation"). Em consequência, o axe-core apontou de 3 a 4 blocos de conteúdo fora de qualquer região em cada página.</w:t>
            </w:r>
          </w:p>
        </w:tc>
      </w:tr>
    </w:tbl>
    <w:p>
      <w:pPr>
        <w:spacing w:line="240" w:lineRule="auto" w:after="200"/>
        <w:jc w:val="left"/>
      </w:pPr>
      <w:r>
        <w:rPr>
          <w:rFonts w:ascii="Arial" w:hAnsi="Arial"/>
          <w:b w:val="0"/>
          <w:sz w:val="20"/>
        </w:rPr>
        <w:t>Quadro 2 - Resultado da inspeção manual pelo checklist de 15 itens. Fonte: elaborado pelos autores.</w:t>
      </w:r>
    </w:p>
    <w:p/>
    <w:p>
      <w:pPr>
        <w:spacing w:line="360" w:lineRule="auto" w:after="120"/>
        <w:jc w:val="left"/>
      </w:pPr>
      <w:r>
        <w:rPr>
          <w:rFonts w:ascii="Arial" w:hAnsi="Arial"/>
          <w:b/>
          <w:sz w:val="24"/>
        </w:rPr>
        <w:t>4.2 Resultados do avaliador automático WAVE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O WAVE, desenvolvido pelo WebAIM da Utah State University, sobrepõe ícones a própria renderização da página, distinguindo erros (falhas certas de acessibilidade), alertas (situações que exigem julgamento humano) e recursos (boas práticas já aplicadas). O Quadro 3 sintetiza a contagem obtida.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608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Categoria</w:t>
            </w:r>
          </w:p>
        </w:tc>
        <w:tc>
          <w:tcPr>
            <w:tcW w:type="dxa" w:w="1587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Quantidade</w:t>
            </w:r>
          </w:p>
        </w:tc>
        <w:tc>
          <w:tcPr>
            <w:tcW w:type="dxa" w:w="4876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O que significa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Errors</w:t>
            </w:r>
          </w:p>
        </w:tc>
        <w:tc>
          <w:tcPr>
            <w:tcW w:type="dxa" w:w="158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n. de Errors no WAVE]</w:t>
            </w:r>
          </w:p>
        </w:tc>
        <w:tc>
          <w:tcPr>
            <w:tcW w:type="dxa" w:w="4876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Falhas certas que impedem o acesso por tecnologia assistiva.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Contrast Errors</w:t>
            </w:r>
          </w:p>
        </w:tc>
        <w:tc>
          <w:tcPr>
            <w:tcW w:type="dxa" w:w="158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n. de Contrast Errors]</w:t>
            </w:r>
          </w:p>
        </w:tc>
        <w:tc>
          <w:tcPr>
            <w:tcW w:type="dxa" w:w="4876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Textos abaixo da razão mínima de contraste exigida (WCAG 1.4.3).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Alerts</w:t>
            </w:r>
          </w:p>
        </w:tc>
        <w:tc>
          <w:tcPr>
            <w:tcW w:type="dxa" w:w="158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n. de Alerts]</w:t>
            </w:r>
          </w:p>
        </w:tc>
        <w:tc>
          <w:tcPr>
            <w:tcW w:type="dxa" w:w="4876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Ocorrências que exigem verificação manual para confirmar a falha.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Features</w:t>
            </w:r>
          </w:p>
        </w:tc>
        <w:tc>
          <w:tcPr>
            <w:tcW w:type="dxa" w:w="158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n. de Features]</w:t>
            </w:r>
          </w:p>
        </w:tc>
        <w:tc>
          <w:tcPr>
            <w:tcW w:type="dxa" w:w="4876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Recursos de acessibilidade corretamente implementados.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Structural Elements</w:t>
            </w:r>
          </w:p>
        </w:tc>
        <w:tc>
          <w:tcPr>
            <w:tcW w:type="dxa" w:w="158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n. de Structural Elements]</w:t>
            </w:r>
          </w:p>
        </w:tc>
        <w:tc>
          <w:tcPr>
            <w:tcW w:type="dxa" w:w="4876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Cabeçalhos, listas e regiões que estruturam a leitura da página.</w:t>
            </w:r>
          </w:p>
        </w:tc>
      </w:tr>
      <w:tr>
        <w:tc>
          <w:tcPr>
            <w:tcW w:type="dxa" w:w="2608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ARIA</w:t>
            </w:r>
          </w:p>
        </w:tc>
        <w:tc>
          <w:tcPr>
            <w:tcW w:type="dxa" w:w="158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n. de itens ARIA]</w:t>
            </w:r>
          </w:p>
        </w:tc>
        <w:tc>
          <w:tcPr>
            <w:tcW w:type="dxa" w:w="4876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Atributos ARIA presentes, que podem ajudar ou atrapalhar se mal usados.</w:t>
            </w:r>
          </w:p>
        </w:tc>
      </w:tr>
    </w:tbl>
    <w:p>
      <w:pPr>
        <w:spacing w:line="240" w:lineRule="auto" w:after="200"/>
        <w:jc w:val="left"/>
      </w:pPr>
      <w:r>
        <w:rPr>
          <w:rFonts w:ascii="Arial" w:hAnsi="Arial"/>
          <w:b w:val="0"/>
          <w:sz w:val="20"/>
        </w:rPr>
        <w:t>Quadro 3 - Síntese do relatório WAVE. Fonte: WebAIM (wave.webaim.org).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 xml:space="preserve">Os erros de maior incidência relatados pela ferramenta foram: </w:t>
      </w:r>
      <w:r>
        <w:rPr>
          <w:rFonts w:ascii="Arial" w:hAnsi="Arial"/>
          <w:b/>
          <w:sz w:val="24"/>
          <w:highlight w:val="yellow"/>
        </w:rPr>
        <w:t>[PREENCHER: liste os erros mais frequentes, ex.: 'Missing alternative text (12), Empty link (7), Missing form label (3)']</w:t>
      </w:r>
      <w:r>
        <w:rPr>
          <w:rFonts w:ascii="Arial" w:hAnsi="Arial"/>
          <w:b w:val="0"/>
          <w:sz w:val="24"/>
        </w:rPr>
        <w:t>.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Cabe registrar a limitação intrínseca desse tipo de ferramenta: o WAVE identifica a ausência do atributo alt, mas não avalia se o texto alternativo existente descreve adequadamente a imagem. Por isso os números deste quadro representam o piso, e não o total, dos problemas de acessibilidade do sítio.</w:t>
      </w:r>
    </w:p>
    <w:p/>
    <w:p>
      <w:pPr>
        <w:spacing w:line="360" w:lineRule="auto" w:after="120"/>
        <w:jc w:val="left"/>
      </w:pPr>
      <w:r>
        <w:rPr>
          <w:rFonts w:ascii="Arial" w:hAnsi="Arial"/>
          <w:b/>
          <w:sz w:val="24"/>
        </w:rPr>
        <w:t>4.3 Resultados do avaliador automático ASES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 xml:space="preserve">O ASES é o avaliador oficial do Governo Federal brasileiro e verifica a aderência ao eMAG 3.1, atribuindo nota de 0 a 100 e agrupando as ocorrências nas seis seções do modelo. A nota geral obtida pelo sítio avaliado foi de </w:t>
      </w:r>
      <w:r>
        <w:rPr>
          <w:rFonts w:ascii="Arial" w:hAnsi="Arial"/>
          <w:b/>
          <w:sz w:val="24"/>
          <w:highlight w:val="yellow"/>
        </w:rPr>
        <w:t>[PREENCHER: nota do ASES, ex.: 78,4]</w:t>
      </w:r>
      <w:r>
        <w:rPr>
          <w:rFonts w:ascii="Arial" w:hAnsi="Arial"/>
          <w:b w:val="0"/>
          <w:sz w:val="24"/>
        </w:rPr>
        <w:t>%.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4535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Seção do eMAG</w:t>
            </w:r>
          </w:p>
        </w:tc>
        <w:tc>
          <w:tcPr>
            <w:tcW w:type="dxa" w:w="2268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Erros</w:t>
            </w:r>
          </w:p>
        </w:tc>
        <w:tc>
          <w:tcPr>
            <w:tcW w:type="dxa" w:w="2268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Avisos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1. Marcação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erros]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avisos]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2. Comportamento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erros]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avisos]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3. Conteúdo / Informação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erros]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avisos]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4. Apresentação / Design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erros]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avisos]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5. Multimídia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erros]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avisos]</w:t>
            </w:r>
          </w:p>
        </w:tc>
      </w:tr>
      <w:tr>
        <w:tc>
          <w:tcPr>
            <w:tcW w:type="dxa" w:w="4535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6. Formulários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erros]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avisos]</w:t>
            </w:r>
          </w:p>
        </w:tc>
      </w:tr>
    </w:tbl>
    <w:p>
      <w:pPr>
        <w:spacing w:line="240" w:lineRule="auto" w:after="200"/>
        <w:jc w:val="left"/>
      </w:pPr>
      <w:r>
        <w:rPr>
          <w:rFonts w:ascii="Arial" w:hAnsi="Arial"/>
          <w:b w:val="0"/>
          <w:sz w:val="20"/>
        </w:rPr>
        <w:t>Quadro 4 - Ocorrências por seção do eMAG 3.1 segundo o ASES. Fonte: asesweb.governoeletronico.gov.br.</w:t>
      </w:r>
    </w:p>
    <w:p/>
    <w:p>
      <w:pPr>
        <w:spacing w:line="360" w:lineRule="auto" w:after="120"/>
        <w:jc w:val="left"/>
      </w:pPr>
      <w:r>
        <w:rPr>
          <w:rFonts w:ascii="Arial" w:hAnsi="Arial"/>
          <w:b/>
          <w:sz w:val="24"/>
        </w:rPr>
        <w:t>4.4 Resultados do avaliador automático axe-core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O WAVE e o ASES dependem de execução interativa no navegador — o ASES, inclusive, protege o envio com CAPTCHA. Para que a etapa de avaliação automatizada não ficasse sem medição, utilizou-se o axe-core, motor de auditoria mantido pela Deque Systems e empregado pelas próprias extensões WAVE e Lighthouse. Motor injetado na página já renderizada em Chromium (viewport 1366x900), executando o conjunto completo de regras e separando violações de Critérios de Sucesso da WCAG das regras classificadas como boas práticas.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3061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Página</w:t>
            </w:r>
          </w:p>
        </w:tc>
        <w:tc>
          <w:tcPr>
            <w:tcW w:type="dxa" w:w="1361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Regras aprovadas</w:t>
            </w:r>
          </w:p>
        </w:tc>
        <w:tc>
          <w:tcPr>
            <w:tcW w:type="dxa" w:w="1474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Violações WCAG A/AA</w:t>
            </w:r>
          </w:p>
        </w:tc>
        <w:tc>
          <w:tcPr>
            <w:tcW w:type="dxa" w:w="1247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Boas práticas</w:t>
            </w:r>
          </w:p>
        </w:tc>
        <w:tc>
          <w:tcPr>
            <w:tcW w:type="dxa" w:w="1361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Revisão manual</w:t>
            </w:r>
          </w:p>
        </w:tc>
      </w:tr>
      <w:tr>
        <w:tc>
          <w:tcPr>
            <w:tcW w:type="dxa" w:w="3061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/campus/maceio</w:t>
            </w:r>
          </w:p>
        </w:tc>
        <w:tc>
          <w:tcPr>
            <w:tcW w:type="dxa" w:w="136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41</w:t>
            </w:r>
          </w:p>
        </w:tc>
        <w:tc>
          <w:tcPr>
            <w:tcW w:type="dxa" w:w="1474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0</w:t>
            </w:r>
          </w:p>
        </w:tc>
        <w:tc>
          <w:tcPr>
            <w:tcW w:type="dxa" w:w="124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8</w:t>
            </w:r>
          </w:p>
        </w:tc>
        <w:tc>
          <w:tcPr>
            <w:tcW w:type="dxa" w:w="1361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31</w:t>
            </w:r>
          </w:p>
        </w:tc>
      </w:tr>
      <w:tr>
        <w:tc>
          <w:tcPr>
            <w:tcW w:type="dxa" w:w="306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/campus/maceio/noticias</w:t>
            </w:r>
          </w:p>
        </w:tc>
        <w:tc>
          <w:tcPr>
            <w:tcW w:type="dxa" w:w="136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40</w:t>
            </w:r>
          </w:p>
        </w:tc>
        <w:tc>
          <w:tcPr>
            <w:tcW w:type="dxa" w:w="1474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0</w:t>
            </w:r>
          </w:p>
        </w:tc>
        <w:tc>
          <w:tcPr>
            <w:tcW w:type="dxa" w:w="124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361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25</w:t>
            </w:r>
          </w:p>
        </w:tc>
      </w:tr>
      <w:tr>
        <w:tc>
          <w:tcPr>
            <w:tcW w:type="dxa" w:w="306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/campus/maceio/contato</w:t>
            </w:r>
          </w:p>
        </w:tc>
        <w:tc>
          <w:tcPr>
            <w:tcW w:type="dxa" w:w="136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35</w:t>
            </w:r>
          </w:p>
        </w:tc>
        <w:tc>
          <w:tcPr>
            <w:tcW w:type="dxa" w:w="1474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0</w:t>
            </w:r>
          </w:p>
        </w:tc>
        <w:tc>
          <w:tcPr>
            <w:tcW w:type="dxa" w:w="124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361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25</w:t>
            </w:r>
          </w:p>
        </w:tc>
      </w:tr>
    </w:tbl>
    <w:p>
      <w:pPr>
        <w:spacing w:line="240" w:lineRule="auto" w:after="200"/>
        <w:jc w:val="left"/>
      </w:pPr>
      <w:r>
        <w:rPr>
          <w:rFonts w:ascii="Arial" w:hAnsi="Arial"/>
          <w:b w:val="0"/>
          <w:sz w:val="20"/>
        </w:rPr>
        <w:t>Quadro 5 - Resultado do axe-core 4.10.2 por página avaliada. Fonte: os autores.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O resultado exige leitura cuidadosa. O axe-core não encontrou nenhuma violação direta de Critério de Sucesso da WCAG 2.1 nos níveis A e AA nas três páginas, o que confirma que a base técnica do portal, herdada do Plone com a Identidade Digital do Governo, é sólida: idioma declarado, títulos presentes, rótulos associados e nenhum identificador duplicado.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As ocorrências classificadas como boas práticas, somadas as três páginas, foram:</w:t>
      </w:r>
    </w:p>
    <w:p>
      <w:pPr>
        <w:spacing w:line="360" w:lineRule="auto" w:after="80"/>
        <w:ind w:left="709"/>
        <w:jc w:val="both"/>
      </w:pPr>
      <w:r>
        <w:rPr>
          <w:rFonts w:ascii="Arial" w:hAnsi="Arial"/>
          <w:sz w:val="24"/>
        </w:rPr>
        <w:t xml:space="preserve">• </w:t>
      </w:r>
      <w:r>
        <w:rPr>
          <w:rFonts w:ascii="Arial" w:hAnsi="Arial"/>
          <w:sz w:val="24"/>
        </w:rPr>
        <w:t>region — 10 ocorrência(s): All page content should be contained by landmarks.</w:t>
      </w:r>
    </w:p>
    <w:p>
      <w:pPr>
        <w:spacing w:line="360" w:lineRule="auto" w:after="80"/>
        <w:ind w:left="709"/>
        <w:jc w:val="both"/>
      </w:pPr>
      <w:r>
        <w:rPr>
          <w:rFonts w:ascii="Arial" w:hAnsi="Arial"/>
          <w:sz w:val="24"/>
        </w:rPr>
        <w:t xml:space="preserve">• </w:t>
      </w:r>
      <w:r>
        <w:rPr>
          <w:rFonts w:ascii="Arial" w:hAnsi="Arial"/>
          <w:sz w:val="24"/>
        </w:rPr>
        <w:t>image-redundant-alt — 4 ocorrência(s): Alternative text of images should not be repeated as text.</w:t>
      </w:r>
    </w:p>
    <w:p>
      <w:pPr>
        <w:spacing w:line="360" w:lineRule="auto" w:after="80"/>
        <w:ind w:left="709"/>
        <w:jc w:val="both"/>
      </w:pPr>
      <w:r>
        <w:rPr>
          <w:rFonts w:ascii="Arial" w:hAnsi="Arial"/>
          <w:sz w:val="24"/>
        </w:rPr>
        <w:t xml:space="preserve">• </w:t>
      </w:r>
      <w:r>
        <w:rPr>
          <w:rFonts w:ascii="Arial" w:hAnsi="Arial"/>
          <w:sz w:val="24"/>
        </w:rPr>
        <w:t>page-has-heading-one — 2 ocorrência(s): Page should contain a level-one heading.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A ferramenta ainda devolveu ocorrências que ela própria não consegue decidir sozinha e transfere ao avaliador humano:</w:t>
      </w:r>
    </w:p>
    <w:p>
      <w:pPr>
        <w:spacing w:line="360" w:lineRule="auto" w:after="80"/>
        <w:ind w:left="709"/>
        <w:jc w:val="both"/>
      </w:pPr>
      <w:r>
        <w:rPr>
          <w:rFonts w:ascii="Arial" w:hAnsi="Arial"/>
          <w:sz w:val="24"/>
        </w:rPr>
        <w:t xml:space="preserve">• </w:t>
      </w:r>
      <w:r>
        <w:rPr>
          <w:rFonts w:ascii="Arial" w:hAnsi="Arial"/>
          <w:sz w:val="24"/>
        </w:rPr>
        <w:t>color-contrast — 80 ocorrência(s): Elements must meet minimum color contrast ratio thresholds.</w:t>
      </w:r>
    </w:p>
    <w:p>
      <w:pPr>
        <w:spacing w:line="360" w:lineRule="auto" w:after="80"/>
        <w:ind w:left="709"/>
        <w:jc w:val="both"/>
      </w:pPr>
      <w:r>
        <w:rPr>
          <w:rFonts w:ascii="Arial" w:hAnsi="Arial"/>
          <w:sz w:val="24"/>
        </w:rPr>
        <w:t xml:space="preserve">• </w:t>
      </w:r>
      <w:r>
        <w:rPr>
          <w:rFonts w:ascii="Arial" w:hAnsi="Arial"/>
          <w:sz w:val="24"/>
        </w:rPr>
        <w:t>frame-tested — 1 ocorrência(s): Frames should be tested with axe-core.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O dado mais relevante deste quadro é justamente o que a ferramenta devolveu sem resposta: a regra de contraste apareceu como indecidível dezenas de vezes porque o texto é desenhado sobre fotografias. Isso não significa aprovação — significa que o critério 1.4.3 precisou ser medido por outro caminho, descrito na subseção seguinte.</w:t>
      </w:r>
    </w:p>
    <w:p/>
    <w:p>
      <w:pPr>
        <w:spacing w:line="360" w:lineRule="auto" w:after="120"/>
        <w:jc w:val="left"/>
      </w:pPr>
      <w:r>
        <w:rPr>
          <w:rFonts w:ascii="Arial" w:hAnsi="Arial"/>
          <w:b/>
          <w:sz w:val="24"/>
        </w:rPr>
        <w:t>4.5 Medição de contraste por amostragem de pixels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Amostragem de pixels reais: o texto é pintado de transparente, a área do elemento é fotografada e a cor dominante da imagem é tomada como fundo efetivo. Isso evita o erro de supor o fundo subindo a árvore do DOM, que falha quando o elemento é desenhado sobre um irmão posicionado.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3175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Elemento</w:t>
            </w:r>
          </w:p>
        </w:tc>
        <w:tc>
          <w:tcPr>
            <w:tcW w:type="dxa" w:w="1701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Texto</w:t>
            </w:r>
          </w:p>
        </w:tc>
        <w:tc>
          <w:tcPr>
            <w:tcW w:type="dxa" w:w="1701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Fundo</w:t>
            </w:r>
          </w:p>
        </w:tc>
        <w:tc>
          <w:tcPr>
            <w:tcW w:type="dxa" w:w="907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Razão</w:t>
            </w:r>
          </w:p>
        </w:tc>
        <w:tc>
          <w:tcPr>
            <w:tcW w:type="dxa" w:w="1020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Exigido</w:t>
            </w:r>
          </w:p>
        </w:tc>
      </w:tr>
      <w:tr>
        <w:tc>
          <w:tcPr>
            <w:tcW w:type="dxa" w:w="3175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Botão de navegação do banner rotativo (slides 1, 3 e 4)</w:t>
            </w:r>
          </w:p>
        </w:tc>
        <w:tc>
          <w:tcPr>
            <w:tcW w:type="dxa" w:w="170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rgb(44,103,205)</w:t>
            </w:r>
          </w:p>
        </w:tc>
        <w:tc>
          <w:tcPr>
            <w:tcW w:type="dxa" w:w="170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rgb(14,86,31)</w:t>
            </w:r>
          </w:p>
        </w:tc>
        <w:tc>
          <w:tcPr>
            <w:tcW w:type="dxa" w:w="90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1.66:1</w:t>
            </w:r>
          </w:p>
        </w:tc>
        <w:tc>
          <w:tcPr>
            <w:tcW w:type="dxa" w:w="1020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4.5:1</w:t>
            </w:r>
          </w:p>
        </w:tc>
      </w:tr>
      <w:tr>
        <w:tc>
          <w:tcPr>
            <w:tcW w:type="dxa" w:w="3175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Botão de navegação do banner rotativo (slide ativo)</w:t>
            </w:r>
          </w:p>
        </w:tc>
        <w:tc>
          <w:tcPr>
            <w:tcW w:type="dxa" w:w="170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rgb(44,103,205)</w:t>
            </w:r>
          </w:p>
        </w:tc>
        <w:tc>
          <w:tcPr>
            <w:tcW w:type="dxa" w:w="170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rgb(255,180,0)</w:t>
            </w:r>
          </w:p>
        </w:tc>
        <w:tc>
          <w:tcPr>
            <w:tcW w:type="dxa" w:w="90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3.0:1</w:t>
            </w:r>
          </w:p>
        </w:tc>
        <w:tc>
          <w:tcPr>
            <w:tcW w:type="dxa" w:w="1020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4.5:1</w:t>
            </w:r>
          </w:p>
        </w:tc>
      </w:tr>
      <w:tr>
        <w:tc>
          <w:tcPr>
            <w:tcW w:type="dxa" w:w="3175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Link "Voltar para o topo"</w:t>
            </w:r>
          </w:p>
        </w:tc>
        <w:tc>
          <w:tcPr>
            <w:tcW w:type="dxa" w:w="170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rgb(119,119,119)</w:t>
            </w:r>
          </w:p>
        </w:tc>
        <w:tc>
          <w:tcPr>
            <w:tcW w:type="dxa" w:w="170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rgb(255,255,255)</w:t>
            </w:r>
          </w:p>
        </w:tc>
        <w:tc>
          <w:tcPr>
            <w:tcW w:type="dxa" w:w="90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4.48:1</w:t>
            </w:r>
          </w:p>
        </w:tc>
        <w:tc>
          <w:tcPr>
            <w:tcW w:type="dxa" w:w="1020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4.5:1</w:t>
            </w:r>
          </w:p>
        </w:tc>
      </w:tr>
      <w:tr>
        <w:tc>
          <w:tcPr>
            <w:tcW w:type="dxa" w:w="3175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Barra do Governo Federal (barra.brasil.gov.br)</w:t>
            </w:r>
          </w:p>
        </w:tc>
        <w:tc>
          <w:tcPr>
            <w:tcW w:type="dxa" w:w="170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rgb(255,255,255)</w:t>
            </w:r>
          </w:p>
        </w:tc>
        <w:tc>
          <w:tcPr>
            <w:tcW w:type="dxa" w:w="170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rgb(127,127,127)</w:t>
            </w:r>
          </w:p>
        </w:tc>
        <w:tc>
          <w:tcPr>
            <w:tcW w:type="dxa" w:w="90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4.0:1</w:t>
            </w:r>
          </w:p>
        </w:tc>
        <w:tc>
          <w:tcPr>
            <w:tcW w:type="dxa" w:w="1020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4.5:1</w:t>
            </w:r>
          </w:p>
        </w:tc>
      </w:tr>
    </w:tbl>
    <w:p>
      <w:pPr>
        <w:spacing w:line="240" w:lineRule="auto" w:after="200"/>
        <w:jc w:val="left"/>
      </w:pPr>
      <w:r>
        <w:rPr>
          <w:rFonts w:ascii="Arial" w:hAnsi="Arial"/>
          <w:b w:val="0"/>
          <w:sz w:val="20"/>
        </w:rPr>
        <w:t>Quadro 6 - Reprovações de contraste confirmadas por amostragem de pixels na página renderizada. Fonte: os autores.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A reprovação mais severa é a dos botões numéricos que controlam o banner rotativo: com 1,66:1, o texto azul sobre o verde institucional fica praticamente indistinguível do fundo. São, ao mesmo tempo, os únicos controles do banner e alvos de apenas 22 por 20 pixels, o que os faz falhar também no critério 2.5.8.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O indicador de foco do teclado merece registro separado. Ele está sempre presente, na cor rgb(241,202,127), e atinge 5.81:1 sobre o verde do cabeçalho e 6.96:1 sobre o verde do rodapé. Sobre o fundo branco da área de conteúdo, porém, cai para 1.56:1, abaixo dos 3.0:1 exigidos pelo critério 1.4.11. O resultado é que o foco fica nítido nas bordas da página e quase invisível exatamente onde se concentra a maior parte dos links.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Registra-se, por honestidade metodológica, o que não foi possível medir: As legendas brancas sobre as fotografias do banner rotativo não puderam ser medidas: os quatro slides ocupam a mesma posição na tela e a amostra de pixels resulta em composição das camadas. Exigem conferência visual humana no site em operação.</w:t>
      </w:r>
    </w:p>
    <w:p/>
    <w:p>
      <w:pPr>
        <w:spacing w:line="360" w:lineRule="auto" w:after="120"/>
        <w:jc w:val="left"/>
      </w:pPr>
      <w:r>
        <w:rPr>
          <w:rFonts w:ascii="Arial" w:hAnsi="Arial"/>
          <w:b/>
          <w:sz w:val="24"/>
        </w:rPr>
        <w:t>4.6 Evidências visuais da avaliação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As figuras a seguir registram o estado do portal no momento da avaliação e sustentam as medições apresentadas nas subseções anteriores. Todas foram capturadas em Chromium, sobre as folhas de estilo e as imagens do próprio sítio.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470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topo-barra-acessibilida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47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left"/>
      </w:pPr>
      <w:r>
        <w:rPr>
          <w:rFonts w:ascii="Arial" w:hAnsi="Arial"/>
          <w:b w:val="0"/>
          <w:sz w:val="20"/>
        </w:rPr>
        <w:t>Figura 1 - Barra de acessibilidade do portal, com os quatro atalhos de salto (Alt+1 a Alt+4) e os links Acessibilidade, Alto Contraste e Mapa do site. Fonte: os autores.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324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carrossel-banner-rotativ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2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left"/>
      </w:pPr>
      <w:r>
        <w:rPr>
          <w:rFonts w:ascii="Arial" w:hAnsi="Arial"/>
          <w:b w:val="0"/>
          <w:sz w:val="20"/>
        </w:rPr>
        <w:t>Figura 2 - Banner rotativo da página inicial. Os botões numéricos no canto inferior direito são os únicos controles do carrossel: medem 22 por 20 pixels, apresentam razão de contraste de 1,66:1 e sinalizam o slide em exibição apenas pela cor de fundo. Fonte: os autores.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6339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oco-teclad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3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left"/>
      </w:pPr>
      <w:r>
        <w:rPr>
          <w:rFonts w:ascii="Arial" w:hAnsi="Arial"/>
          <w:b w:val="0"/>
          <w:sz w:val="20"/>
        </w:rPr>
        <w:t>Figura 3 - Indicador de foco do teclado sobre o link Acessibilidade. Sobre o verde do cabeçalho o contorno âmbar é nítido (5,81:1); sobre o branco da área de conteúdo cai para 1,56:1. Fonte: os autores.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395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reflow-320p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39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left"/>
      </w:pPr>
      <w:r>
        <w:rPr>
          <w:rFonts w:ascii="Arial" w:hAnsi="Arial"/>
          <w:b w:val="0"/>
          <w:sz w:val="20"/>
        </w:rPr>
        <w:t>Figura 4 - Página inicial renderizada em 320 pixels de largura. O conteúdo ocupa 330 pixels e provoca rolagem horizontal, contrariando o critério 1.4.10. Fonte: os autores.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400718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pagina-acessibilida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4007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200"/>
        <w:jc w:val="left"/>
      </w:pPr>
      <w:r>
        <w:rPr>
          <w:rFonts w:ascii="Arial" w:hAnsi="Arial"/>
          <w:b w:val="0"/>
          <w:sz w:val="20"/>
        </w:rPr>
        <w:t>Figura 5 - Página institucional de Acessibilidade, publicada em 2013 e modificada pela última vez em 2020. Descreve apenas três dos sete atalhos existentes e expande a sigla WCAG incorretamente. Fonte: os autores.</w:t>
      </w:r>
    </w:p>
    <w:p/>
    <w:p>
      <w:pPr>
        <w:spacing w:line="360" w:lineRule="auto" w:after="120"/>
        <w:jc w:val="left"/>
      </w:pPr>
      <w:r>
        <w:rPr>
          <w:rFonts w:ascii="Arial" w:hAnsi="Arial"/>
          <w:b/>
          <w:sz w:val="24"/>
        </w:rPr>
        <w:t>4.7 Resultados da auditoria programática do código-fonte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Como terceira frente de verificação, desenvolveu-se um auditor próprio em Python (ferramenta/auditor_wcag.py), que percorre o HTML das páginas e verifica programaticamente os nove itens automatizáveis do checklist. Seu papel e servir de conferência cruzada aos avaliadores comerciais e permitir reexecutar a medição sempre que o sítio for atualizado.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3969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Página auditada</w:t>
            </w:r>
          </w:p>
        </w:tc>
        <w:tc>
          <w:tcPr>
            <w:tcW w:type="dxa" w:w="1247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Não conf.</w:t>
            </w:r>
          </w:p>
        </w:tc>
        <w:tc>
          <w:tcPr>
            <w:tcW w:type="dxa" w:w="1247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Conformes</w:t>
            </w:r>
          </w:p>
        </w:tc>
        <w:tc>
          <w:tcPr>
            <w:tcW w:type="dxa" w:w="1020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Manual</w:t>
            </w:r>
          </w:p>
        </w:tc>
        <w:tc>
          <w:tcPr>
            <w:tcW w:type="dxa" w:w="1587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Ocorrências</w:t>
            </w:r>
          </w:p>
        </w:tc>
      </w:tr>
      <w:tr>
        <w:tc>
          <w:tcPr>
            <w:tcW w:type="dxa" w:w="3969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https://www2.ifal.edu.br/campus/maceio</w:t>
            </w:r>
          </w:p>
        </w:tc>
        <w:tc>
          <w:tcPr>
            <w:tcW w:type="dxa" w:w="124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type="dxa" w:w="124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6</w:t>
            </w:r>
          </w:p>
        </w:tc>
        <w:tc>
          <w:tcPr>
            <w:tcW w:type="dxa" w:w="1020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7</w:t>
            </w:r>
          </w:p>
        </w:tc>
        <w:tc>
          <w:tcPr>
            <w:tcW w:type="dxa" w:w="1587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</w:tr>
      <w:tr>
        <w:tc>
          <w:tcPr>
            <w:tcW w:type="dxa" w:w="3969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https://www2.ifal.edu.br/campus/maceio/noticias</w:t>
            </w:r>
          </w:p>
        </w:tc>
        <w:tc>
          <w:tcPr>
            <w:tcW w:type="dxa" w:w="124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0</w:t>
            </w:r>
          </w:p>
        </w:tc>
        <w:tc>
          <w:tcPr>
            <w:tcW w:type="dxa" w:w="124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8</w:t>
            </w:r>
          </w:p>
        </w:tc>
        <w:tc>
          <w:tcPr>
            <w:tcW w:type="dxa" w:w="1020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7</w:t>
            </w:r>
          </w:p>
        </w:tc>
        <w:tc>
          <w:tcPr>
            <w:tcW w:type="dxa" w:w="1587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0</w:t>
            </w:r>
          </w:p>
        </w:tc>
      </w:tr>
      <w:tr>
        <w:tc>
          <w:tcPr>
            <w:tcW w:type="dxa" w:w="3969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https://www2.ifal.edu.br/campus/maceio/contato</w:t>
            </w:r>
          </w:p>
        </w:tc>
        <w:tc>
          <w:tcPr>
            <w:tcW w:type="dxa" w:w="124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1247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6</w:t>
            </w:r>
          </w:p>
        </w:tc>
        <w:tc>
          <w:tcPr>
            <w:tcW w:type="dxa" w:w="1020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7</w:t>
            </w:r>
          </w:p>
        </w:tc>
        <w:tc>
          <w:tcPr>
            <w:tcW w:type="dxa" w:w="1587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</w:t>
            </w:r>
          </w:p>
        </w:tc>
      </w:tr>
    </w:tbl>
    <w:p>
      <w:pPr>
        <w:spacing w:line="240" w:lineRule="auto" w:after="200"/>
        <w:jc w:val="left"/>
      </w:pPr>
      <w:r>
        <w:rPr>
          <w:rFonts w:ascii="Arial" w:hAnsi="Arial"/>
          <w:b w:val="0"/>
          <w:sz w:val="20"/>
        </w:rPr>
        <w:t>Quadro 7 - Síntese da auditoria programática por página. Fonte: elaborado pelos autores.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A página com maior número de ocorrências foi https://www2.ifal.edu.br/campus/maceio, com 3 problemas somados. O detalhamento das falhas identificadas nessa página é apresentado no Quadro 8.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510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#</w:t>
            </w:r>
          </w:p>
        </w:tc>
        <w:tc>
          <w:tcPr>
            <w:tcW w:type="dxa" w:w="2268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Item</w:t>
            </w:r>
          </w:p>
        </w:tc>
        <w:tc>
          <w:tcPr>
            <w:tcW w:type="dxa" w:w="6293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Diagnóstico automático</w:t>
            </w:r>
          </w:p>
        </w:tc>
      </w:tr>
      <w:tr>
        <w:tc>
          <w:tcPr>
            <w:tcW w:type="dxa" w:w="510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Hierarquia de cabeçalhos</w:t>
            </w:r>
          </w:p>
        </w:tc>
        <w:tc>
          <w:tcPr>
            <w:tcW w:type="dxa" w:w="6293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15 cabeçalhos; 0 elemento(s) h1; 0 salto(s) de nível; 0 cabeçalho(s) vazio(s).</w:t>
            </w:r>
          </w:p>
        </w:tc>
      </w:tr>
      <w:tr>
        <w:tc>
          <w:tcPr>
            <w:tcW w:type="dxa" w:w="510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13</w:t>
            </w:r>
          </w:p>
        </w:tc>
        <w:tc>
          <w:tcPr>
            <w:tcW w:type="dxa" w:w="226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Links com texto descritivo</w:t>
            </w:r>
          </w:p>
        </w:tc>
        <w:tc>
          <w:tcPr>
            <w:tcW w:type="dxa" w:w="6293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125 links; 0 sem texto acessível; 2 com texto genérico ou URL crua.</w:t>
            </w:r>
          </w:p>
        </w:tc>
      </w:tr>
    </w:tbl>
    <w:p>
      <w:pPr>
        <w:spacing w:line="240" w:lineRule="auto" w:after="200"/>
        <w:jc w:val="left"/>
      </w:pPr>
      <w:r>
        <w:rPr>
          <w:rFonts w:ascii="Arial" w:hAnsi="Arial"/>
          <w:b w:val="0"/>
          <w:sz w:val="20"/>
        </w:rPr>
        <w:t>Quadro 8 - Falhas detectadas pela auditoria programática. Fonte: elaborado pelos autores.</w:t>
      </w:r>
    </w:p>
    <w:p/>
    <w:p>
      <w:pPr>
        <w:spacing w:line="360" w:lineRule="auto" w:after="120"/>
        <w:jc w:val="left"/>
      </w:pPr>
      <w:r>
        <w:rPr>
          <w:rFonts w:ascii="Arial" w:hAnsi="Arial"/>
          <w:b/>
          <w:sz w:val="24"/>
        </w:rPr>
        <w:t>4.8 Simulação automatizada de acesso por smartphone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Para tornar a avaliação mobile reproduzível e verificável, construiu-se um ambiente de teste automatizado (ferramenta/simulador_mobile.py) que emula um aparelho real em Chromium - com viewport, densidade de pixels, eventos de toque e user-agent móveis - e executa seis baterias de medição. A principal delas percorre a árvore de acessibilidade da página, que é exatamente a estrutura consumida pelo TalkBack e pelo VoiceOver, e produz a transcrição do que seria anunciado ao usuário a cada deslize.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A simulação foi executada sobre http://127.0.0.1:8899/campus/maceio.html, emulando o aparelho Google Pixel 7 (TalkBack) em viewport de 412x915 pixels lógicos. O Quadro 9 reúne as medições.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628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Medição</w:t>
            </w:r>
          </w:p>
        </w:tc>
        <w:tc>
          <w:tcPr>
            <w:tcW w:type="dxa" w:w="2041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Resultado</w:t>
            </w:r>
          </w:p>
        </w:tc>
        <w:tc>
          <w:tcPr>
            <w:tcW w:type="dxa" w:w="3402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Critério WCAG 2.1</w:t>
            </w:r>
          </w:p>
        </w:tc>
      </w:tr>
      <w:tr>
        <w:tc>
          <w:tcPr>
            <w:tcW w:type="dxa" w:w="362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Elementos anunciados sem rótulo</w:t>
            </w:r>
          </w:p>
        </w:tc>
        <w:tc>
          <w:tcPr>
            <w:tcW w:type="dxa" w:w="204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0</w:t>
            </w:r>
          </w:p>
        </w:tc>
        <w:tc>
          <w:tcPr>
            <w:tcW w:type="dxa" w:w="3402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1.1.1 / 4.1.2 (A)</w:t>
            </w:r>
          </w:p>
        </w:tc>
      </w:tr>
      <w:tr>
        <w:tc>
          <w:tcPr>
            <w:tcW w:type="dxa" w:w="362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Deslizes até o conteúdo principal</w:t>
            </w:r>
          </w:p>
        </w:tc>
        <w:tc>
          <w:tcPr>
            <w:tcW w:type="dxa" w:w="204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3402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2.4.1 (A)</w:t>
            </w:r>
          </w:p>
        </w:tc>
      </w:tr>
      <w:tr>
        <w:tc>
          <w:tcPr>
            <w:tcW w:type="dxa" w:w="362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Elementos focáveis sem foco visível</w:t>
            </w:r>
          </w:p>
        </w:tc>
        <w:tc>
          <w:tcPr>
            <w:tcW w:type="dxa" w:w="204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0</w:t>
            </w:r>
          </w:p>
        </w:tc>
        <w:tc>
          <w:tcPr>
            <w:tcW w:type="dxa" w:w="3402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2.4.7 (AA)</w:t>
            </w:r>
          </w:p>
        </w:tc>
      </w:tr>
      <w:tr>
        <w:tc>
          <w:tcPr>
            <w:tcW w:type="dxa" w:w="362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Elementos focáveis sem nome acessível</w:t>
            </w:r>
          </w:p>
        </w:tc>
        <w:tc>
          <w:tcPr>
            <w:tcW w:type="dxa" w:w="204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6</w:t>
            </w:r>
          </w:p>
        </w:tc>
        <w:tc>
          <w:tcPr>
            <w:tcW w:type="dxa" w:w="3402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4.1.2 (A)</w:t>
            </w:r>
          </w:p>
        </w:tc>
      </w:tr>
      <w:tr>
        <w:tc>
          <w:tcPr>
            <w:tcW w:type="dxa" w:w="362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Armadilha de foco</w:t>
            </w:r>
          </w:p>
        </w:tc>
        <w:tc>
          <w:tcPr>
            <w:tcW w:type="dxa" w:w="204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não detectada</w:t>
            </w:r>
          </w:p>
        </w:tc>
        <w:tc>
          <w:tcPr>
            <w:tcW w:type="dxa" w:w="3402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2.1.2 (A)</w:t>
            </w:r>
          </w:p>
        </w:tc>
      </w:tr>
      <w:tr>
        <w:tc>
          <w:tcPr>
            <w:tcW w:type="dxa" w:w="362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Alvos de toque menores que 24x24 px</w:t>
            </w:r>
          </w:p>
        </w:tc>
        <w:tc>
          <w:tcPr>
            <w:tcW w:type="dxa" w:w="204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23</w:t>
            </w:r>
          </w:p>
        </w:tc>
        <w:tc>
          <w:tcPr>
            <w:tcW w:type="dxa" w:w="3402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2.5.8 (AA)</w:t>
            </w:r>
          </w:p>
        </w:tc>
      </w:tr>
      <w:tr>
        <w:tc>
          <w:tcPr>
            <w:tcW w:type="dxa" w:w="362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Alvos de toque menores que 44x44 px</w:t>
            </w:r>
          </w:p>
        </w:tc>
        <w:tc>
          <w:tcPr>
            <w:tcW w:type="dxa" w:w="204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38</w:t>
            </w:r>
          </w:p>
        </w:tc>
        <w:tc>
          <w:tcPr>
            <w:tcW w:type="dxa" w:w="3402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2.5.5 (AAA)</w:t>
            </w:r>
          </w:p>
        </w:tc>
      </w:tr>
      <w:tr>
        <w:tc>
          <w:tcPr>
            <w:tcW w:type="dxa" w:w="362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Rolagem horizontal em 320 px</w:t>
            </w:r>
          </w:p>
        </w:tc>
        <w:tc>
          <w:tcPr>
            <w:tcW w:type="dxa" w:w="204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sim</w:t>
            </w:r>
          </w:p>
        </w:tc>
        <w:tc>
          <w:tcPr>
            <w:tcW w:type="dxa" w:w="3402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1.4.10 (AA)</w:t>
            </w:r>
          </w:p>
        </w:tc>
      </w:tr>
      <w:tr>
        <w:tc>
          <w:tcPr>
            <w:tcW w:type="dxa" w:w="362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Zoom bloqueado pela meta viewport</w:t>
            </w:r>
          </w:p>
        </w:tc>
        <w:tc>
          <w:tcPr>
            <w:tcW w:type="dxa" w:w="204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não</w:t>
            </w:r>
          </w:p>
        </w:tc>
        <w:tc>
          <w:tcPr>
            <w:tcW w:type="dxa" w:w="3402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1.4.4 (AA)</w:t>
            </w:r>
          </w:p>
        </w:tc>
      </w:tr>
      <w:tr>
        <w:tc>
          <w:tcPr>
            <w:tcW w:type="dxa" w:w="3628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Trechos reprovados no contraste</w:t>
            </w:r>
          </w:p>
        </w:tc>
        <w:tc>
          <w:tcPr>
            <w:tcW w:type="dxa" w:w="204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7 de 51</w:t>
            </w:r>
          </w:p>
        </w:tc>
        <w:tc>
          <w:tcPr>
            <w:tcW w:type="dxa" w:w="3402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1.4.3 (AA)</w:t>
            </w:r>
          </w:p>
        </w:tc>
      </w:tr>
    </w:tbl>
    <w:p>
      <w:pPr>
        <w:spacing w:line="240" w:lineRule="auto" w:after="200"/>
        <w:jc w:val="left"/>
      </w:pPr>
      <w:r>
        <w:rPr>
          <w:rFonts w:ascii="Arial" w:hAnsi="Arial"/>
          <w:b w:val="0"/>
          <w:sz w:val="20"/>
        </w:rPr>
        <w:t>Quadro 9 - Medições da simulação automatizada em smartphone. Fonte: elaborado pelos autores.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O Quadro 10 reproduz os primeiros anúncios que o leitor de tela emitiria ao percorrer a página, permitir verificar como a estrutura do código se converte em experiência sonora.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1247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Deslize</w:t>
            </w:r>
          </w:p>
        </w:tc>
        <w:tc>
          <w:tcPr>
            <w:tcW w:type="dxa" w:w="7824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Anúncio do leitor de tela</w:t>
            </w:r>
          </w:p>
        </w:tc>
      </w:tr>
      <w:tr>
        <w:tc>
          <w:tcPr>
            <w:tcW w:type="dxa" w:w="1247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7824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lista</w:t>
            </w:r>
          </w:p>
        </w:tc>
      </w:tr>
      <w:tr>
        <w:tc>
          <w:tcPr>
            <w:tcW w:type="dxa" w:w="1247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type="dxa" w:w="7824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lista</w:t>
            </w:r>
          </w:p>
        </w:tc>
      </w:tr>
      <w:tr>
        <w:tc>
          <w:tcPr>
            <w:tcW w:type="dxa" w:w="1247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7824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cabeçalho da página</w:t>
            </w:r>
          </w:p>
        </w:tc>
      </w:tr>
      <w:tr>
        <w:tc>
          <w:tcPr>
            <w:tcW w:type="dxa" w:w="1247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7824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região principal</w:t>
            </w:r>
          </w:p>
        </w:tc>
      </w:tr>
      <w:tr>
        <w:tc>
          <w:tcPr>
            <w:tcW w:type="dxa" w:w="1247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type="dxa" w:w="7824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rodapé da página</w:t>
            </w:r>
          </w:p>
        </w:tc>
      </w:tr>
      <w:tr>
        <w:tc>
          <w:tcPr>
            <w:tcW w:type="dxa" w:w="1247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6</w:t>
            </w:r>
          </w:p>
        </w:tc>
        <w:tc>
          <w:tcPr>
            <w:tcW w:type="dxa" w:w="7824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item de lista</w:t>
            </w:r>
          </w:p>
        </w:tc>
      </w:tr>
      <w:tr>
        <w:tc>
          <w:tcPr>
            <w:tcW w:type="dxa" w:w="1247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7</w:t>
            </w:r>
          </w:p>
        </w:tc>
        <w:tc>
          <w:tcPr>
            <w:tcW w:type="dxa" w:w="7824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item de lista</w:t>
            </w:r>
          </w:p>
        </w:tc>
      </w:tr>
      <w:tr>
        <w:tc>
          <w:tcPr>
            <w:tcW w:type="dxa" w:w="1247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8</w:t>
            </w:r>
          </w:p>
        </w:tc>
        <w:tc>
          <w:tcPr>
            <w:tcW w:type="dxa" w:w="7824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item de lista</w:t>
            </w:r>
          </w:p>
        </w:tc>
      </w:tr>
      <w:tr>
        <w:tc>
          <w:tcPr>
            <w:tcW w:type="dxa" w:w="1247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9</w:t>
            </w:r>
          </w:p>
        </w:tc>
        <w:tc>
          <w:tcPr>
            <w:tcW w:type="dxa" w:w="7824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item de lista</w:t>
            </w:r>
          </w:p>
        </w:tc>
      </w:tr>
      <w:tr>
        <w:tc>
          <w:tcPr>
            <w:tcW w:type="dxa" w:w="1247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10</w:t>
            </w:r>
          </w:p>
        </w:tc>
        <w:tc>
          <w:tcPr>
            <w:tcW w:type="dxa" w:w="7824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item de lista</w:t>
            </w:r>
          </w:p>
        </w:tc>
      </w:tr>
      <w:tr>
        <w:tc>
          <w:tcPr>
            <w:tcW w:type="dxa" w:w="1247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7824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lista</w:t>
            </w:r>
          </w:p>
        </w:tc>
      </w:tr>
      <w:tr>
        <w:tc>
          <w:tcPr>
            <w:tcW w:type="dxa" w:w="1247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12</w:t>
            </w:r>
          </w:p>
        </w:tc>
        <w:tc>
          <w:tcPr>
            <w:tcW w:type="dxa" w:w="7824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ESPAÑOL, link</w:t>
            </w:r>
          </w:p>
        </w:tc>
      </w:tr>
    </w:tbl>
    <w:p>
      <w:pPr>
        <w:spacing w:line="240" w:lineRule="auto" w:after="200"/>
        <w:jc w:val="left"/>
      </w:pPr>
      <w:r>
        <w:rPr>
          <w:rFonts w:ascii="Arial" w:hAnsi="Arial"/>
          <w:b w:val="0"/>
          <w:sz w:val="20"/>
        </w:rPr>
        <w:t>Quadro 10 - Transcricao dos anúncios do leitor de tela. Fonte: elaborado pelos autores.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Quanto ao contraste, o pior resultado encontrado foi a razão de 1:1, medida sobre a página efetivamente renderizada. Os trechos reprovados de maior severidade estao no Quadro 11.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5102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Trecho de texto</w:t>
            </w:r>
          </w:p>
        </w:tc>
        <w:tc>
          <w:tcPr>
            <w:tcW w:type="dxa" w:w="1984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Razão obtida</w:t>
            </w:r>
          </w:p>
        </w:tc>
        <w:tc>
          <w:tcPr>
            <w:tcW w:type="dxa" w:w="1984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Razão exigida</w:t>
            </w:r>
          </w:p>
        </w:tc>
      </w:tr>
      <w:tr>
        <w:tc>
          <w:tcPr>
            <w:tcW w:type="dxa" w:w="5102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Español</w:t>
            </w:r>
          </w:p>
        </w:tc>
        <w:tc>
          <w:tcPr>
            <w:tcW w:type="dxa" w:w="1984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1:1</w:t>
            </w:r>
          </w:p>
        </w:tc>
        <w:tc>
          <w:tcPr>
            <w:tcW w:type="dxa" w:w="1984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4.5:1</w:t>
            </w:r>
          </w:p>
        </w:tc>
      </w:tr>
      <w:tr>
        <w:tc>
          <w:tcPr>
            <w:tcW w:type="dxa" w:w="5102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English</w:t>
            </w:r>
          </w:p>
        </w:tc>
        <w:tc>
          <w:tcPr>
            <w:tcW w:type="dxa" w:w="1984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1:1</w:t>
            </w:r>
          </w:p>
        </w:tc>
        <w:tc>
          <w:tcPr>
            <w:tcW w:type="dxa" w:w="1984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4.5:1</w:t>
            </w:r>
          </w:p>
        </w:tc>
      </w:tr>
      <w:tr>
        <w:tc>
          <w:tcPr>
            <w:tcW w:type="dxa" w:w="5102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Acessibilidade</w:t>
            </w:r>
          </w:p>
        </w:tc>
        <w:tc>
          <w:tcPr>
            <w:tcW w:type="dxa" w:w="1984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1:1</w:t>
            </w:r>
          </w:p>
        </w:tc>
        <w:tc>
          <w:tcPr>
            <w:tcW w:type="dxa" w:w="1984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4.5:1</w:t>
            </w:r>
          </w:p>
        </w:tc>
      </w:tr>
      <w:tr>
        <w:tc>
          <w:tcPr>
            <w:tcW w:type="dxa" w:w="5102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Alto Contraste</w:t>
            </w:r>
          </w:p>
        </w:tc>
        <w:tc>
          <w:tcPr>
            <w:tcW w:type="dxa" w:w="1984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1:1</w:t>
            </w:r>
          </w:p>
        </w:tc>
        <w:tc>
          <w:tcPr>
            <w:tcW w:type="dxa" w:w="1984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4.5:1</w:t>
            </w:r>
          </w:p>
        </w:tc>
      </w:tr>
      <w:tr>
        <w:tc>
          <w:tcPr>
            <w:tcW w:type="dxa" w:w="5102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Mapa do site</w:t>
            </w:r>
          </w:p>
        </w:tc>
        <w:tc>
          <w:tcPr>
            <w:tcW w:type="dxa" w:w="1984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1:1</w:t>
            </w:r>
          </w:p>
        </w:tc>
        <w:tc>
          <w:tcPr>
            <w:tcW w:type="dxa" w:w="1984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4.5:1</w:t>
            </w:r>
          </w:p>
        </w:tc>
      </w:tr>
      <w:tr>
        <w:tc>
          <w:tcPr>
            <w:tcW w:type="dxa" w:w="5102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Portal do Governo Brasileiro</w:t>
            </w:r>
          </w:p>
        </w:tc>
        <w:tc>
          <w:tcPr>
            <w:tcW w:type="dxa" w:w="1984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4:1</w:t>
            </w:r>
          </w:p>
        </w:tc>
        <w:tc>
          <w:tcPr>
            <w:tcW w:type="dxa" w:w="1984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4.5:1</w:t>
            </w:r>
          </w:p>
        </w:tc>
      </w:tr>
    </w:tbl>
    <w:p>
      <w:pPr>
        <w:spacing w:line="240" w:lineRule="auto" w:after="200"/>
        <w:jc w:val="left"/>
      </w:pPr>
      <w:r>
        <w:rPr>
          <w:rFonts w:ascii="Arial" w:hAnsi="Arial"/>
          <w:b w:val="0"/>
          <w:sz w:val="20"/>
        </w:rPr>
        <w:t>Quadro 11 - Trechos reprovados no critério de contraste. Fonte: elaborado pelos autores.</w:t>
      </w:r>
    </w:p>
    <w:p/>
    <w:p>
      <w:pPr>
        <w:spacing w:line="360" w:lineRule="auto" w:after="120"/>
        <w:jc w:val="left"/>
      </w:pPr>
      <w:r>
        <w:rPr>
          <w:rFonts w:ascii="Arial" w:hAnsi="Arial"/>
          <w:b/>
          <w:sz w:val="24"/>
        </w:rPr>
        <w:t>4.9 Tarefa complementar: uso real com leitor de tela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A simulação automatizada mede o que a máquina consegue medir; a experiência de uso, porém, só se revela no uso. Por isso a avaliação foi complementada com um teste presencial: um dos autores acessou o sítio pelo próprio smartphone, com o leitor de tela ativado e a tela desligada do seu campo de visão, e tentou executar uma tarefa real de ponta a ponta.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3402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Parâmetro do teste</w:t>
            </w:r>
          </w:p>
        </w:tc>
        <w:tc>
          <w:tcPr>
            <w:tcW w:type="dxa" w:w="5669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Registro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Aparelho utilizado</w:t>
            </w:r>
          </w:p>
        </w:tc>
        <w:tc>
          <w:tcPr>
            <w:tcW w:type="dxa" w:w="5669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modelo do aparelho]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Sistema operacional</w:t>
            </w:r>
          </w:p>
        </w:tc>
        <w:tc>
          <w:tcPr>
            <w:tcW w:type="dxa" w:w="5669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ex.: Android 14 / iOS 17]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Leitor de tela</w:t>
            </w:r>
          </w:p>
        </w:tc>
        <w:tc>
          <w:tcPr>
            <w:tcW w:type="dxa" w:w="5669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TalkBack ou VoiceOver]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Tarefa proposta</w:t>
            </w:r>
          </w:p>
        </w:tc>
        <w:tc>
          <w:tcPr>
            <w:tcW w:type="dxa" w:w="5669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Localizar, a partir da página inicial, o edital mais recente publicado pelo campus e abrir o documento correspondente.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Tempo gasto</w:t>
            </w:r>
          </w:p>
        </w:tc>
        <w:tc>
          <w:tcPr>
            <w:tcW w:type="dxa" w:w="5669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ex.: 6 min 40 s]</w:t>
            </w:r>
          </w:p>
        </w:tc>
      </w:tr>
      <w:tr>
        <w:tc>
          <w:tcPr>
            <w:tcW w:type="dxa" w:w="3402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Tarefa concluida</w:t>
            </w:r>
          </w:p>
        </w:tc>
        <w:tc>
          <w:tcPr>
            <w:tcW w:type="dxa" w:w="5669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/>
                <w:sz w:val="20"/>
                <w:highlight w:val="yellow"/>
              </w:rPr>
              <w:t>[PREENCHER: Sim / Não / Parcialmente]</w:t>
            </w:r>
          </w:p>
        </w:tc>
      </w:tr>
    </w:tbl>
    <w:p>
      <w:pPr>
        <w:spacing w:line="240" w:lineRule="auto" w:after="200"/>
        <w:jc w:val="left"/>
      </w:pPr>
      <w:r>
        <w:rPr>
          <w:rFonts w:ascii="Arial" w:hAnsi="Arial"/>
          <w:b w:val="0"/>
          <w:sz w:val="20"/>
        </w:rPr>
        <w:t>Quadro 12 - Condições do teste com leitor de tela. Fonte: elaborado pelos autores.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 xml:space="preserve">Relato da experiência: </w:t>
      </w:r>
      <w:r>
        <w:rPr>
          <w:rFonts w:ascii="Arial" w:hAnsi="Arial"/>
          <w:b/>
          <w:sz w:val="24"/>
          <w:highlight w:val="yellow"/>
        </w:rPr>
        <w:t>[PREENCHER: descreva em 8 a 12 linhas: como foi ativar o leitor, o que o aparelho anunciou ao abrir a página, onde a navegação travou, quais elementos foram anunciados como 'botão sem rótulo' ou 'imagem', se foi possível concluir a tarefa e qual a sensação ao depender apenas do áudio]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A confrontação entre este relato e as medições automatizadas da seção anterior é o ponto central da avaliação: cada elemento anunciado sem rótulo no Quadro 10 corresponde, na experiência real, a um momento de interrupção em que o usuário precisa adivinhar a função do que esta tocando.</w:t>
      </w:r>
    </w:p>
    <w:p/>
    <w:p>
      <w:pPr>
        <w:spacing w:line="360" w:lineRule="auto" w:after="120"/>
        <w:jc w:val="left"/>
      </w:pPr>
      <w:r>
        <w:rPr>
          <w:rFonts w:ascii="Arial" w:hAnsi="Arial"/>
          <w:b/>
          <w:sz w:val="24"/>
        </w:rPr>
        <w:t>4.10 Análise do nível de conformidade WCAG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A WCAG 2.1 organiza seus 78 critérios de sucesso em três níveis cumulativos. O Nível A reúne os requisitos mínimos, cuja ausência torna o conteúdo inacessível para grupos inteiros de usuários. O Nível AA acrescenta os requisitos que removem as barreiras mais significativas e constitui o patamar exigido da administração pública brasileira e adotado como referência pela legislação de diversos países. O Nível AAA compreende o refinamento máximo, nem sempre aplicável a todo tipo de conteúdo.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A regra de conformidade é estrita e não admite compensação: a página só é conforme em determinado nível se atender integralmente a todos os critérios daquele nível e dos níveis anteriores. Uma única falha de Nível A, portanto, impede a conformidade mesmo que todos os demais critérios estejam satisfeitos.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Aplicada essa regra aos resultados consolidados, o nível de conformidade atingido pelo sítio avaliado foi: Não atinge o Nível A. Foram identificadas 1.4.1 Uso de cores (marcador do slide ativo diferenciado apenas pela cor de fundo) e 2.2.2 Pausar, Parar, Ocultar (banner rotativo com avanço automático a cada 4 segundos, sem mecanismo de pausa). falha(s) em critérios de Nível A e 1.4.3 Contraste mínimo (4 reprovações confirmadas por amostragem de pixels, a pior em 1,66:1); 1.4.10 Reflow (conteúdo de 330 px em tela de 320 px, gerando rolagem horizontal); 1.4.11 Contraste não textual (indicador de foco em 1,56:1 sobre o fundo branco do conteúdo); 1.4.12 Espaçamento de texto (rolagem horizontal e 3 elementos cortados); 2.5.8 Tamanho do alvo (23 dos 51 alvos interativos da versão móvel medem menos de 24x24 px). falha(s) em critérios de Nível AA.</w:t>
      </w:r>
    </w:p>
    <w:p/>
    <w:p>
      <w:pPr>
        <w:spacing w:line="360" w:lineRule="auto" w:after="120"/>
        <w:jc w:val="left"/>
      </w:pPr>
      <w:r>
        <w:rPr>
          <w:rFonts w:ascii="Arial" w:hAnsi="Arial"/>
          <w:b/>
          <w:sz w:val="24"/>
        </w:rPr>
        <w:t>5 RECOMENDAÇÕES DE CORREÇÃO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As recomendações a seguir estão ordenadas por severidade, considerando o impacto sobre o usuário e o nível WCAG afetado. Problemas de severidade crítica bloqueiam integralmente o acesso de determinados grupos e devem ser corrigidos com prioridade, até porque, sendo falhas de Nível A, são justamente as que impedem qualquer declaração de conformidade.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247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Severidade</w:t>
            </w:r>
          </w:p>
        </w:tc>
        <w:tc>
          <w:tcPr>
            <w:tcW w:type="dxa" w:w="2041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Problema</w:t>
            </w:r>
          </w:p>
        </w:tc>
        <w:tc>
          <w:tcPr>
            <w:tcW w:type="dxa" w:w="4309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Correção recomendada</w:t>
            </w:r>
          </w:p>
        </w:tc>
        <w:tc>
          <w:tcPr>
            <w:tcW w:type="dxa" w:w="1474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/>
                <w:sz w:val="20"/>
              </w:rPr>
              <w:t>Critério</w:t>
            </w:r>
          </w:p>
        </w:tc>
      </w:tr>
      <w:tr>
        <w:tc>
          <w:tcPr>
            <w:tcW w:type="dxa" w:w="1247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Crítica</w:t>
            </w:r>
          </w:p>
        </w:tc>
        <w:tc>
          <w:tcPr>
            <w:tcW w:type="dxa" w:w="204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Banner rotativo sem controle de pausa</w:t>
            </w:r>
          </w:p>
        </w:tc>
        <w:tc>
          <w:tcPr>
            <w:tcW w:type="dxa" w:w="4309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O script banner_rotativo.js troca de slide a cada 4000 ms e se reagenda indefinidamente. Incluir um botão de pausar/retomar alcançável por teclado e anunciado ao leitor de tela, ou suprimir o avanço automático. Enquanto não houver esse controle, o portal não atinge sequer o Nível A.</w:t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WCAG 2.2.2 (A)</w:t>
            </w:r>
          </w:p>
        </w:tc>
      </w:tr>
      <w:tr>
        <w:tc>
          <w:tcPr>
            <w:tcW w:type="dxa" w:w="1247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Crítica</w:t>
            </w:r>
          </w:p>
        </w:tc>
        <w:tc>
          <w:tcPr>
            <w:tcW w:type="dxa" w:w="204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Slide ativo identificado apenas pela cor</w:t>
            </w:r>
          </w:p>
        </w:tc>
        <w:tc>
          <w:tcPr>
            <w:tcW w:type="dxa" w:w="4309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No banner, o slide em exibição é sinalizado somente pela cor de fundo do botão numérico (âmbar contra verde). Acrescentar um segundo indicador não cromático — contorno, mudança de forma ou aria-current="true" — para que a informação não dependa da percepção de cor.</w:t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WCAG 1.4.1 (A)</w:t>
            </w:r>
          </w:p>
        </w:tc>
      </w:tr>
      <w:tr>
        <w:tc>
          <w:tcPr>
            <w:tcW w:type="dxa" w:w="1247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Alta</w:t>
            </w:r>
          </w:p>
        </w:tc>
        <w:tc>
          <w:tcPr>
            <w:tcW w:type="dxa" w:w="204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Contraste insuficiente nos controles do banner</w:t>
            </w:r>
          </w:p>
        </w:tc>
        <w:tc>
          <w:tcPr>
            <w:tcW w:type="dxa" w:w="4309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Os botões numéricos usam azul rgb(44,103,205) sobre verde rgb(14,86,31), razão de 1,66:1, e 3,0:1 quando o slide está ativo. Adotar texto branco ou de luminância equivalente, atingindo ao menos 4,5:1.</w:t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WCAG 1.4.3 (AA)</w:t>
            </w:r>
          </w:p>
        </w:tc>
      </w:tr>
      <w:tr>
        <w:tc>
          <w:tcPr>
            <w:tcW w:type="dxa" w:w="1247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Alta</w:t>
            </w:r>
          </w:p>
        </w:tc>
        <w:tc>
          <w:tcPr>
            <w:tcW w:type="dxa" w:w="204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Página inicial e página de contato sem &lt;h1&gt;</w:t>
            </w:r>
          </w:p>
        </w:tc>
        <w:tc>
          <w:tcPr>
            <w:tcW w:type="dxa" w:w="4309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A página inicial reúne 15 cabeçalhos sem nenhum &lt;h1&gt;, e a página de contato não possui cabeçalho algum. Declarar um &lt;h1&gt; único por página, correspondente ao título principal, para dar ponto de partida à navegação por cabeçalhos.</w:t>
            </w:r>
          </w:p>
        </w:tc>
        <w:tc>
          <w:tcPr>
            <w:tcW w:type="dxa" w:w="1474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WCAG 1.3.1 / 2.4.6 (A/AA)</w:t>
            </w:r>
          </w:p>
        </w:tc>
      </w:tr>
      <w:tr>
        <w:tc>
          <w:tcPr>
            <w:tcW w:type="dxa" w:w="1247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Alta</w:t>
            </w:r>
          </w:p>
        </w:tc>
        <w:tc>
          <w:tcPr>
            <w:tcW w:type="dxa" w:w="204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Ausência de região de navegação</w:t>
            </w:r>
          </w:p>
        </w:tc>
        <w:tc>
          <w:tcPr>
            <w:tcW w:type="dxa" w:w="4309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O portal declara role="banner", role="main" e role="contentinfo", mas nenhum &lt;nav&gt; ou role="navigation". Marcar o menu principal e o menu lateral como regiões de navegação, o que também elimina os blocos de conteúdo que o axe-core apontou fora de qualquer região.</w:t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WCAG 1.3.1 (A)</w:t>
            </w:r>
          </w:p>
        </w:tc>
      </w:tr>
      <w:tr>
        <w:tc>
          <w:tcPr>
            <w:tcW w:type="dxa" w:w="1247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Alta</w:t>
            </w:r>
          </w:p>
        </w:tc>
        <w:tc>
          <w:tcPr>
            <w:tcW w:type="dxa" w:w="204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Rolagem horizontal em telas estreitas</w:t>
            </w:r>
          </w:p>
        </w:tc>
        <w:tc>
          <w:tcPr>
            <w:tcW w:type="dxa" w:w="4309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Em 320 pixels de largura o conteúdo ocupa 330 pixels e obriga a rolagem nos dois eixos. Revisar as larguras fixas remanescentes para que o conteúdo reflua sem transbordar.</w:t>
            </w:r>
          </w:p>
        </w:tc>
        <w:tc>
          <w:tcPr>
            <w:tcW w:type="dxa" w:w="1474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WCAG 1.4.10 (AA)</w:t>
            </w:r>
          </w:p>
        </w:tc>
      </w:tr>
      <w:tr>
        <w:tc>
          <w:tcPr>
            <w:tcW w:type="dxa" w:w="1247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Média</w:t>
            </w:r>
          </w:p>
        </w:tc>
        <w:tc>
          <w:tcPr>
            <w:tcW w:type="dxa" w:w="204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Indicador de foco pouco perceptível sobre fundo branco</w:t>
            </w:r>
          </w:p>
        </w:tc>
        <w:tc>
          <w:tcPr>
            <w:tcW w:type="dxa" w:w="4309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O contorno de foco rgb(241,202,127) atinge 5,81:1 sobre o verde do cabeçalho, mas apenas 1,56:1 sobre o branco da área de conteúdo, onde está a maior parte dos links. Escurecer o contorno ou acrescentar um traço externo de apoio para garantir 3:1 em qualquer fundo.</w:t>
            </w:r>
          </w:p>
        </w:tc>
        <w:tc>
          <w:tcPr>
            <w:tcW w:type="dxa" w:w="1474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WCAG 1.4.11 (AA)</w:t>
            </w:r>
          </w:p>
        </w:tc>
      </w:tr>
      <w:tr>
        <w:tc>
          <w:tcPr>
            <w:tcW w:type="dxa" w:w="1247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Média</w:t>
            </w:r>
          </w:p>
        </w:tc>
        <w:tc>
          <w:tcPr>
            <w:tcW w:type="dxa" w:w="204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Alvos de toque abaixo do mínimo</w:t>
            </w:r>
          </w:p>
        </w:tc>
        <w:tc>
          <w:tcPr>
            <w:tcW w:type="dxa" w:w="4309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Na emulação do Pixel 7, 23 dos 51 elementos interativos medem menos de 24 por 24 pixels, entre eles os próprios controles do banner (22x20). Ampliar a área clicável por meio de preenchimento, sem necessariamente aumentar o texto.</w:t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WCAG 2.5.8 (AA)</w:t>
            </w:r>
          </w:p>
        </w:tc>
      </w:tr>
      <w:tr>
        <w:tc>
          <w:tcPr>
            <w:tcW w:type="dxa" w:w="1247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Média</w:t>
            </w:r>
          </w:p>
        </w:tc>
        <w:tc>
          <w:tcPr>
            <w:tcW w:type="dxa" w:w="204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Layout quebra com espaçamento de texto ampliado</w:t>
            </w:r>
          </w:p>
        </w:tc>
        <w:tc>
          <w:tcPr>
            <w:tcW w:type="dxa" w:w="4309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Ao aplicar entrelinha 1,5, espaçamento entre letras de 0,12em e entre palavras de 0,16em, surge rolagem horizontal e três elementos têm o conteúdo cortado. Substituir alturas fixas por alturas mínimas nos blocos afetados.</w:t>
            </w:r>
          </w:p>
        </w:tc>
        <w:tc>
          <w:tcPr>
            <w:tcW w:type="dxa" w:w="1474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WCAG 1.4.12 (AA)</w:t>
            </w:r>
          </w:p>
        </w:tc>
      </w:tr>
      <w:tr>
        <w:tc>
          <w:tcPr>
            <w:tcW w:type="dxa" w:w="1247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Média</w:t>
            </w:r>
          </w:p>
        </w:tc>
        <w:tc>
          <w:tcPr>
            <w:tcW w:type="dxa" w:w="204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Texto alternativo redundante</w:t>
            </w:r>
          </w:p>
        </w:tc>
        <w:tc>
          <w:tcPr>
            <w:tcW w:type="dxa" w:w="4309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Em quatro imagens da página inicial o atributo alt repete literalmente o texto do link vizinho, levando o leitor de tela a anunciar a mesma informação duas vezes. Usar alt="" nessas imagens, já que o link adjacente cumpre a função descritiva.</w:t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WCAG 1.1.1 (A)</w:t>
            </w:r>
          </w:p>
        </w:tc>
      </w:tr>
      <w:tr>
        <w:tc>
          <w:tcPr>
            <w:tcW w:type="dxa" w:w="1247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Baixa</w:t>
            </w:r>
          </w:p>
        </w:tc>
        <w:tc>
          <w:tcPr>
            <w:tcW w:type="dxa" w:w="204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URL crua como texto de link</w:t>
            </w:r>
          </w:p>
        </w:tc>
        <w:tc>
          <w:tcPr>
            <w:tcW w:type="dxa" w:w="4309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Na página institucional de Acessibilidade, dois links exibem o endereço completo como texto visível, que o leitor de tela soletra caractere a caractere. Substituir pelo nome do documento de destino.</w:t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WCAG 2.4.4 (A)</w:t>
            </w:r>
          </w:p>
        </w:tc>
      </w:tr>
      <w:tr>
        <w:tc>
          <w:tcPr>
            <w:tcW w:type="dxa" w:w="1247"/>
          </w:tcPr>
          <w:p>
            <w:pPr>
              <w:spacing w:line="240" w:lineRule="auto" w:after="4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Baixa</w:t>
            </w:r>
          </w:p>
        </w:tc>
        <w:tc>
          <w:tcPr>
            <w:tcW w:type="dxa" w:w="2041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Página de Acessibilidade desatualizada</w:t>
            </w:r>
          </w:p>
        </w:tc>
        <w:tc>
          <w:tcPr>
            <w:tcW w:type="dxa" w:w="4309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A página foi modificada pela última vez em 2020, descreve apenas três dos sete atalhos existentes, expande a sigla WCAG incorretamente como "World Content Accessibility Guide" e não declara nível de conformidade. Registrou-se ainda que o script collective.lazysizes referenciado pelas páginas responde HTTP 404. Atualizar o conteúdo e publicar a declaração de conformidade prevista pelo eMAG.</w:t>
            </w:r>
          </w:p>
        </w:tc>
        <w:tc>
          <w:tcPr>
            <w:tcW w:type="dxa" w:w="1474"/>
          </w:tcPr>
          <w:p>
            <w:pPr>
              <w:spacing w:line="240" w:lineRule="auto" w:after="40"/>
            </w:pPr>
            <w:r/>
            <w:r>
              <w:rPr>
                <w:rFonts w:ascii="Arial" w:hAnsi="Arial"/>
                <w:b w:val="0"/>
                <w:sz w:val="20"/>
              </w:rPr>
              <w:t>eMAG 3.1 / WCAG 2.4.5</w:t>
            </w:r>
          </w:p>
        </w:tc>
      </w:tr>
    </w:tbl>
    <w:p>
      <w:pPr>
        <w:spacing w:line="240" w:lineRule="auto" w:after="200"/>
        <w:jc w:val="left"/>
      </w:pPr>
      <w:r>
        <w:rPr>
          <w:rFonts w:ascii="Arial" w:hAnsi="Arial"/>
          <w:b w:val="0"/>
          <w:sz w:val="20"/>
        </w:rPr>
        <w:t>Quadro 13 - Recomendações de correção priorizadas. Fonte: elaborado pelos autores.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Estima-se que as correções de severidade crítica e alta sejam implementáveis sem redesenho visual do sítio, uma vez que dizem respeito a camada de marcação semântica do HTML e a ajustes pontuais de paleta, e não a arquitetura da aplicação.</w:t>
      </w:r>
    </w:p>
    <w:p/>
    <w:p>
      <w:pPr>
        <w:spacing w:line="360" w:lineRule="auto" w:after="120"/>
        <w:jc w:val="left"/>
      </w:pPr>
      <w:r>
        <w:rPr>
          <w:rFonts w:ascii="Arial" w:hAnsi="Arial"/>
          <w:b/>
          <w:sz w:val="24"/>
        </w:rPr>
        <w:t>6 CONCLUSÃO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A avaliação do Portal do IFAL - Campus Maceió produziu um resultado menos simples do que o esperado. A base técnica herdada do Plone com a Identidade Digital do Governo cumpre bem o essencial: idioma declarado, títulos únicos, campos com rótulo associado, imagens com atributo alt, quatro atalhos de salto e indicador de foco em todos os 118 pontos de parada do teclado. O avaliador axe-core não encontrou uma única violação direta de critério de sucesso nas três páginas analisadas. As barreiras concentram-se, em vez disso, em um componente específico e em detalhes de apresentação que nenhuma verificação superficial revelaria.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A triangulação metodológica mostrou-se decisiva. Os avaliadores automáticos quantificaram com precisão as falhas de código, mas não julgam se um texto alternativo descreve adequadamente a imagem, nem se a ordem de foco faz sentido para quem navega. O caso do contraste é exemplar: o axe-core devolveu dezenas de ocorrências como indecidíveis, por serem textos desenhados sobre fotografias, e a falha mais grave - botões a 1,66:1 - só apareceu ao medir os pixels efetivamente pintados na tela. Do mesmo modo, a ausência de controle de pausa no banner exigiu a leitura do código-fonte do script que o governa. Isso confirma a orientação do W3C de que a avaliação automática cobre apenas parte dos critérios de sucesso.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O diagnóstico final aponta para o nível de conformidade Não atinge o Nível A. As correções recomendadas na seção anterior são, em sua maioria, de baixo custo de implementação: um botão de pausa no banner rotativo, um segundo indicador não cromático para o slide ativo, a troca da cor dos botões numéricos, a declaração de um &lt;h1&gt; por página e a marcação dos menus como região de navegação - ajustes pontuais que não exigem redesenho visual nem reescrita da aplicação. A desproporção entre o baixo esforço técnico das correções e o alto impacto que produzem na vida dos usuários e, talvez, a lição mais importante deste trabalho.</w:t>
      </w:r>
    </w:p>
    <w:p>
      <w:pPr>
        <w:spacing w:line="360" w:lineRule="auto" w:after="120"/>
        <w:ind w:firstLine="709"/>
        <w:jc w:val="both"/>
      </w:pPr>
      <w:r>
        <w:rPr>
          <w:rFonts w:ascii="Arial" w:hAnsi="Arial"/>
          <w:b w:val="0"/>
          <w:sz w:val="24"/>
        </w:rPr>
        <w:t>Conclui-se que acessibilidade não é um requisito acessório a ser considerado ao final do desenvolvimento, mas uma qualidade que precisa ser projetada desde a concepção da interface. Recomenda-se, por fim, que avaliações como a aqui realizada sejam incorporadas ao ciclo de manutenção do sítio, e não tratadas como diagnóstico pontual, uma vez que cada nova publicação de conteúdo pode reintroduzir barreiras já corrigidas.</w:t>
      </w:r>
    </w:p>
    <w:p/>
    <w:p>
      <w:pPr>
        <w:spacing w:line="360" w:lineRule="auto" w:after="120"/>
        <w:jc w:val="left"/>
      </w:pPr>
      <w:r>
        <w:rPr>
          <w:rFonts w:ascii="Arial" w:hAnsi="Arial"/>
          <w:b/>
          <w:sz w:val="24"/>
        </w:rPr>
        <w:t>7 REFERÊNCIAS</w:t>
      </w:r>
    </w:p>
    <w:p>
      <w:pPr>
        <w:spacing w:line="240" w:lineRule="auto" w:after="200"/>
        <w:jc w:val="both"/>
      </w:pPr>
      <w:r>
        <w:rPr>
          <w:rFonts w:ascii="Arial" w:hAnsi="Arial"/>
          <w:sz w:val="24"/>
        </w:rPr>
        <w:t>BRASIL. Decreto n. 5.296, de 2 de dezembro de 2004. Regulamenta as Leis n. 10.048/2000 e n. 10.098/2000. Brasília: Presidência da República, 2004.</w:t>
      </w:r>
    </w:p>
    <w:p>
      <w:pPr>
        <w:spacing w:line="240" w:lineRule="auto" w:after="200"/>
        <w:jc w:val="both"/>
      </w:pPr>
      <w:r>
        <w:rPr>
          <w:rFonts w:ascii="Arial" w:hAnsi="Arial"/>
          <w:sz w:val="24"/>
        </w:rPr>
        <w:t>BRASIL. Lei n. 13.146, de 6 de julho de 2015. Institui a Lei Brasileira de Inclusão da Pessoa com Deficiência (Estatuto da Pessoa com Deficiência). Brasília: Presidência da República, 2015.</w:t>
      </w:r>
    </w:p>
    <w:p>
      <w:pPr>
        <w:spacing w:line="240" w:lineRule="auto" w:after="200"/>
        <w:jc w:val="both"/>
      </w:pPr>
      <w:r>
        <w:rPr>
          <w:rFonts w:ascii="Arial" w:hAnsi="Arial"/>
          <w:sz w:val="24"/>
        </w:rPr>
        <w:t>BRASIL. Ministério do Planejamento, Orçamento e Gestão. eMAG - Modelo de Acessibilidade em Governo Eletrônico, versão 3.1. Brasília, 2014. Disponível em: https://emag.governoeletronico.gov.br/. Acesso em: 18 set. 2026.</w:t>
      </w:r>
    </w:p>
    <w:p>
      <w:pPr>
        <w:spacing w:line="240" w:lineRule="auto" w:after="200"/>
        <w:jc w:val="both"/>
      </w:pPr>
      <w:r>
        <w:rPr>
          <w:rFonts w:ascii="Arial" w:hAnsi="Arial"/>
          <w:sz w:val="24"/>
        </w:rPr>
        <w:t>BRASIL. Governo Federal. ASES - Avaliador e Simulador de Acessibilidade de Sítios. Disponível em: https://asesweb.governoeletronico.gov.br/. Acesso em: 18 set. 2026.</w:t>
      </w:r>
    </w:p>
    <w:p>
      <w:pPr>
        <w:spacing w:line="240" w:lineRule="auto" w:after="200"/>
        <w:jc w:val="both"/>
      </w:pPr>
      <w:r>
        <w:rPr>
          <w:rFonts w:ascii="Arial" w:hAnsi="Arial"/>
          <w:sz w:val="24"/>
        </w:rPr>
        <w:t>CEWEB.BR. Cartilha de Acessibilidade na Web - Fascículo III: Metodologias e ferramentas de avaliação. São Paulo: Comitê Gestor da Internet no Brasil, 2019. Disponível em: https://ceweb.br/guias/cartilha-de-acessibilidade-na-web-fasciculo-iii/. Acesso em: 18 set. 2026.</w:t>
      </w:r>
    </w:p>
    <w:p>
      <w:pPr>
        <w:spacing w:line="240" w:lineRule="auto" w:after="200"/>
        <w:jc w:val="both"/>
      </w:pPr>
      <w:r>
        <w:rPr>
          <w:rFonts w:ascii="Arial" w:hAnsi="Arial"/>
          <w:sz w:val="24"/>
        </w:rPr>
        <w:t>CEWEB.BR. Cartilha de Acessibilidade na Web - Fascículo IV: O papel dos usuários na avaliação de acessibilidade. São Paulo: Comitê Gestor da Internet no Brasil, 2020. Disponível em: https://ceweb.br/cartilhas/cartilha-w3cbr-acessibilidade-web-fasciculo-IV/. Acesso em: 18 set. 2026.</w:t>
      </w:r>
    </w:p>
    <w:p>
      <w:pPr>
        <w:spacing w:line="240" w:lineRule="auto" w:after="200"/>
        <w:jc w:val="both"/>
      </w:pPr>
      <w:r>
        <w:rPr>
          <w:rFonts w:ascii="Arial" w:hAnsi="Arial"/>
          <w:sz w:val="24"/>
        </w:rPr>
        <w:t>IBGE. Censo Demográfico 2022: Pessoas com deficiência. Rio de Janeiro: Instituto Brasileiro de Geografia e Estatística, 2023.</w:t>
      </w:r>
    </w:p>
    <w:p>
      <w:pPr>
        <w:spacing w:line="240" w:lineRule="auto" w:after="200"/>
        <w:jc w:val="both"/>
      </w:pPr>
      <w:r>
        <w:rPr>
          <w:rFonts w:ascii="Arial" w:hAnsi="Arial"/>
          <w:sz w:val="24"/>
        </w:rPr>
        <w:t>MWPT. 15 checklists de acessibilidade essenciais para quem desenvolve canais digitais. Disponível em: https://mwpt.com.br/15-checklists-de-acessibilidade-essenciais-para-quem-desenvolve-canais-digitais/. Acesso em: 18 set. 2026.</w:t>
      </w:r>
    </w:p>
    <w:p>
      <w:pPr>
        <w:spacing w:line="240" w:lineRule="auto" w:after="200"/>
        <w:jc w:val="both"/>
      </w:pPr>
      <w:r>
        <w:rPr>
          <w:rFonts w:ascii="Arial" w:hAnsi="Arial"/>
          <w:sz w:val="24"/>
        </w:rPr>
        <w:t>W3C. Web Content Accessibility Guidelines (WCAG) 2.1. W3C Recommendation, 5 jun. 2018. Disponível em: https://www.w3.org/TR/WCAG21/. Acesso em: 18 set. 2026.</w:t>
      </w:r>
    </w:p>
    <w:p>
      <w:pPr>
        <w:spacing w:line="240" w:lineRule="auto" w:after="200"/>
        <w:jc w:val="both"/>
      </w:pPr>
      <w:r>
        <w:rPr>
          <w:rFonts w:ascii="Arial" w:hAnsi="Arial"/>
          <w:sz w:val="24"/>
        </w:rPr>
        <w:t>W3C BRASIL. Diretrizes de Acessibilidade para Conteúdo Web (WCAG) 2.1 - tradução autorizada para o português do Brasil. Disponível em: https://www.w3c.br/traducoes/wcag/wcag21-pt-BR/. Acesso em: 18 set. 2026.</w:t>
      </w:r>
    </w:p>
    <w:p>
      <w:pPr>
        <w:spacing w:line="240" w:lineRule="auto" w:after="200"/>
        <w:jc w:val="both"/>
      </w:pPr>
      <w:r>
        <w:rPr>
          <w:rFonts w:ascii="Arial" w:hAnsi="Arial"/>
          <w:sz w:val="24"/>
        </w:rPr>
        <w:t>WEBAIM. WAVE Web Accessibility Evaluation Tool. Utah State University. Disponível em: https://wave.webaim.org/. Acesso em: 18 set. 2026.</w:t>
      </w:r>
    </w:p>
    <w:sectPr w:rsidR="00FC693F" w:rsidRPr="0006063C" w:rsidSect="00034616">
      <w:footerReference w:type="default" r:id="rId9"/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jc w:val="both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