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6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footer5.xml" ContentType="application/vnd.openxmlformats-officedocument.wordprocessingml.footer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51.png" ContentType="image/png"/>
  <Override PartName="/word/media/image49.png" ContentType="image/png"/>
  <Override PartName="/word/media/image46.png" ContentType="image/png"/>
  <Override PartName="/word/media/image36.png" ContentType="image/png"/>
  <Override PartName="/word/media/image4.png" ContentType="image/png"/>
  <Override PartName="/word/media/image13.png" ContentType="image/png"/>
  <Override PartName="/word/media/image50.png" ContentType="image/png"/>
  <Override PartName="/word/media/image38.jpeg" ContentType="image/jpeg"/>
  <Override PartName="/word/media/image35.png" ContentType="image/png"/>
  <Override PartName="/word/media/image3.png" ContentType="image/png"/>
  <Override PartName="/word/media/image14.png" ContentType="image/png"/>
  <Override PartName="/word/media/image15.png" ContentType="image/png"/>
  <Override PartName="/word/media/image17.png" ContentType="image/png"/>
  <Override PartName="/word/media/image19.png" ContentType="image/png"/>
  <Override PartName="/word/media/image5.jpeg" ContentType="image/jpeg"/>
  <Override PartName="/word/media/image61.png" ContentType="image/png"/>
  <Override PartName="/word/media/image21.png" ContentType="image/png"/>
  <Override PartName="/word/media/image58.png" ContentType="image/png"/>
  <Override PartName="/word/media/image67.png" ContentType="image/png"/>
  <Override PartName="/word/media/image30.png" ContentType="image/png"/>
  <Override PartName="/word/media/image65.png" ContentType="image/png"/>
  <Override PartName="/word/media/image66.png" ContentType="image/png"/>
  <Override PartName="/word/media/image29.png" ContentType="image/png"/>
  <Override PartName="/word/media/image63.png" ContentType="image/png"/>
  <Override PartName="/word/media/image64.png" ContentType="image/png"/>
  <Override PartName="/word/media/image27.png" ContentType="image/png"/>
  <Override PartName="/word/media/image62.png" ContentType="image/png"/>
  <Override PartName="/word/media/image25.png" ContentType="image/png"/>
  <Override PartName="/word/media/image59.png" ContentType="image/png"/>
  <Override PartName="/word/media/image22.png" ContentType="image/png"/>
  <Override PartName="/word/media/image24.png" ContentType="image/png"/>
  <Override PartName="/word/media/image60.png" ContentType="image/png"/>
  <Override PartName="/word/media/image6.jpeg" ContentType="image/jpeg"/>
  <Override PartName="/word/media/image23.png" ContentType="image/png"/>
  <Override PartName="/word/media/image20.png" ContentType="image/png"/>
  <Override PartName="/word/media/image57.png" ContentType="image/png"/>
  <Override PartName="/word/media/image16.png" ContentType="image/png"/>
  <Override PartName="/word/media/image7.jpeg" ContentType="image/jpeg"/>
  <Override PartName="/word/media/image28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2.jpeg" ContentType="image/jpeg"/>
  <Override PartName="/word/media/image18.png" ContentType="image/png"/>
  <Override PartName="/word/media/image9.png" ContentType="image/png"/>
  <Override PartName="/word/media/image26.png" ContentType="image/png"/>
  <Override PartName="/word/media/image8.jpeg" ContentType="image/jpeg"/>
  <Override PartName="/word/media/image33.png" ContentType="image/png"/>
  <Override PartName="/word/media/image1.png" ContentType="image/png"/>
  <Override PartName="/word/media/image10.png" ContentType="image/png"/>
  <Override PartName="/word/media/image47.png" ContentType="image/png"/>
  <Override PartName="/word/media/image31.png" ContentType="image/png"/>
  <Override PartName="/word/media/image32.png" ContentType="image/png"/>
  <Override PartName="/word/media/image37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7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18" w:right="851" w:gutter="0" w:header="709" w:top="1134" w:footer="709" w:bottom="1134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1"/>
        <w:widowControl w:val="false"/>
        <w:spacing w:lineRule="auto" w:line="360" w:before="0" w:after="0"/>
        <w:rPr>
          <w:rFonts w:ascii="Trebuchet MS" w:hAnsi="Trebuchet MS" w:eastAsia="Trebuchet MS" w:cs="Trebuchet MS"/>
          <w:sz w:val="32"/>
          <w:szCs w:val="32"/>
        </w:rPr>
      </w:pPr>
      <w:r>
        <w:rPr>
          <w:rFonts w:eastAsia="Trebuchet MS" w:cs="Trebuchet MS"/>
          <w:sz w:val="32"/>
          <w:szCs w:val="32"/>
        </w:rPr>
        <w:drawing>
          <wp:anchor behindDoc="0" distT="0" distB="0" distL="0" distR="0" simplePos="0" locked="0" layoutInCell="1" allowOverlap="1" relativeHeight="117">
            <wp:simplePos x="0" y="0"/>
            <wp:positionH relativeFrom="column">
              <wp:posOffset>-899160</wp:posOffset>
            </wp:positionH>
            <wp:positionV relativeFrom="paragraph">
              <wp:posOffset>-720090</wp:posOffset>
            </wp:positionV>
            <wp:extent cx="7550150" cy="10674350"/>
            <wp:effectExtent l="0" t="0" r="0" b="0"/>
            <wp:wrapNone/>
            <wp:docPr id="1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0" cy="1067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45720" distB="45720" distL="114300" distR="114300" simplePos="0" locked="0" layoutInCell="0" allowOverlap="1" relativeHeight="119">
                <wp:simplePos x="0" y="0"/>
                <wp:positionH relativeFrom="column">
                  <wp:posOffset>660400</wp:posOffset>
                </wp:positionH>
                <wp:positionV relativeFrom="paragraph">
                  <wp:posOffset>5798820</wp:posOffset>
                </wp:positionV>
                <wp:extent cx="4362450" cy="1423670"/>
                <wp:effectExtent l="0" t="0" r="0" b="0"/>
                <wp:wrapSquare wrapText="bothSides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80" cy="142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8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Radio Canada" w:cs="Radio Canada" w:ascii="Radio Canada" w:hAnsi="Radio Canad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64"/>
                                <w:sz w:val="64"/>
                                <w:vertAlign w:val="baseline"/>
                              </w:rPr>
                              <w:t>_____</w:t>
                            </w:r>
                          </w:p>
                          <w:p>
                            <w:pPr>
                              <w:pStyle w:val="FrameContents"/>
                              <w:spacing w:lineRule="exact" w:line="258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Radio Canada" w:cs="Radio Canada" w:ascii="Radio Canada" w:hAnsi="Radio Canada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64"/>
                                <w:sz w:val="64"/>
                                <w:vertAlign w:val="baseline"/>
                              </w:rPr>
                              <w:t>PÓS-GRADUAÇÃO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f" o:allowincell="f" style="position:absolute;margin-left:52pt;margin-top:456.6pt;width:343.45pt;height:112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exact" w:line="258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Radio Canada" w:cs="Radio Canada" w:ascii="Radio Canada" w:hAnsi="Radio Canad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64"/>
                          <w:sz w:val="64"/>
                          <w:vertAlign w:val="baseline"/>
                        </w:rPr>
                        <w:t>_____</w:t>
                      </w:r>
                    </w:p>
                    <w:p>
                      <w:pPr>
                        <w:pStyle w:val="FrameContents"/>
                        <w:spacing w:lineRule="exact" w:line="258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Radio Canada" w:cs="Radio Canada" w:ascii="Radio Canada" w:hAnsi="Radio Canada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64"/>
                          <w:sz w:val="64"/>
                          <w:vertAlign w:val="baseline"/>
                        </w:rPr>
                        <w:t>PÓS-GRADUAÇÃO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widowControl w:val="false"/>
        <w:spacing w:lineRule="auto" w:line="360" w:before="0" w:after="0"/>
        <w:rPr>
          <w:rFonts w:ascii="Trebuchet MS" w:hAnsi="Trebuchet MS" w:eastAsia="Trebuchet MS" w:cs="Trebuchet MS"/>
          <w:sz w:val="32"/>
          <w:szCs w:val="32"/>
        </w:rPr>
      </w:pPr>
      <w:r>
        <w:rPr>
          <w:rFonts w:eastAsia="Trebuchet MS" w:cs="Trebuchet MS"/>
          <w:sz w:val="32"/>
          <w:szCs w:val="32"/>
        </w:rPr>
      </w:r>
    </w:p>
    <w:p>
      <w:pPr>
        <w:pStyle w:val="normal1"/>
        <w:widowControl w:val="false"/>
        <w:spacing w:lineRule="auto" w:line="360" w:before="0" w:after="0"/>
        <w:jc w:val="center"/>
        <w:rPr>
          <w:rFonts w:ascii="Trebuchet MS" w:hAnsi="Trebuchet MS" w:eastAsia="Trebuchet MS" w:cs="Trebuchet MS"/>
          <w:b/>
          <w:color w:val="000000"/>
          <w:sz w:val="32"/>
          <w:szCs w:val="32"/>
        </w:rPr>
      </w:pPr>
      <w:r>
        <w:rPr>
          <w:rFonts w:eastAsia="Trebuchet MS" w:cs="Trebuchet MS"/>
          <w:b/>
          <w:color w:val="000000"/>
          <w:sz w:val="32"/>
          <w:szCs w:val="32"/>
        </w:rPr>
        <w:t>XP Educação</w:t>
      </w:r>
    </w:p>
    <w:p>
      <w:pPr>
        <w:pStyle w:val="normal1"/>
        <w:spacing w:lineRule="auto" w:line="360"/>
        <w:jc w:val="center"/>
        <w:rPr>
          <w:rFonts w:ascii="Trebuchet MS" w:hAnsi="Trebuchet MS" w:eastAsia="Trebuchet MS" w:cs="Trebuchet MS"/>
          <w:b/>
          <w:color w:val="000000"/>
          <w:sz w:val="32"/>
          <w:szCs w:val="32"/>
        </w:rPr>
      </w:pPr>
      <w:r>
        <w:rPr>
          <w:rFonts w:eastAsia="Trebuchet MS" w:cs="Trebuchet MS"/>
          <w:b/>
          <w:color w:val="000000"/>
          <w:sz w:val="32"/>
          <w:szCs w:val="32"/>
        </w:rPr>
        <w:t>Relatório do Projeto Aplicado</w:t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009E9A"/>
          <w:sz w:val="20"/>
          <w:szCs w:val="20"/>
        </w:rPr>
      </w:pPr>
      <w:r>
        <w:rPr>
          <w:rFonts w:eastAsia="Arial" w:cs="Arial" w:ascii="Arial" w:hAnsi="Arial"/>
          <w:b/>
          <w:color w:val="009E9A"/>
          <w:sz w:val="20"/>
          <w:szCs w:val="20"/>
        </w:rPr>
      </w:r>
    </w:p>
    <w:p>
      <w:pPr>
        <w:pStyle w:val="normal1"/>
        <w:spacing w:lineRule="auto" w:line="360"/>
        <w:rPr>
          <w:rFonts w:ascii="Arial" w:hAnsi="Arial" w:eastAsia="Arial" w:cs="Arial"/>
          <w:b/>
          <w:color w:val="2A30B0"/>
          <w:sz w:val="20"/>
          <w:szCs w:val="20"/>
        </w:rPr>
      </w:pPr>
      <w:r>
        <w:rPr>
          <w:rFonts w:eastAsia="Arial" w:cs="Arial" w:ascii="Arial" w:hAnsi="Arial"/>
          <w:b/>
          <w:color w:val="2A30B0"/>
          <w:sz w:val="20"/>
          <w:szCs w:val="20"/>
        </w:rPr>
      </w:r>
    </w:p>
    <w:p>
      <w:pPr>
        <w:pStyle w:val="normal1"/>
        <w:keepNext w:val="true"/>
        <w:keepLines/>
        <w:spacing w:lineRule="auto" w:line="259" w:before="240" w:after="0"/>
        <w:jc w:val="center"/>
        <w:rPr>
          <w:color w:val="00B050"/>
          <w:sz w:val="56"/>
          <w:szCs w:val="56"/>
        </w:rPr>
      </w:pPr>
      <w:r>
        <w:rPr>
          <w:color w:val="00B050"/>
          <w:sz w:val="56"/>
          <w:szCs w:val="56"/>
        </w:rPr>
        <w:t>Centralizar Controle de Acesso</w:t>
      </w:r>
    </w:p>
    <w:p>
      <w:pPr>
        <w:pStyle w:val="normal1"/>
        <w:spacing w:lineRule="auto" w:line="259" w:before="240" w:after="0"/>
        <w:jc w:val="center"/>
        <w:rPr>
          <w:color w:val="00B050"/>
          <w:sz w:val="56"/>
          <w:szCs w:val="56"/>
        </w:rPr>
      </w:pPr>
      <w:r>
        <w:rPr>
          <w:color w:val="00B050"/>
          <w:sz w:val="56"/>
          <w:szCs w:val="56"/>
        </w:rPr>
        <w:t xml:space="preserve"> </w:t>
      </w:r>
      <w:r>
        <w:rPr>
          <w:color w:val="00B050"/>
          <w:sz w:val="56"/>
          <w:szCs w:val="56"/>
        </w:rPr>
        <w:t>pelo SSO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jc w:val="center"/>
        <w:rPr>
          <w:rFonts w:ascii="Trebuchet MS" w:hAnsi="Trebuchet MS" w:eastAsia="Trebuchet MS" w:cs="Trebuchet MS"/>
          <w:color w:val="000000"/>
          <w:sz w:val="32"/>
          <w:szCs w:val="32"/>
        </w:rPr>
      </w:pPr>
      <w:r>
        <w:rPr>
          <w:rFonts w:eastAsia="Trebuchet MS" w:cs="Trebuchet MS"/>
          <w:color w:val="000000"/>
          <w:sz w:val="32"/>
          <w:szCs w:val="32"/>
        </w:rPr>
        <w:t>[Guilherme Costa Santos]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28"/>
          <w:szCs w:val="28"/>
        </w:rPr>
        <w:t>Orientador(a): Reinaldo Galvão</w:t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jc w:val="center"/>
        <w:rPr>
          <w:color w:val="000000"/>
        </w:rPr>
      </w:pPr>
      <w:r>
        <w:rPr>
          <w:color w:val="000000"/>
        </w:rPr>
      </w:r>
    </w:p>
    <w:p>
      <w:pPr>
        <w:pStyle w:val="normal1"/>
        <w:spacing w:lineRule="auto" w:line="360"/>
        <w:jc w:val="center"/>
        <w:rPr>
          <w:rFonts w:ascii="Trebuchet MS" w:hAnsi="Trebuchet MS" w:eastAsia="Trebuchet MS" w:cs="Trebuchet MS"/>
          <w:color w:val="000000"/>
          <w:sz w:val="32"/>
          <w:szCs w:val="32"/>
        </w:rPr>
      </w:pPr>
      <w:r>
        <w:rPr>
          <w:rFonts w:eastAsia="Trebuchet MS" w:cs="Trebuchet MS"/>
          <w:color w:val="000000"/>
          <w:sz w:val="32"/>
          <w:szCs w:val="32"/>
        </w:rPr>
        <w:t>[28/09/2025]</w:t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type w:val="nextPage"/>
          <w:pgSz w:w="11906" w:h="16838"/>
          <w:pgMar w:left="1418" w:right="851" w:gutter="0" w:header="709" w:top="1134" w:footer="709" w:bottom="1134"/>
          <w:pgNumType w:start="1" w:fmt="decimal"/>
          <w:formProt w:val="false"/>
          <w:titlePg/>
          <w:textDirection w:val="lrTb"/>
          <w:docGrid w:type="default" w:linePitch="100" w:charSpace="4096"/>
        </w:sectPr>
        <w:pStyle w:val="normal1"/>
        <w:spacing w:lineRule="auto" w:line="360"/>
        <w:jc w:val="center"/>
        <w:rPr>
          <w:rFonts w:ascii="Trebuchet MS" w:hAnsi="Trebuchet MS" w:eastAsia="Trebuchet MS" w:cs="Trebuchet MS"/>
          <w:sz w:val="28"/>
          <w:szCs w:val="28"/>
        </w:rPr>
      </w:pPr>
      <w:r>
        <w:rPr/>
        <w:drawing>
          <wp:inline distT="0" distB="0" distL="0" distR="0">
            <wp:extent cx="937260" cy="576580"/>
            <wp:effectExtent l="0" t="0" r="0" b="0"/>
            <wp:docPr id="4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b/>
          <w:color w:val="000000"/>
          <w:sz w:val="28"/>
          <w:szCs w:val="28"/>
        </w:rPr>
        <w:t>Guilherme Costa Santos</w:t>
      </w:r>
    </w:p>
    <w:p>
      <w:pPr>
        <w:pStyle w:val="normal1"/>
        <w:spacing w:lineRule="auto" w:line="240" w:before="0" w:after="0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28"/>
          <w:szCs w:val="28"/>
        </w:rPr>
      </w:r>
    </w:p>
    <w:p>
      <w:pPr>
        <w:pStyle w:val="normal1"/>
        <w:spacing w:lineRule="auto" w:line="24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b/>
          <w:color w:val="000000"/>
          <w:sz w:val="28"/>
          <w:szCs w:val="28"/>
        </w:rPr>
        <w:t>XP EDUCAÇÃO</w:t>
      </w:r>
      <w:r>
        <w:rPr>
          <w:rFonts w:eastAsia="Trebuchet MS" w:cs="Trebuchet MS"/>
          <w:b/>
          <w:color w:val="009E9A"/>
          <w:sz w:val="28"/>
          <w:szCs w:val="28"/>
        </w:rPr>
        <w:br/>
      </w:r>
      <w:r>
        <w:rPr>
          <w:rFonts w:eastAsia="Trebuchet MS" w:cs="Trebuchet MS"/>
          <w:b/>
          <w:color w:val="009E9A"/>
        </w:rPr>
        <w:br/>
      </w:r>
      <w:r>
        <w:rPr>
          <w:rFonts w:eastAsia="Trebuchet MS" w:cs="Trebuchet MS"/>
          <w:color w:val="000000"/>
          <w:sz w:val="28"/>
          <w:szCs w:val="28"/>
        </w:rPr>
        <w:t>RELATÓRIO DO PROJETO APLICADO</w:t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  <w:br/>
        <w:br/>
        <w:br/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000000"/>
          <w:sz w:val="24"/>
          <w:szCs w:val="24"/>
        </w:rPr>
        <w:br/>
        <w:br/>
      </w:r>
    </w:p>
    <w:p>
      <w:pPr>
        <w:pStyle w:val="normal1"/>
        <w:spacing w:lineRule="auto" w:line="240"/>
        <w:jc w:val="center"/>
        <w:rPr>
          <w:rFonts w:ascii="Trebuchet MS" w:hAnsi="Trebuchet MS" w:eastAsia="Trebuchet MS" w:cs="Trebuchet MS"/>
          <w:color w:val="000000"/>
          <w:sz w:val="28"/>
          <w:szCs w:val="28"/>
        </w:rPr>
      </w:pPr>
      <w:r>
        <w:rPr>
          <w:rFonts w:eastAsia="Trebuchet MS" w:cs="Trebuchet MS"/>
          <w:color w:val="000000"/>
          <w:sz w:val="52"/>
          <w:szCs w:val="52"/>
        </w:rPr>
        <w:t>Centralização de Acessos pelo SSO</w:t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353F40"/>
        </w:rPr>
      </w:pPr>
      <w:r>
        <w:rPr>
          <w:rFonts w:eastAsia="Trebuchet MS" w:cs="Trebuchet MS"/>
          <w:color w:val="353F40"/>
        </w:rPr>
        <w:br/>
        <w:br/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353F40"/>
        </w:rPr>
      </w:pPr>
      <w:r>
        <w:rPr>
          <w:rFonts w:eastAsia="Trebuchet MS" w:cs="Trebuchet MS"/>
          <w:color w:val="353F40"/>
        </w:rPr>
      </w:r>
    </w:p>
    <w:p>
      <w:pPr>
        <w:pStyle w:val="normal1"/>
        <w:spacing w:lineRule="auto" w:line="240"/>
        <w:ind w:hanging="0" w:left="3969"/>
        <w:rPr>
          <w:rFonts w:ascii="Trebuchet MS" w:hAnsi="Trebuchet MS" w:eastAsia="Trebuchet MS" w:cs="Trebuchet MS"/>
          <w:color w:val="000000"/>
          <w:sz w:val="24"/>
          <w:szCs w:val="24"/>
        </w:rPr>
      </w:pPr>
      <w:r>
        <w:rPr>
          <w:rFonts w:eastAsia="Trebuchet MS" w:cs="Trebuchet MS"/>
          <w:color w:val="353F40"/>
        </w:rPr>
        <w:br/>
        <w:br/>
      </w:r>
      <w:r>
        <w:rPr>
          <w:rFonts w:eastAsia="Trebuchet MS" w:cs="Trebuchet MS"/>
          <w:color w:val="353F40"/>
          <w:sz w:val="24"/>
          <w:szCs w:val="24"/>
        </w:rPr>
        <w:br/>
      </w:r>
      <w:r>
        <w:rPr>
          <w:rFonts w:eastAsia="Trebuchet MS" w:cs="Trebuchet MS"/>
          <w:color w:val="000000"/>
          <w:sz w:val="24"/>
          <w:szCs w:val="24"/>
        </w:rPr>
        <w:t>Relatório de Projeto Aplicado desenvolvido para fins de conclusão do curso [...].</w:t>
        <w:br/>
        <w:br/>
        <w:t>Orientador (a):</w:t>
      </w:r>
      <w:r>
        <w:rPr>
          <w:rFonts w:eastAsia="Trebuchet MS" w:cs="Trebuchet MS"/>
          <w:color w:val="353F40"/>
          <w:sz w:val="24"/>
          <w:szCs w:val="24"/>
        </w:rPr>
        <w:t> </w:t>
      </w:r>
      <w:r>
        <w:rPr>
          <w:rFonts w:eastAsia="Trebuchet MS" w:cs="Trebuchet MS"/>
          <w:color w:val="000000"/>
          <w:sz w:val="24"/>
          <w:szCs w:val="24"/>
        </w:rPr>
        <w:t>Reinaldo Galvão</w:t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br/>
        <w:br/>
        <w:br/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spacing w:lineRule="auto" w:line="240" w:before="0" w:after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br/>
      </w:r>
    </w:p>
    <w:p>
      <w:pPr>
        <w:pStyle w:val="normal1"/>
        <w:spacing w:lineRule="auto" w:line="360"/>
        <w:jc w:val="center"/>
        <w:rPr>
          <w:rFonts w:ascii="Arial" w:hAnsi="Arial" w:eastAsia="Arial" w:cs="Arial"/>
          <w:b/>
          <w:color w:val="006C69"/>
          <w:sz w:val="24"/>
          <w:szCs w:val="24"/>
        </w:rPr>
      </w:pPr>
      <w:r>
        <w:rPr>
          <w:rFonts w:eastAsia="Arial" w:cs="Arial" w:ascii="Arial" w:hAnsi="Arial"/>
          <w:b/>
          <w:color w:val="006C69"/>
          <w:sz w:val="24"/>
          <w:szCs w:val="24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color w:val="00B050"/>
          <w:sz w:val="24"/>
          <w:szCs w:val="24"/>
        </w:rPr>
      </w:pPr>
      <w:r>
        <w:rPr>
          <w:rFonts w:eastAsia="Arial" w:cs="Arial" w:ascii="Arial" w:hAnsi="Arial"/>
          <w:b/>
          <w:color w:val="006C69"/>
          <w:sz w:val="24"/>
          <w:szCs w:val="24"/>
        </w:rPr>
        <w:br/>
      </w:r>
      <w:r>
        <w:rPr>
          <w:rFonts w:eastAsia="Trebuchet MS" w:cs="Trebuchet MS"/>
          <w:b/>
          <w:color w:val="00B050"/>
          <w:sz w:val="24"/>
          <w:szCs w:val="24"/>
        </w:rPr>
        <w:br/>
      </w:r>
      <w:r>
        <w:rPr>
          <w:rFonts w:eastAsia="Trebuchet MS" w:cs="Trebuchet MS"/>
          <w:b/>
          <w:color w:val="00B050"/>
          <w:sz w:val="28"/>
          <w:szCs w:val="28"/>
        </w:rPr>
        <w:t>[São Bernardo do Campo -SP]</w:t>
        <w:br/>
        <w:t>[28/09/2025]</w:t>
      </w:r>
    </w:p>
    <w:p>
      <w:pPr>
        <w:pStyle w:val="normal1"/>
        <w:keepNext w:val="true"/>
        <w:keepLines/>
        <w:spacing w:lineRule="auto" w:line="259" w:before="0" w:after="120"/>
        <w:rPr>
          <w:rFonts w:ascii="Trebuchet MS" w:hAnsi="Trebuchet MS" w:eastAsia="Trebuchet MS" w:cs="Trebuchet MS"/>
          <w:b/>
          <w:color w:val="1A1F20"/>
          <w:sz w:val="18"/>
          <w:szCs w:val="18"/>
        </w:rPr>
      </w:pPr>
      <w:r>
        <w:rPr>
          <w:rFonts w:eastAsia="Trebuchet MS" w:cs="Trebuchet MS"/>
          <w:b/>
          <w:color w:val="1A1F20"/>
          <w:sz w:val="18"/>
          <w:szCs w:val="18"/>
        </w:rPr>
      </w:r>
    </w:p>
    <w:p>
      <w:pPr>
        <w:pStyle w:val="normal1"/>
        <w:keepNext w:val="true"/>
        <w:keepLines/>
        <w:spacing w:lineRule="auto" w:line="259" w:before="0" w:after="120"/>
        <w:rPr>
          <w:rFonts w:ascii="Trebuchet MS" w:hAnsi="Trebuchet MS" w:eastAsia="Trebuchet MS" w:cs="Trebuchet MS"/>
          <w:b/>
          <w:color w:val="1A1F20"/>
          <w:sz w:val="40"/>
          <w:szCs w:val="40"/>
        </w:rPr>
      </w:pPr>
      <w:r>
        <w:rPr>
          <w:rFonts w:eastAsia="Trebuchet MS" w:cs="Trebuchet MS"/>
          <w:b/>
          <w:color w:val="1A1F20"/>
          <w:sz w:val="40"/>
          <w:szCs w:val="40"/>
        </w:rPr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"1-9" \u \t "Heading 1,1,Heading 2,2,Heading 3,3,Heading 4,4,Heading 5,5,Heading 6,6"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_RefHeading___Toc2033_4158205933">
            <w:r>
              <w:rPr>
                <w:webHidden/>
                <w:rStyle w:val="IndexLink"/>
                <w:vanish w:val="false"/>
              </w:rPr>
              <w:t>1. CANVAS do Projeto Aplicado</w:t>
            </w:r>
            <w:r>
              <w:rPr>
                <w:rStyle w:val="IndexLink"/>
                <w:vanish w:val="false"/>
              </w:rPr>
              <w:tab/>
              <w:t>6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31_4158205933">
            <w:r>
              <w:rPr>
                <w:webHidden/>
                <w:rStyle w:val="IndexLink"/>
                <w:vanish w:val="false"/>
              </w:rPr>
              <w:t>1.1 Desafio</w:t>
              <w:tab/>
              <w:t>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5_4158205933">
            <w:r>
              <w:rPr>
                <w:webHidden/>
                <w:rStyle w:val="IndexLink"/>
                <w:vanish w:val="false"/>
              </w:rPr>
              <w:t>1.1.1 Análise de Contexto</w:t>
              <w:tab/>
              <w:t>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5_4158205933">
            <w:r>
              <w:rPr>
                <w:webHidden/>
                <w:rStyle w:val="IndexLink"/>
                <w:vanish w:val="false"/>
              </w:rPr>
              <w:t>1.1.2 Personas</w:t>
              <w:tab/>
              <w:t>10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1_4158205933">
            <w:r>
              <w:rPr>
                <w:webHidden/>
                <w:rStyle w:val="IndexLink"/>
                <w:vanish w:val="false"/>
              </w:rPr>
              <w:t xml:space="preserve"> </w:t>
            </w:r>
            <w:r>
              <w:rPr>
                <w:rStyle w:val="IndexLink"/>
              </w:rPr>
              <w:t>1.1.2.1 Arquiteto 1</w:t>
              <w:tab/>
              <w:t>10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9_4158205933">
            <w:r>
              <w:rPr>
                <w:webHidden/>
                <w:rStyle w:val="IndexLink"/>
                <w:vanish w:val="false"/>
              </w:rPr>
              <w:t>1.1.2.2 Diretor Financeiro</w:t>
              <w:tab/>
              <w:t>11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37_4158205933">
            <w:r>
              <w:rPr>
                <w:webHidden/>
                <w:rStyle w:val="IndexLink"/>
                <w:vanish w:val="false"/>
              </w:rPr>
              <w:t>1.1.2.3 Desenvolvedor Senior</w:t>
              <w:tab/>
              <w:t>12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3_4158205933">
            <w:r>
              <w:rPr>
                <w:webHidden/>
                <w:rStyle w:val="IndexLink"/>
                <w:vanish w:val="false"/>
              </w:rPr>
              <w:t>1.1.3 Justificativas</w:t>
              <w:tab/>
              <w:t>13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61_4158205933">
            <w:r>
              <w:rPr>
                <w:webHidden/>
                <w:rStyle w:val="IndexLink"/>
                <w:vanish w:val="false"/>
              </w:rPr>
              <w:t>1.1.4 Hipóteses</w:t>
              <w:tab/>
              <w:t>16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9_4158205933">
            <w:r>
              <w:rPr>
                <w:webHidden/>
                <w:rStyle w:val="IndexLink"/>
                <w:vanish w:val="false"/>
              </w:rPr>
              <w:t>1.2 Solução</w:t>
              <w:tab/>
              <w:t>17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9_4158205933">
            <w:r>
              <w:rPr>
                <w:webHidden/>
                <w:rStyle w:val="IndexLink"/>
                <w:vanish w:val="false"/>
              </w:rPr>
              <w:t>1.2.1 Objetivo SMART</w:t>
              <w:tab/>
              <w:t>17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7_4158205933">
            <w:r>
              <w:rPr>
                <w:webHidden/>
                <w:rStyle w:val="IndexLink"/>
                <w:vanish w:val="false"/>
              </w:rPr>
              <w:t>1.2.2 Escopo do Projeto</w:t>
              <w:tab/>
              <w:t>18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5_4158205933">
            <w:r>
              <w:rPr>
                <w:webHidden/>
                <w:rStyle w:val="IndexLink"/>
                <w:vanish w:val="false"/>
              </w:rPr>
              <w:t>1.2.3 Cronograma de Ações Planejadas</w:t>
              <w:tab/>
              <w:t>20</w:t>
            </w:r>
          </w:hyperlink>
        </w:p>
        <w:p>
          <w:pPr>
            <w:pStyle w:val="TOC1"/>
            <w:tabs>
              <w:tab w:val="clear" w:pos="9637"/>
              <w:tab w:val="right" w:pos="8503" w:leader="dot"/>
            </w:tabs>
            <w:rPr/>
          </w:pPr>
          <w:hyperlink w:anchor="__RefHeading___Toc2015_4158205933">
            <w:r>
              <w:rPr>
                <w:webHidden/>
                <w:rStyle w:val="IndexLink"/>
                <w:vanish w:val="false"/>
              </w:rPr>
              <w:t>2. Área de Experimentação</w:t>
              <w:tab/>
              <w:t>22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7_4158205933">
            <w:r>
              <w:rPr>
                <w:webHidden/>
                <w:rStyle w:val="IndexLink"/>
                <w:vanish w:val="false"/>
              </w:rPr>
              <w:t>2.1 Sprint 1</w:t>
              <w:tab/>
              <w:t>22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3_4158205933">
            <w:r>
              <w:rPr>
                <w:webHidden/>
                <w:rStyle w:val="IndexLink"/>
                <w:vanish w:val="false"/>
              </w:rPr>
              <w:t>2.1.1 Solução</w:t>
              <w:tab/>
              <w:t>22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67_4158205933">
            <w:r>
              <w:rPr>
                <w:webHidden/>
                <w:rStyle w:val="IndexLink"/>
                <w:vanish w:val="false"/>
              </w:rPr>
              <w:t>Evidência da Planning:</w:t>
              <w:tab/>
              <w:t>22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77_4158205933">
            <w:r>
              <w:rPr>
                <w:webHidden/>
                <w:rStyle w:val="IndexLink"/>
                <w:vanish w:val="false"/>
              </w:rPr>
              <w:t>Evidência da execução de cada task:</w:t>
              <w:tab/>
              <w:t>22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51_4158205933">
            <w:r>
              <w:rPr>
                <w:webHidden/>
                <w:rStyle w:val="IndexLink"/>
                <w:vanish w:val="false"/>
              </w:rPr>
              <w:t>2.1.2 Retrospectiva da Sprint</w:t>
              <w:tab/>
              <w:t>33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5_4158205933">
            <w:r>
              <w:rPr>
                <w:webHidden/>
                <w:rStyle w:val="IndexLink"/>
                <w:vanish w:val="false"/>
              </w:rPr>
              <w:t>2.2 Sprint 2</w:t>
              <w:tab/>
              <w:t>35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9_4158205933">
            <w:r>
              <w:rPr>
                <w:webHidden/>
                <w:rStyle w:val="IndexLink"/>
                <w:vanish w:val="false"/>
              </w:rPr>
              <w:t>2.2.1 Solução</w:t>
              <w:tab/>
              <w:t>35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3_2602190981">
            <w:r>
              <w:rPr>
                <w:webHidden/>
                <w:rStyle w:val="IndexLink"/>
                <w:vanish w:val="false"/>
              </w:rPr>
              <w:t>Evidências de Planejamento</w:t>
              <w:tab/>
              <w:t>35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1_2602190981">
            <w:r>
              <w:rPr>
                <w:webHidden/>
                <w:rStyle w:val="IndexLink"/>
                <w:vanish w:val="false"/>
              </w:rPr>
              <w:t>Evidências de Execução</w:t>
              <w:tab/>
              <w:t>36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37_2602190981">
            <w:r>
              <w:rPr>
                <w:webHidden/>
                <w:rStyle w:val="IndexLink"/>
                <w:vanish w:val="false"/>
              </w:rPr>
              <w:t>Evidências de Resultado</w:t>
              <w:tab/>
              <w:t>50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7_4158205933">
            <w:r>
              <w:rPr>
                <w:webHidden/>
                <w:rStyle w:val="IndexLink"/>
                <w:vanish w:val="false"/>
              </w:rPr>
              <w:t>2.2.2 Retrospectiva da Sprint</w:t>
              <w:tab/>
              <w:t>51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3_4158205933">
            <w:r>
              <w:rPr>
                <w:webHidden/>
                <w:rStyle w:val="IndexLink"/>
                <w:vanish w:val="false"/>
              </w:rPr>
              <w:t>2.3 Sprint 3</w:t>
              <w:tab/>
              <w:t>52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5_4158205933">
            <w:r>
              <w:rPr>
                <w:webHidden/>
                <w:rStyle w:val="IndexLink"/>
                <w:vanish w:val="false"/>
              </w:rPr>
              <w:t>2.3.1 Solução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1143_2602190981_Copy_1">
            <w:r>
              <w:rPr>
                <w:webHidden/>
                <w:rStyle w:val="IndexLink"/>
                <w:vanish w:val="false"/>
              </w:rPr>
              <w:t>Evidências de Planejamento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71_4158205933">
            <w:r>
              <w:rPr>
                <w:webHidden/>
                <w:rStyle w:val="IndexLink"/>
                <w:vanish w:val="false"/>
              </w:rPr>
              <w:t>Evidências de Execução</w:t>
              <w:tab/>
              <w:t>52</w:t>
            </w:r>
          </w:hyperlink>
        </w:p>
        <w:p>
          <w:pPr>
            <w:pStyle w:val="TOC4"/>
            <w:tabs>
              <w:tab w:val="clear" w:pos="8787"/>
              <w:tab w:val="right" w:pos="8503" w:leader="dot"/>
            </w:tabs>
            <w:rPr/>
          </w:pPr>
          <w:hyperlink w:anchor="__RefHeading___Toc2069_4158205933">
            <w:r>
              <w:rPr>
                <w:webHidden/>
                <w:rStyle w:val="IndexLink"/>
                <w:vanish w:val="false"/>
              </w:rPr>
              <w:t>Evidência do resultado:</w:t>
              <w:tab/>
              <w:t>57</w:t>
            </w:r>
          </w:hyperlink>
        </w:p>
        <w:p>
          <w:pPr>
            <w:pStyle w:val="TOC3"/>
            <w:tabs>
              <w:tab w:val="clear" w:pos="9070"/>
              <w:tab w:val="right" w:pos="8503" w:leader="dot"/>
            </w:tabs>
            <w:rPr/>
          </w:pPr>
          <w:hyperlink w:anchor="__RefHeading___Toc2043_4158205933">
            <w:r>
              <w:rPr>
                <w:webHidden/>
                <w:rStyle w:val="IndexLink"/>
                <w:vanish w:val="false"/>
              </w:rPr>
              <w:t>2.3.2 Retrospectiva da Sprint</w:t>
              <w:tab/>
              <w:t>58</w:t>
            </w:r>
          </w:hyperlink>
        </w:p>
        <w:p>
          <w:pPr>
            <w:pStyle w:val="TOC1"/>
            <w:tabs>
              <w:tab w:val="clear" w:pos="9637"/>
              <w:tab w:val="right" w:pos="8503" w:leader="dot"/>
            </w:tabs>
            <w:rPr/>
          </w:pPr>
          <w:hyperlink w:anchor="__RefHeading___Toc2017_4158205933">
            <w:r>
              <w:rPr>
                <w:webHidden/>
                <w:rStyle w:val="IndexLink"/>
                <w:vanish w:val="false"/>
              </w:rPr>
              <w:t>3. Considerações Finais</w:t>
              <w:tab/>
              <w:t>59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21_4158205933">
            <w:r>
              <w:rPr>
                <w:webHidden/>
                <w:rStyle w:val="IndexLink"/>
                <w:vanish w:val="false"/>
              </w:rPr>
              <w:t>3.1 Resultados</w:t>
              <w:tab/>
              <w:t>59</w:t>
            </w:r>
          </w:hyperlink>
        </w:p>
        <w:p>
          <w:pPr>
            <w:pStyle w:val="TOC2"/>
            <w:tabs>
              <w:tab w:val="clear" w:pos="9354"/>
              <w:tab w:val="right" w:pos="8503" w:leader="dot"/>
            </w:tabs>
            <w:rPr/>
          </w:pPr>
          <w:hyperlink w:anchor="__RefHeading___Toc2019_4158205933">
            <w:r>
              <w:rPr>
                <w:webHidden/>
                <w:rStyle w:val="IndexLink"/>
                <w:vanish w:val="false"/>
              </w:rPr>
              <w:t>3.2 Próximos passos</w:t>
              <w:tab/>
              <w:t>59</w:t>
            </w:r>
          </w:hyperlink>
          <w:r>
            <w:rPr>
              <w:rStyle w:val="IndexLink"/>
              <w:vanish w:val="false"/>
            </w:rPr>
            <w:fldChar w:fldCharType="end"/>
          </w:r>
        </w:p>
      </w:sdtContent>
    </w:sdt>
    <w:p>
      <w:pPr>
        <w:pStyle w:val="Heading2"/>
        <w:rPr/>
      </w:pPr>
      <w:r>
        <w:rPr/>
      </w:r>
      <w:bookmarkStart w:id="0" w:name="_1fob9te"/>
      <w:bookmarkStart w:id="1" w:name="_1fob9te"/>
      <w:bookmarkEnd w:id="1"/>
    </w:p>
    <w:p>
      <w:pPr>
        <w:pStyle w:val="Heading2"/>
        <w:rPr/>
      </w:pPr>
      <w:r>
        <w:rPr/>
      </w:r>
      <w:bookmarkStart w:id="2" w:name="_3znysh7"/>
      <w:bookmarkStart w:id="3" w:name="_3znysh7"/>
      <w:bookmarkEnd w:id="3"/>
      <w:r>
        <w:br w:type="page"/>
      </w:r>
    </w:p>
    <w:p>
      <w:pPr>
        <w:pStyle w:val="Heading2"/>
        <w:spacing w:before="0" w:after="0"/>
        <w:rPr/>
      </w:pPr>
      <w:r>
        <w:rPr/>
      </w:r>
      <w:bookmarkStart w:id="4" w:name="_2et92p0"/>
      <w:bookmarkStart w:id="5" w:name="_2et92p0"/>
      <w:bookmarkEnd w:id="5"/>
    </w:p>
    <w:p>
      <w:pPr>
        <w:pStyle w:val="Heading2"/>
        <w:rPr/>
      </w:pPr>
      <w:bookmarkStart w:id="6" w:name="__RefHeading___Toc2033_4158205933"/>
      <w:bookmarkStart w:id="7" w:name="_tyjcwt"/>
      <w:bookmarkEnd w:id="6"/>
      <w:bookmarkEnd w:id="7"/>
      <w:r>
        <w:rPr/>
        <w:t>1. CANVAS do Projeto Aplicado</w:t>
      </w:r>
    </w:p>
    <w:p>
      <w:pPr>
        <w:pStyle w:val="normal1"/>
        <w:rPr>
          <w:i/>
          <w:i/>
          <w:color w:val="666666"/>
          <w:highlight w:val="white"/>
        </w:rPr>
      </w:pPr>
      <w:r>
        <w:rPr>
          <w:i/>
          <w:color w:val="666666"/>
          <w:highlight w:val="white"/>
        </w:rPr>
      </w:r>
      <w:bookmarkStart w:id="8" w:name="_3dy6vkm"/>
      <w:bookmarkStart w:id="9" w:name="_3dy6vkm"/>
      <w:bookmarkEnd w:id="9"/>
    </w:p>
    <w:p>
      <w:pPr>
        <w:pStyle w:val="normal1"/>
        <w:rPr>
          <w:color w:val="1A1F20"/>
          <w:sz w:val="24"/>
          <w:szCs w:val="24"/>
        </w:rPr>
      </w:pPr>
      <w:r>
        <w:rPr>
          <w:color w:val="1A1F20"/>
          <w:sz w:val="24"/>
          <w:szCs w:val="24"/>
        </w:rPr>
        <w:drawing>
          <wp:anchor behindDoc="0" distT="0" distB="0" distL="0" distR="0" simplePos="0" locked="0" layoutInCell="0" allowOverlap="1" relativeHeight="1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619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360" w:before="0" w:after="240"/>
        <w:ind w:hanging="0" w:left="0" w:right="0"/>
        <w:jc w:val="both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rPr/>
      </w:pPr>
      <w:bookmarkStart w:id="10" w:name="__RefHeading___Toc2031_4158205933"/>
      <w:bookmarkStart w:id="11" w:name="_1t3h5sf"/>
      <w:bookmarkEnd w:id="10"/>
      <w:bookmarkEnd w:id="11"/>
      <w:r>
        <w:rPr/>
        <w:t>Desafio</w:t>
      </w:r>
    </w:p>
    <w:p>
      <w:pPr>
        <w:pStyle w:val="normal1"/>
        <w:spacing w:lineRule="auto" w:line="276"/>
        <w:ind w:hanging="720" w:left="720"/>
        <w:rPr>
          <w:b/>
          <w:color w:val="006C69"/>
          <w:highlight w:val="yellow"/>
        </w:rPr>
      </w:pPr>
      <w:r>
        <w:rPr>
          <w:b/>
          <w:color w:val="006C69"/>
          <w:highlight w:val="yellow"/>
        </w:rPr>
      </w:r>
      <w:bookmarkStart w:id="12" w:name="_4d34og8"/>
      <w:bookmarkStart w:id="13" w:name="_4d34og8"/>
      <w:bookmarkEnd w:id="13"/>
    </w:p>
    <w:p>
      <w:pPr>
        <w:pStyle w:val="Heading3"/>
        <w:rPr/>
      </w:pPr>
      <w:bookmarkStart w:id="14" w:name="__RefHeading___Toc2035_4158205933"/>
      <w:bookmarkStart w:id="15" w:name="_2s8eyo1"/>
      <w:bookmarkEnd w:id="14"/>
      <w:bookmarkEnd w:id="15"/>
      <w:r>
        <w:rPr>
          <w:color w:val="00B050"/>
        </w:rPr>
        <w:t>1.1.1 Análise de Contexto</w:t>
      </w:r>
    </w:p>
    <w:p>
      <w:pPr>
        <w:pStyle w:val="normal1"/>
        <w:spacing w:lineRule="auto" w:line="276"/>
        <w:ind w:hanging="720" w:left="720"/>
        <w:jc w:val="both"/>
        <w:rPr>
          <w:b/>
          <w:color w:val="666666"/>
        </w:rPr>
      </w:pPr>
      <w:r>
        <w:rPr>
          <w:b/>
          <w:color w:val="666666"/>
        </w:rPr>
      </w:r>
      <w:bookmarkStart w:id="16" w:name="_17dp8vu"/>
      <w:bookmarkStart w:id="17" w:name="_17dp8vu"/>
      <w:bookmarkEnd w:id="17"/>
    </w:p>
    <w:p>
      <w:pPr>
        <w:pStyle w:val="normal1"/>
        <w:spacing w:lineRule="auto" w:line="360"/>
        <w:jc w:val="both"/>
        <w:rPr/>
      </w:pPr>
      <w:r>
        <w:rPr>
          <w:color w:val="1A1F20"/>
        </w:rPr>
        <w:t xml:space="preserve">A </w:t>
      </w:r>
      <w:r>
        <w:rPr>
          <w:rStyle w:val="Strong"/>
          <w:color w:val="1A1F20"/>
        </w:rPr>
        <w:t>empresa K</w:t>
      </w:r>
      <w:r>
        <w:rPr>
          <w:color w:val="1A1F20"/>
        </w:rPr>
        <w:t xml:space="preserve"> atua como provedora de tecnologia para imobiliárias em expansão nacional e internacional, com presença nos Estados Unidos, Europa, Oriente Médio e Oceania. Seu portfólio de soluções é composto por: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CRM</w:t>
      </w:r>
      <w:r>
        <w:rPr/>
        <w:t xml:space="preserve"> – gestão de estoque, leads, equipe e integrações com portais e canais digitais.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jc w:val="left"/>
        <w:rPr/>
      </w:pPr>
      <w:r>
        <w:rPr>
          <w:rStyle w:val="Strong"/>
        </w:rPr>
        <w:t>CMS</w:t>
      </w:r>
      <w:r>
        <w:rPr/>
        <w:t xml:space="preserve"> – construção de 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sites</w:t>
      </w:r>
      <w:r>
        <w:rPr/>
        <w:t xml:space="preserve"> imobiliários baseados no estoque.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ERP</w:t>
      </w:r>
      <w:r>
        <w:rPr/>
        <w:t xml:space="preserve"> – gestão administrativa de contratos, pagamentos, cobranças e assinaturas.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Área do Cliente</w:t>
      </w:r>
      <w:r>
        <w:rPr/>
        <w:t xml:space="preserve"> – gestão das assinaturas da empresa K, contratação de novos pacotes, upgrades e downgrades.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Ferramentas de Parceiros</w:t>
      </w:r>
      <w:r>
        <w:rPr/>
        <w:t xml:space="preserve"> – treinamentos e atendimentos com dependência da carga de usuários.</w:t>
      </w:r>
    </w:p>
    <w:p>
      <w:pPr>
        <w:pStyle w:val="BodyText"/>
        <w:rPr/>
      </w:pPr>
      <w:r>
        <w:rPr/>
        <w:t xml:space="preserve">Com cada produto mantendo sua </w:t>
      </w:r>
      <w:r>
        <w:rPr>
          <w:rStyle w:val="Strong"/>
        </w:rPr>
        <w:t>base própria de usuários</w:t>
      </w:r>
      <w:r>
        <w:rPr/>
        <w:t>, surgem dores relevantes: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Compartilhamento de sessão</w:t>
      </w:r>
      <w:r>
        <w:rPr/>
        <w:t>: usuários únicos usados por várias pessoas, distorcendo métricas de consumo e prejudicando a definição correta de pacotes.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RPAs externos</w:t>
      </w:r>
      <w:r>
        <w:rPr/>
        <w:t>: automações de terceiros usando credenciais compartilhadas, aumentando riscos de segurança.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Sobrecarga de infraestrutura</w:t>
      </w:r>
      <w:r>
        <w:rPr/>
        <w:t>: acessos atípicos decorrentes de compartilhamento geram picos de requisições e ampliam custos de infraestrutura.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Gestão descentralizada de papéis</w:t>
      </w:r>
      <w:r>
        <w:rPr/>
        <w:t>: permissões de usuários são definidas de forma isolada em cada produto.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Dificuldade na desativação</w:t>
      </w:r>
      <w:r>
        <w:rPr/>
        <w:t>: a baixa de um usuário não reflete em todos os sistemas.</w:t>
      </w:r>
    </w:p>
    <w:p>
      <w:pPr>
        <w:pStyle w:val="BodyText"/>
        <w:rPr/>
      </w:pPr>
      <w:r>
        <w:rPr/>
        <w:t xml:space="preserve">Essas dores reforçam a </w:t>
      </w:r>
      <w:r>
        <w:rPr>
          <w:rStyle w:val="Strong"/>
        </w:rPr>
        <w:t>necessidade estratégica</w:t>
      </w:r>
      <w:r>
        <w:rPr/>
        <w:t xml:space="preserve"> de adotar uma solução unificada de autenticação e autorização, com foco em segurança, governança e experiência de uso.</w:t>
      </w:r>
    </w:p>
    <w:p>
      <w:pPr>
        <w:pStyle w:val="BodyTex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 xml:space="preserve">Para endereçar o problema, é necessário centralizar acessos via </w:t>
      </w:r>
      <w:r>
        <w:rPr>
          <w:rStyle w:val="Strong"/>
        </w:rPr>
        <w:t>SSO (Single Sign-On)</w:t>
      </w:r>
      <w:r>
        <w:rPr/>
        <w:t>, permitindo que o usuário autentique-se uma única vez e acesse todas as aplicações de forma padronizada e segura.</w:t>
      </w:r>
    </w:p>
    <w:p>
      <w:pPr>
        <w:pStyle w:val="BodyText"/>
        <w:widowControl/>
        <w:bidi w:val="0"/>
        <w:jc w:val="left"/>
        <w:rPr/>
      </w:pPr>
      <w:r>
        <w:rPr/>
        <w:t>Benefícios esperados: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Redução de senhas e simplificação da experiência.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Governança centralizada sobre acessos e permissões.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Segurança reforçada com autenticação unificada.</w:t>
      </w:r>
    </w:p>
    <w:p>
      <w:pPr>
        <w:pStyle w:val="BodyText"/>
        <w:widowControl/>
        <w:numPr>
          <w:ilvl w:val="0"/>
          <w:numId w:val="5"/>
        </w:numPr>
        <w:bidi w:val="0"/>
        <w:jc w:val="left"/>
        <w:rPr/>
      </w:pPr>
      <w:r>
        <w:rPr/>
        <w:t>Menor esforço de TI na gestão de identidades.</w:t>
      </w:r>
    </w:p>
    <w:p>
      <w:pPr>
        <w:pStyle w:val="BodyText"/>
        <w:widowControl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 xml:space="preserve">Requisitos de Avaliação (com </w:t>
      </w:r>
      <w:r>
        <w:rPr>
          <w:rStyle w:val="Emphasis"/>
        </w:rPr>
        <w:t>obrigatórios</w:t>
      </w:r>
      <w:r>
        <w:rPr/>
        <w:t>):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Área Administrativa (*)</w:t>
      </w:r>
      <w:r>
        <w:rPr/>
        <w:t xml:space="preserve"> – gestão de usuários, aplicações e permissões.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REST API (*)</w:t>
      </w:r>
      <w:r>
        <w:rPr/>
        <w:t xml:space="preserve"> – integração com microserviços para gestão de identidades.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OAuth 2.0 / OpenID Connect (OIDC)</w:t>
      </w:r>
      <w:r>
        <w:rPr/>
        <w:t xml:space="preserve"> – suporte a fluxos modernos de autenticação.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Federação com redes sociais</w:t>
      </w:r>
      <w:r>
        <w:rPr/>
        <w:t xml:space="preserve"> – login por Google, Facebook, LinkedIn etc.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Esqueci Minha Senha (*)</w:t>
      </w:r>
      <w:r>
        <w:rPr/>
        <w:t xml:space="preserve"> – recuperação e redefinição seguras.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Cadastro de Usuários por E-mail</w:t>
      </w:r>
      <w:r>
        <w:rPr/>
        <w:t xml:space="preserve"> – autocadastro com validação e aprovação opcional.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Token Authentication (JWT) (*)</w:t>
      </w:r>
      <w:r>
        <w:rPr/>
        <w:t xml:space="preserve"> – emissão, validação, renovação e revogação de tokens.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Multi-tenancy</w:t>
      </w:r>
      <w:r>
        <w:rPr/>
        <w:t xml:space="preserve"> – isolamento por cliente e possibilidade de compartilhamento controlado.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Customização de Login</w:t>
      </w:r>
      <w:r>
        <w:rPr/>
        <w:t xml:space="preserve"> – branding e campos adicionais conforme necessidade.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Impersonate</w:t>
      </w:r>
      <w:r>
        <w:rPr/>
        <w:t xml:space="preserve"> – suporte para acesso temporário de suporte com auditoria.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RBAC (*)</w:t>
      </w:r>
      <w:r>
        <w:rPr/>
        <w:t xml:space="preserve"> – grupos, permissões e roles hierárquicas.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Rotação de Senha</w:t>
      </w:r>
      <w:r>
        <w:rPr/>
        <w:t xml:space="preserve"> – políticas de expiração e complexidade mínima.</w:t>
      </w:r>
    </w:p>
    <w:p>
      <w:pPr>
        <w:pStyle w:val="BodyText"/>
        <w:widowControl/>
        <w:numPr>
          <w:ilvl w:val="0"/>
          <w:numId w:val="6"/>
        </w:numPr>
        <w:bidi w:val="0"/>
        <w:jc w:val="left"/>
        <w:rPr/>
      </w:pPr>
      <w:r>
        <w:rPr>
          <w:rStyle w:val="Strong"/>
        </w:rPr>
        <w:t>Migração de Usuários sem Perda de Senha (*)</w:t>
      </w:r>
      <w:r>
        <w:rPr/>
        <w:t xml:space="preserve"> – importação segura de hashes.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Ferramentas avaliadas para PoC: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Firebase Authentication (PaaS)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KeyCloak (IaaS/Open Source)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GCP IAM (PaaS)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Auth0 by Okta (SaaS)</w:t>
      </w:r>
    </w:p>
    <w:p>
      <w:pPr>
        <w:pStyle w:val="BodyText"/>
        <w:widowControl/>
        <w:numPr>
          <w:ilvl w:val="0"/>
          <w:numId w:val="7"/>
        </w:numPr>
        <w:bidi w:val="0"/>
        <w:jc w:val="left"/>
        <w:rPr/>
      </w:pPr>
      <w:r>
        <w:rPr/>
        <w:t>Microsoft Entra ID (SaaS)</w:t>
      </w:r>
    </w:p>
    <w:p>
      <w:pPr>
        <w:pStyle w:val="BodyText"/>
        <w:rPr/>
      </w:pPr>
      <w:r>
        <w:rPr/>
      </w:r>
    </w:p>
    <w:p>
      <w:pPr>
        <w:pStyle w:val="normal11"/>
        <w:spacing w:lineRule="auto" w:line="360"/>
        <w:jc w:val="both"/>
        <w:rPr/>
      </w:pPr>
      <w:r>
        <w:rPr/>
        <w:t>Como critério de decisão</w:t>
      </w:r>
      <w:bookmarkStart w:id="18" w:name="docs-internal-guid-4ff9b570-7fff-7d79-1c"/>
      <w:bookmarkEnd w:id="18"/>
      <w:r>
        <w:rPr/>
        <w:t> </w:t>
      </w:r>
    </w:p>
    <w:tbl>
      <w:tblPr>
        <w:tblW w:w="8504" w:type="dxa"/>
        <w:jc w:val="left"/>
        <w:tblInd w:w="0" w:type="dxa"/>
        <w:tblLayout w:type="fixed"/>
        <w:tblCellMar>
          <w:top w:w="150" w:type="dxa"/>
          <w:left w:w="150" w:type="dxa"/>
          <w:bottom w:w="150" w:type="dxa"/>
          <w:right w:w="150" w:type="dxa"/>
        </w:tblCellMar>
      </w:tblPr>
      <w:tblGrid>
        <w:gridCol w:w="3854"/>
        <w:gridCol w:w="1131"/>
        <w:gridCol w:w="3519"/>
      </w:tblGrid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de Avaliação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Custo Operacional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Alto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Menor custo por usuário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Tempo de Implementação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Médio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Facilidade de integração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Segurança e Compliance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Alto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LGPD, OWASP Top 10</w:t>
            </w:r>
          </w:p>
        </w:tc>
      </w:tr>
      <w:tr>
        <w:trPr/>
        <w:tc>
          <w:tcPr>
            <w:tcW w:w="3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Flexibilidade (RBAC, SAML)</w:t>
            </w:r>
          </w:p>
        </w:tc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Médio</w:t>
            </w:r>
          </w:p>
        </w:tc>
        <w:tc>
          <w:tcPr>
            <w:tcW w:w="3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11"/>
              <w:spacing w:lineRule="auto" w:line="360" w:before="0" w:after="160"/>
              <w:jc w:val="both"/>
              <w:rPr/>
            </w:pPr>
            <w:r>
              <w:rPr/>
              <w:t>Suporte a cenários complexos</w:t>
            </w:r>
          </w:p>
        </w:tc>
      </w:tr>
    </w:tbl>
    <w:p>
      <w:pPr>
        <w:pStyle w:val="normal11"/>
        <w:spacing w:lineRule="auto" w:line="360"/>
        <w:jc w:val="both"/>
        <w:rPr/>
      </w:pPr>
      <w:r>
        <w:rPr/>
      </w:r>
    </w:p>
    <w:p>
      <w:pPr>
        <w:pStyle w:val="normal1"/>
        <w:spacing w:lineRule="auto" w:line="360"/>
        <w:jc w:val="both"/>
        <w:rPr>
          <w:b/>
          <w:color w:val="1A1F20"/>
        </w:rPr>
      </w:pPr>
      <w:r>
        <w:rPr>
          <w:b/>
          <w:color w:val="1A1F20"/>
        </w:rPr>
      </w:r>
    </w:p>
    <w:p>
      <w:pPr>
        <w:pStyle w:val="normal1"/>
        <w:spacing w:lineRule="auto" w:line="360" w:before="0" w:after="0"/>
        <w:ind w:hanging="0" w:left="720"/>
        <w:jc w:val="both"/>
        <w:rPr/>
      </w:pPr>
      <w:r>
        <w:rPr/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19" w:name="__RefHeading___Toc2065_4158205933"/>
      <w:bookmarkStart w:id="20" w:name="_26in1rg"/>
      <w:bookmarkEnd w:id="19"/>
      <w:bookmarkEnd w:id="20"/>
      <w:r>
        <w:rPr>
          <w:color w:val="00B050"/>
        </w:rPr>
        <w:t>1.1.2 Personas</w:t>
      </w:r>
    </w:p>
    <w:p>
      <w:pPr>
        <w:pStyle w:val="Heading3"/>
        <w:widowControl/>
        <w:bidi w:val="0"/>
        <w:jc w:val="left"/>
        <w:rPr/>
      </w:pPr>
      <w:bookmarkStart w:id="21" w:name="__RefHeading___Toc2041_4158205933"/>
      <w:bookmarkStart w:id="22" w:name="_26in1rg_Copy_1"/>
      <w:bookmarkEnd w:id="21"/>
      <w:bookmarkEnd w:id="22"/>
      <w:r>
        <w:rPr>
          <w:color w:val="1A1F20"/>
          <w:highlight w:val="yellow"/>
        </w:rPr>
        <w:br/>
      </w:r>
      <w:r>
        <w:rPr>
          <w:color w:val="00B050"/>
        </w:rPr>
        <w:t>1.1.2.1 Arquiteto 1</w:t>
      </w:r>
    </w:p>
    <w:p>
      <w:pPr>
        <w:pStyle w:val="normal1"/>
        <w:spacing w:lineRule="auto" w:line="360"/>
        <w:jc w:val="both"/>
        <w:rPr>
          <w:color w:val="1A1F20"/>
        </w:rPr>
      </w:pPr>
      <w:r>
        <w:rPr>
          <w:color w:val="1A1F20"/>
        </w:rPr>
        <w:drawing>
          <wp:anchor behindDoc="0" distT="0" distB="0" distL="0" distR="0" simplePos="0" locked="0" layoutInCell="0" allowOverlap="1" relativeHeight="1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8155" cy="7734935"/>
            <wp:effectExtent l="0" t="0" r="0" b="0"/>
            <wp:wrapSquare wrapText="largest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773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bidi w:val="0"/>
        <w:jc w:val="left"/>
        <w:rPr/>
      </w:pPr>
      <w:bookmarkStart w:id="23" w:name="__RefHeading___Toc2039_4158205933"/>
      <w:bookmarkEnd w:id="23"/>
      <w:r>
        <w:rPr>
          <w:color w:val="00B050"/>
        </w:rPr>
        <w:t>1.1.2.2  Diretor Financeiro</w:t>
      </w:r>
    </w:p>
    <w:p>
      <w:pPr>
        <w:pStyle w:val="normal1"/>
        <w:widowControl/>
        <w:bidi w:val="0"/>
        <w:jc w:val="left"/>
        <w:rPr>
          <w:color w:val="00B050"/>
        </w:rPr>
      </w:pPr>
      <w:r>
        <w:rPr>
          <w:color w:val="00B050"/>
        </w:rPr>
      </w:r>
    </w:p>
    <w:p>
      <w:pPr>
        <w:pStyle w:val="normal1"/>
        <w:spacing w:lineRule="auto" w:line="360" w:before="0" w:after="0"/>
        <w:ind w:hanging="0" w:left="720"/>
        <w:jc w:val="both"/>
        <w:rPr>
          <w:color w:val="1A1F20"/>
        </w:rPr>
      </w:pPr>
      <w:r>
        <w:rPr>
          <w:color w:val="1A1F20"/>
        </w:rPr>
        <w:drawing>
          <wp:anchor behindDoc="0" distT="0" distB="0" distL="0" distR="0" simplePos="0" locked="0" layoutInCell="0" allowOverlap="1" relativeHeight="122">
            <wp:simplePos x="0" y="0"/>
            <wp:positionH relativeFrom="column">
              <wp:posOffset>184785</wp:posOffset>
            </wp:positionH>
            <wp:positionV relativeFrom="paragraph">
              <wp:posOffset>292735</wp:posOffset>
            </wp:positionV>
            <wp:extent cx="5030470" cy="7987665"/>
            <wp:effectExtent l="0" t="0" r="0" b="0"/>
            <wp:wrapSquare wrapText="largest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70" cy="798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widowControl/>
        <w:bidi w:val="0"/>
        <w:jc w:val="left"/>
        <w:rPr/>
      </w:pPr>
      <w:bookmarkStart w:id="24" w:name="__RefHeading___Toc2037_4158205933"/>
      <w:bookmarkEnd w:id="24"/>
      <w:r>
        <w:rPr>
          <w:color w:val="00B050"/>
        </w:rPr>
        <w:t>1.1.2.3  Desenvolvedor Senior</w:t>
      </w:r>
    </w:p>
    <w:p>
      <w:pPr>
        <w:pStyle w:val="normal1"/>
        <w:widowControl/>
        <w:bidi w:val="0"/>
        <w:jc w:val="left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66665" cy="7967345"/>
            <wp:effectExtent l="0" t="0" r="0" b="0"/>
            <wp:wrapSquare wrapText="largest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665" cy="796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25" w:name="__RefHeading___Toc2063_4158205933"/>
      <w:bookmarkStart w:id="26" w:name="_lnxbz9"/>
      <w:bookmarkEnd w:id="25"/>
      <w:bookmarkEnd w:id="26"/>
      <w:r>
        <w:rPr>
          <w:color w:val="00B050"/>
        </w:rPr>
        <w:t>1.1.3 Justificativas</w:t>
      </w:r>
    </w:p>
    <w:p>
      <w:pPr>
        <w:pStyle w:val="normal1"/>
        <w:spacing w:lineRule="auto" w:line="360"/>
        <w:rPr>
          <w:color w:val="7D9294"/>
        </w:rPr>
      </w:pPr>
      <w:r>
        <w:rPr>
          <w:color w:val="7D9294"/>
        </w:rPr>
      </w:r>
    </w:p>
    <w:p>
      <w:pPr>
        <w:pStyle w:val="BodyText"/>
        <w:widowControl/>
        <w:bidi w:val="0"/>
        <w:jc w:val="left"/>
        <w:rPr/>
      </w:pPr>
      <w:r>
        <w:rPr/>
        <w:t>A Companhia K atua no setor imobiliário com soluções tecnológicas que incluem CRM, CMS, ERP, Área do Cliente e Ferramentas de Parceiros. Cada produto possui sua própria base de usuários, gerando problemas críticos: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Compartilhamento de credenciais</w:t>
      </w:r>
      <w:r>
        <w:rPr/>
        <w:t xml:space="preserve"> entre múltiplos usuários e RPAs, resultando em riscos de segurança.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Gestão descentralizada de permissões</w:t>
      </w:r>
      <w:r>
        <w:rPr/>
        <w:t>, tornando difícil controlar e auditar acessos.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Sobrecarga de infraestrutura</w:t>
      </w:r>
      <w:r>
        <w:rPr/>
        <w:t xml:space="preserve"> causada por acessos fora do padrão.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Dificuldade na desativação de usuários</w:t>
      </w:r>
      <w:r>
        <w:rPr/>
        <w:t xml:space="preserve"> em todos os sistemas de forma sincronizada.</w:t>
      </w:r>
    </w:p>
    <w:p>
      <w:pPr>
        <w:pStyle w:val="BodyText"/>
        <w:widowControl/>
        <w:numPr>
          <w:ilvl w:val="0"/>
          <w:numId w:val="8"/>
        </w:numPr>
        <w:bidi w:val="0"/>
        <w:jc w:val="left"/>
        <w:rPr/>
      </w:pPr>
      <w:r>
        <w:rPr>
          <w:rStyle w:val="Strong"/>
        </w:rPr>
        <w:t>Documentação fragmentada</w:t>
      </w:r>
      <w:r>
        <w:rPr/>
        <w:t xml:space="preserve"> e processos manuais que aumentam retrabalho.</w:t>
      </w:r>
    </w:p>
    <w:p>
      <w:pPr>
        <w:pStyle w:val="BodyText"/>
        <w:widowControl/>
        <w:bidi w:val="0"/>
        <w:jc w:val="left"/>
        <w:rPr/>
      </w:pPr>
      <w:r>
        <w:rPr/>
        <w:t xml:space="preserve">Esse cenário impacta diretamente áreas técnicas, financeiras e operacionais, refletindo em </w:t>
      </w:r>
      <w:r>
        <w:rPr>
          <w:rStyle w:val="Strong"/>
        </w:rPr>
        <w:t>maiores custos de manutenção, riscos de segurança e insatisfação de usuários</w:t>
      </w:r>
      <w:r>
        <w:rPr/>
        <w:t>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Fatores que Justificam a Implantação: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Redução de Custos Operacionais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Eliminação de sobrecarga de infraestrutura causada por acessos indevidos.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Menor esforço da TI na gestão de usuários, roles e permissões.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Otimização de pacotes de licenciamento pela contabilização correta de usuários ativos.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Aumento de Segurança e Governança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Autenticação unificada reduz vulnerabilidades do compartilhamento de credenciais.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 xml:space="preserve">Auditoria centralizada para conformidade com </w:t>
      </w:r>
      <w:r>
        <w:rPr>
          <w:rStyle w:val="Strong"/>
        </w:rPr>
        <w:t>LGPD e OWASP Top 10</w:t>
      </w:r>
      <w:r>
        <w:rPr/>
        <w:t>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Maior rastreabilidade e visibilidade de acessos.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Eficiência e Produtividade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Usuários com menos fricção: apenas um login para acessar múltiplas soluções.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Times técnicos ganham agilidade ao adotar padrões claros (SSO, RBAC, APIs).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Redução do retrabalho com documentação e integrações descentralizadas.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Alinhamento Estratégico e Financeiro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Arquiteto de Soluções (Persona 1) terá ferramentas padronizadas para modernizar sistemas.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Diretor Financeiro (Persona 2) contará com métricas claras de consumo em cloud e ROI.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O Desenvolvedor Sênior (Persona 3) terá guidelines técnicos unificados, reduzindo a complexidade do legado.</w:t>
      </w:r>
    </w:p>
    <w:p>
      <w:pPr>
        <w:pStyle w:val="BodyText"/>
        <w:widowControl/>
        <w:numPr>
          <w:ilvl w:val="0"/>
          <w:numId w:val="9"/>
        </w:numPr>
        <w:bidi w:val="0"/>
        <w:jc w:val="left"/>
        <w:rPr/>
      </w:pPr>
      <w:r>
        <w:rPr>
          <w:rStyle w:val="Strong"/>
        </w:rPr>
        <w:t>Projeção de Crescimento Sustentável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Escalabilidade para suportar expansão internacional.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Capacidade de integração com provedores externos (Google, Microsoft, etc.).</w:t>
      </w:r>
    </w:p>
    <w:p>
      <w:pPr>
        <w:pStyle w:val="BodyText"/>
        <w:widowControl/>
        <w:numPr>
          <w:ilvl w:val="1"/>
          <w:numId w:val="9"/>
        </w:numPr>
        <w:bidi w:val="0"/>
        <w:jc w:val="left"/>
        <w:rPr/>
      </w:pPr>
      <w:r>
        <w:rPr/>
        <w:t>Diferencial competitivo ao posicionar a Companhia K como referência tecnológica no setor imobiliário.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  <w:t>Proposta de Valor</w:t>
      </w:r>
    </w:p>
    <w:p>
      <w:pPr>
        <w:pStyle w:val="BodyText"/>
        <w:widowControl/>
        <w:bidi w:val="0"/>
        <w:jc w:val="left"/>
        <w:rPr/>
      </w:pPr>
      <w:r>
        <w:rPr/>
        <w:t xml:space="preserve">A implantação de uma solução de </w:t>
      </w:r>
      <w:r>
        <w:rPr>
          <w:rStyle w:val="Strong"/>
        </w:rPr>
        <w:t>SSO (Single Sign-On)</w:t>
      </w:r>
      <w:r>
        <w:rPr/>
        <w:t xml:space="preserve"> permitirá à Companhia K: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Centralizar a autenticação de usuários</w:t>
      </w:r>
      <w:r>
        <w:rPr/>
        <w:t xml:space="preserve"> em todos os produtos e parceiros.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Aumentar a segurança e conformidade regulatória</w:t>
      </w:r>
      <w:r>
        <w:rPr/>
        <w:t>, reduzindo riscos de compartilhamento indevido.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Simplificar a experiência dos usuários finais</w:t>
      </w:r>
      <w:r>
        <w:rPr/>
        <w:t>, melhorando satisfação e engajamento.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Gerar eficiência operacional</w:t>
      </w:r>
      <w:r>
        <w:rPr/>
        <w:t>, reduzindo custos e esforços da TI.</w:t>
      </w:r>
    </w:p>
    <w:p>
      <w:pPr>
        <w:pStyle w:val="BodyText"/>
        <w:widowControl/>
        <w:numPr>
          <w:ilvl w:val="0"/>
          <w:numId w:val="10"/>
        </w:numPr>
        <w:bidi w:val="0"/>
        <w:jc w:val="left"/>
        <w:rPr/>
      </w:pPr>
      <w:r>
        <w:rPr>
          <w:rStyle w:val="Strong"/>
        </w:rPr>
        <w:t>Apoiar a sustentabilidade financeira da companhia</w:t>
      </w:r>
      <w:r>
        <w:rPr/>
        <w:t>, com previsibilidade de custos e ROI mensurável.</w:t>
      </w:r>
    </w:p>
    <w:p>
      <w:pPr>
        <w:pStyle w:val="BodyText"/>
        <w:numPr>
          <w:ilvl w:val="0"/>
          <w:numId w:val="10"/>
        </w:numPr>
        <w:rPr/>
      </w:pPr>
      <w:r>
        <w:rPr>
          <w:rStyle w:val="Strong"/>
        </w:rPr>
        <w:t>Posicionar a empresa como líder inovadora</w:t>
      </w:r>
      <w:r>
        <w:rPr/>
        <w:t>, ao adotar práticas modernas de gestão de identidades e acessos.</w:t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BodyText"/>
        <w:widowControl/>
        <w:bidi w:val="0"/>
        <w:jc w:val="left"/>
        <w:rPr/>
      </w:pPr>
      <w:r>
        <w:rPr/>
      </w:r>
    </w:p>
    <w:p>
      <w:pPr>
        <w:pStyle w:val="normal1"/>
        <w:spacing w:lineRule="auto" w:line="360"/>
        <w:rPr>
          <w:b/>
          <w:color w:val="1A1F20"/>
        </w:rPr>
      </w:pPr>
      <w:r>
        <w:rPr>
          <w:b/>
          <w:color w:val="1A1F20"/>
        </w:rPr>
        <w:drawing>
          <wp:anchor behindDoc="0" distT="0" distB="0" distL="0" distR="0" simplePos="0" locked="0" layoutInCell="0" allowOverlap="1" relativeHeight="1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81300"/>
            <wp:effectExtent l="0" t="0" r="0" b="0"/>
            <wp:wrapSquare wrapText="largest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27" w:name="__RefHeading___Toc2061_4158205933"/>
      <w:bookmarkStart w:id="28" w:name="_35nkun2"/>
      <w:bookmarkEnd w:id="27"/>
      <w:bookmarkEnd w:id="28"/>
      <w:r>
        <w:rPr>
          <w:color w:val="00B050"/>
        </w:rPr>
        <w:t>1.1.4 Hipóteses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"/>
        <w:spacing w:lineRule="auto" w:line="360"/>
        <w:rPr>
          <w:b/>
          <w:color w:val="1A1F20"/>
        </w:rPr>
      </w:pPr>
      <w:r>
        <w:rPr>
          <w:b/>
          <w:color w:val="1A1F20"/>
        </w:rPr>
        <w:drawing>
          <wp:anchor behindDoc="0" distT="0" distB="0" distL="0" distR="0" simplePos="0" locked="0" layoutInCell="0" allowOverlap="1" relativeHeight="1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29305"/>
            <wp:effectExtent l="0" t="0" r="0" b="0"/>
            <wp:wrapSquare wrapText="largest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2"/>
        <w:spacing w:before="0" w:after="0"/>
        <w:rPr/>
      </w:pPr>
      <w:bookmarkStart w:id="29" w:name="__RefHeading___Toc2029_4158205933"/>
      <w:bookmarkStart w:id="30" w:name="_44sinio"/>
      <w:bookmarkEnd w:id="29"/>
      <w:bookmarkEnd w:id="30"/>
      <w:r>
        <w:rPr/>
        <w:t xml:space="preserve">1.2 Solução </w:t>
      </w:r>
    </w:p>
    <w:p>
      <w:pPr>
        <w:pStyle w:val="normal1"/>
        <w:spacing w:lineRule="auto" w:line="360"/>
        <w:ind w:hanging="720" w:left="720"/>
        <w:rPr>
          <w:b/>
          <w:color w:val="006C69"/>
        </w:rPr>
      </w:pPr>
      <w:r>
        <w:rPr>
          <w:b/>
          <w:color w:val="006C69"/>
        </w:rPr>
      </w:r>
      <w:bookmarkStart w:id="31" w:name="_2jxsxqh"/>
      <w:bookmarkStart w:id="32" w:name="_2jxsxqh"/>
      <w:bookmarkEnd w:id="32"/>
    </w:p>
    <w:p>
      <w:pPr>
        <w:pStyle w:val="Heading3"/>
        <w:rPr>
          <w:color w:val="00B050"/>
        </w:rPr>
      </w:pPr>
      <w:bookmarkStart w:id="33" w:name="__RefHeading___Toc2059_4158205933"/>
      <w:bookmarkStart w:id="34" w:name="_z337ya"/>
      <w:bookmarkEnd w:id="33"/>
      <w:bookmarkEnd w:id="34"/>
      <w:r>
        <w:rPr>
          <w:color w:val="00B050"/>
        </w:rPr>
        <w:t>1.2.1 Objetivo SMART</w:t>
      </w:r>
    </w:p>
    <w:p>
      <w:pPr>
        <w:pStyle w:val="normal1"/>
        <w:spacing w:lineRule="auto" w:line="360"/>
        <w:rPr/>
      </w:pPr>
      <w:r>
        <w:rPr/>
      </w:r>
    </w:p>
    <w:p>
      <w:pPr>
        <w:pStyle w:val="normal1"/>
        <w:spacing w:lineRule="auto" w:line="360"/>
        <w:rPr>
          <w:rStyle w:val="Strong"/>
        </w:rPr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objetivo da PoC é validar a integração de uma solução de Single Sign-On (SSO) para unificar o processo de autenticação entre os sistemas corporativos da Companhia K (S), garantindo um login único, seguro e eficiente. A iniciativa busca unificar a base de usuários, eliminar autenticações múltiplas e reduzir em 60% o esforço de gestão de usuários (M). A implementação do SSO é fundamental para melhorar a experiência do usuário, fortalecer o controle de acesso e aumentar a eficiência operacional (R). O projeto será executado com recursos existentes e validado em 3 sprints (T). O critério de aceite será a validação de uma das ferramentas, com demonstração de uso em uma aplicação SPA e em uma API, acompanhada da formatação e apresentação dos resultados da avaliação (A).</w:t>
      </w:r>
    </w:p>
    <w:p>
      <w:pPr>
        <w:pStyle w:val="normal1"/>
        <w:spacing w:lineRule="auto" w:line="36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rStyle w:val="Strong"/>
          <w:b w:val="false"/>
          <w:bCs w:val="false"/>
          <w:color w:val="1A1F20"/>
        </w:rPr>
      </w:pPr>
      <w:r>
        <w:rPr>
          <w:b w:val="false"/>
          <w:bCs w:val="false"/>
          <w:color w:val="1A1F20"/>
        </w:rPr>
      </w:r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35" w:name="__RefHeading___Toc2057_4158205933"/>
      <w:bookmarkStart w:id="36" w:name="_3j2qqm3"/>
      <w:bookmarkEnd w:id="35"/>
      <w:bookmarkEnd w:id="36"/>
      <w:r>
        <w:rPr>
          <w:color w:val="00B050"/>
        </w:rPr>
        <w:t>1.2.2 Escopo do Projeto</w:t>
      </w:r>
    </w:p>
    <w:p>
      <w:pPr>
        <w:pStyle w:val="normal1"/>
        <w:spacing w:lineRule="auto" w:line="36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Este projeto tem como objetivo aplicar uma Prova de Conceito (PoC) em ferramentas de Single Sign-On (SSO), com o propósito de unificar as bases de usuários dos produtos da Companhia K.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br/>
        <w:t>A seguir, são apresentadas as premissas, restrições e consequências consideradas para o andamento do projeto.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Premissas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Considerando o tempo limitado, a infraestrutura para execução do projeto será configurada em ambiente local, utilizando Docker e VS Code.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Haverá acesso às aplicações de teste (SPA e API), que permitirão a validação completa do login único.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Será utilizada a ferramenta open-source Keycloak para demonstração dos requisitos obrigatórios.</w:t>
      </w:r>
    </w:p>
    <w:p>
      <w:pPr>
        <w:pStyle w:val="BodyText"/>
        <w:widowControl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ferramentas SaaS com custos atrelados serão apresentadas apenas quanto ao cumprimento dos requisitos, sem utilização prática, devido ao custo envolvido.</w:t>
      </w:r>
    </w:p>
    <w:p>
      <w:pPr>
        <w:pStyle w:val="BodyText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Restrições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projeto será desenvolvido apenas com recursos internos da Companhia K, sem aquisição de novas licenças ou infraestrutura adicional.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prazo para execução está limitado a 3 sprints, conforme o planejamento inicial.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validações estarão restritas ao ambiente local, não abrangendo implantação em produção.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escopo da PoC se limita à autenticação e unificação de usuários, não incluindo autorização detalhada por papéis ou permissões.</w:t>
      </w:r>
    </w:p>
    <w:p>
      <w:pPr>
        <w:pStyle w:val="BodyText"/>
        <w:widowControl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integrações serão testadas apenas em uma aplicação SPA e uma API REST, conforme critérios de aceite definidos.</w:t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1"/>
        <w:spacing w:lineRule="auto" w:line="36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Recursos, habilidades e conhecimentos necessários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Recursos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Docker, imagem Keycloak, VS Code, Node.js 22, ReactJS.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Habilidades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integração via protocolos OAuth2 e OpenID Connect, configuração de identidade federada, gestão de tokens e aplicação de boas práticas de segurança.</w:t>
      </w:r>
    </w:p>
    <w:p>
      <w:pPr>
        <w:pStyle w:val="BodyText"/>
        <w:widowControl/>
        <w:numPr>
          <w:ilvl w:val="0"/>
          <w:numId w:val="13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Conhecimentos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arquitetura de autenticação corporativa, segurança da informação e APIs RESTful.</w:t>
      </w:r>
    </w:p>
    <w:p>
      <w:pPr>
        <w:pStyle w:val="normal1"/>
        <w:spacing w:lineRule="auto" w:line="360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spacing w:lineRule="auto" w:line="259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</w:r>
      <w:bookmarkStart w:id="37" w:name="_1y810tw"/>
      <w:bookmarkStart w:id="38" w:name="_1y810tw"/>
      <w:bookmarkEnd w:id="38"/>
      <w:r>
        <w:br w:type="page"/>
      </w:r>
    </w:p>
    <w:p>
      <w:pPr>
        <w:pStyle w:val="Heading3"/>
        <w:spacing w:before="0" w:after="0"/>
        <w:rPr>
          <w:color w:val="00B050"/>
        </w:rPr>
      </w:pPr>
      <w:bookmarkStart w:id="39" w:name="__RefHeading___Toc2055_4158205933"/>
      <w:bookmarkEnd w:id="39"/>
      <w:r>
        <w:rPr>
          <w:color w:val="00B050"/>
        </w:rPr>
        <w:t>1.2.3 Cronograma de Ações Planejadas</w:t>
      </w:r>
    </w:p>
    <w:p>
      <w:pPr>
        <w:pStyle w:val="normal1"/>
        <w:spacing w:lineRule="auto" w:line="360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cronograma do projeto foi estruturado em 3 sprints semanais, totalizando 3 semanas de execução da Prova de Conceito (PoC) para integração de Single Sign-On (SSO).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br/>
        <w:t>Cada sprint contempla atividades técnicas, validações e checkpoints para garantir a entrega incremental dos resultados.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Sprint 1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– Configuração e Preparação do Ambiente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Duração: 1 semana</w:t>
        <w:br/>
      </w: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Atividades Principais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Configuração do ambiente local utilizando Docker e VS Code.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Implantação da imagem Keycloak e configuração inicial do servidor de identidade.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Criação de usuários de teste e mapeamento dos atributos necessários para autenticação.</w:t>
      </w:r>
    </w:p>
    <w:p>
      <w:pPr>
        <w:pStyle w:val="BodyText"/>
        <w:widowControl/>
        <w:numPr>
          <w:ilvl w:val="0"/>
          <w:numId w:val="14"/>
        </w:numPr>
        <w:tabs>
          <w:tab w:val="clear" w:pos="720"/>
          <w:tab w:val="left" w:pos="0" w:leader="none"/>
        </w:tabs>
        <w:suppressAutoHyphens w:val="true"/>
        <w:bidi w:val="0"/>
        <w:ind w:hanging="283" w:left="709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Integração inicial com uma aplicação SPA para validação do fluxo Oauth2.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>Entregas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: ambiente local funcional com Keycloak configurado e autenticação inicial validada na aplicação SPA.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Sprint 2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Integração e Validação Técnica</w:t>
      </w:r>
    </w:p>
    <w:p>
      <w:pPr>
        <w:pStyle w:val="BodyText"/>
        <w:rPr/>
      </w:pPr>
      <w:r>
        <w:rPr>
          <w:rStyle w:val="Strong"/>
          <w:b w:val="false"/>
          <w:bCs w:val="false"/>
        </w:rPr>
        <w:t>Duração</w:t>
      </w:r>
      <w:r>
        <w:rPr>
          <w:rStyle w:val="Strong"/>
        </w:rPr>
        <w:t>:</w:t>
      </w:r>
      <w:r>
        <w:rPr/>
        <w:t xml:space="preserve"> 1 semana</w:t>
        <w:br/>
      </w:r>
      <w:r>
        <w:rPr>
          <w:rStyle w:val="Strong"/>
        </w:rPr>
        <w:t>Atividades Principais: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Integração do SSO com a API REST utilizando OpenID Connect.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Implementação de controle de sessão e renovação de tokens.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Registro dos fluxos de autenticação e tratamento de erros.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Validação da unificação dos usuários entre SPA e API.</w:t>
      </w:r>
    </w:p>
    <w:p>
      <w:pPr>
        <w:pStyle w:val="BodyText"/>
        <w:rPr/>
      </w:pPr>
      <w:r>
        <w:rPr>
          <w:rStyle w:val="Strong"/>
        </w:rPr>
        <w:t>Entregas:</w:t>
      </w:r>
      <w:r>
        <w:rPr/>
        <w:t xml:space="preserve"> autenticação integrada e validação técnica completa do fluxo SSO nas aplicações de teste.</w:t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Sprint 3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Avaliação, Documentação e Demonstração</w:t>
      </w:r>
    </w:p>
    <w:p>
      <w:pPr>
        <w:pStyle w:val="BodyText"/>
        <w:rPr/>
      </w:pPr>
      <w:r>
        <w:rPr>
          <w:rStyle w:val="Strong"/>
        </w:rPr>
        <w:t>Duração:</w:t>
      </w:r>
      <w:r>
        <w:rPr/>
        <w:t xml:space="preserve"> 1 semana</w:t>
        <w:br/>
      </w:r>
      <w:r>
        <w:rPr>
          <w:rStyle w:val="Strong"/>
        </w:rPr>
        <w:t>Atividades Principais: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Documentação dos resultados e evidências da PoC.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Elaboração de relatório comparativo entre Keycloak e alternativas SaaS (Auth0, Okta).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Elaboração de documentos de decisões arquiteturais.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Apresentação dos resultados e critérios de aceitação.</w:t>
      </w:r>
    </w:p>
    <w:p>
      <w:pPr>
        <w:pStyle w:val="BodyText"/>
        <w:rPr/>
      </w:pPr>
      <w:r>
        <w:rPr>
          <w:b/>
          <w:bCs/>
        </w:rPr>
        <w:t>Entregas</w:t>
      </w:r>
      <w:r>
        <w:rPr/>
        <w:t>: relatório técnico consolidado e demonstração funcional da PoC de SSO.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1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1235710"/>
            <wp:effectExtent l="0" t="0" r="0" b="0"/>
            <wp:wrapSquare wrapText="largest"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  <w:r>
        <w:br w:type="page"/>
      </w:r>
    </w:p>
    <w:p>
      <w:pPr>
        <w:pStyle w:val="Heading1"/>
        <w:spacing w:before="0" w:after="0"/>
        <w:rPr>
          <w:rFonts w:ascii="Trebuchet MS" w:hAnsi="Trebuchet MS" w:eastAsia="Trebuchet MS" w:cs="Trebuchet MS"/>
          <w:color w:val="00B050"/>
        </w:rPr>
      </w:pPr>
      <w:bookmarkStart w:id="40" w:name="__RefHeading___Toc2015_4158205933"/>
      <w:bookmarkStart w:id="41" w:name="_4i7ojhp"/>
      <w:bookmarkEnd w:id="40"/>
      <w:bookmarkEnd w:id="41"/>
      <w:r>
        <w:rPr>
          <w:rFonts w:eastAsia="Trebuchet MS" w:cs="Trebuchet MS"/>
          <w:color w:val="00B050"/>
        </w:rPr>
        <w:t>2.</w:t>
        <w:tab/>
        <w:t>Área de Experimentação</w:t>
      </w:r>
    </w:p>
    <w:p>
      <w:pPr>
        <w:pStyle w:val="normal1"/>
        <w:spacing w:lineRule="auto" w:line="360"/>
        <w:rPr/>
      </w:pPr>
      <w:r>
        <w:rPr/>
      </w:r>
    </w:p>
    <w:p>
      <w:pPr>
        <w:pStyle w:val="Heading2"/>
        <w:rPr>
          <w:color w:val="1A1F20"/>
        </w:rPr>
      </w:pPr>
      <w:bookmarkStart w:id="42" w:name="__RefHeading___Toc2027_4158205933"/>
      <w:bookmarkStart w:id="43" w:name="_qsh70q"/>
      <w:bookmarkEnd w:id="42"/>
      <w:bookmarkEnd w:id="43"/>
      <w:r>
        <w:rPr/>
        <w:t>2.</w:t>
      </w:r>
      <w:r>
        <w:rPr>
          <w:color w:val="1A1F20"/>
        </w:rPr>
        <w:t>1 Sprint 1</w:t>
      </w:r>
    </w:p>
    <w:p>
      <w:pPr>
        <w:pStyle w:val="Heading3"/>
        <w:rPr>
          <w:color w:val="00B050"/>
        </w:rPr>
      </w:pPr>
      <w:bookmarkStart w:id="44" w:name="__RefHeading___Toc2053_4158205933"/>
      <w:bookmarkStart w:id="45" w:name="_3as4poj"/>
      <w:bookmarkEnd w:id="44"/>
      <w:bookmarkEnd w:id="45"/>
      <w:r>
        <w:rPr>
          <w:color w:val="00B050"/>
        </w:rPr>
        <w:t>2.1.1 Solução</w:t>
      </w:r>
    </w:p>
    <w:p>
      <w:pPr>
        <w:pStyle w:val="normal1"/>
        <w:keepNext w:val="true"/>
        <w:keepLines/>
        <w:spacing w:lineRule="auto" w:line="360" w:before="40" w:after="0"/>
        <w:rPr>
          <w:color w:val="00B050"/>
          <w:sz w:val="24"/>
          <w:szCs w:val="24"/>
        </w:rPr>
      </w:pPr>
      <w:r>
        <w:rPr>
          <w:color w:val="00B050"/>
          <w:sz w:val="24"/>
          <w:szCs w:val="24"/>
        </w:rPr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46" w:name="__RefHeading___Toc2067_4158205933"/>
      <w:bookmarkStart w:id="47" w:name="_1pxezwc"/>
      <w:bookmarkEnd w:id="46"/>
      <w:bookmarkEnd w:id="47"/>
      <w:r>
        <w:rPr>
          <w:color w:val="00B050"/>
        </w:rPr>
        <w:t>Evidência da Planning: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Com o planejamento sendo definido as cadência das tarefas durante as spints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34640"/>
            <wp:effectExtent l="0" t="0" r="0" b="0"/>
            <wp:wrapSquare wrapText="largest"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48" w:name="__RefHeading___Toc2077_4158205933"/>
      <w:bookmarkStart w:id="49" w:name="_49x2ik5"/>
      <w:bookmarkEnd w:id="48"/>
      <w:bookmarkEnd w:id="49"/>
      <w:r>
        <w:rPr>
          <w:color w:val="00B050"/>
        </w:rPr>
        <w:t>Evidência da execução de cada task: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1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Configurar do ambiente local 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Estabelecendo em nivel de contexto como as aplicações irão se interagir com o SSO, aqui configurando o  keycloack e as aplicações localmente.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8737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ambiente de trabalho foi configurado utilizando o Docker Desktop, VS Studio Code, com essas ferramentas sendo criado o docker-compose.yml do keycloack, permtindo que as configurações sejam enviadas para outros ambientes.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19675" cy="3524250"/>
            <wp:effectExtent l="0" t="0" r="0" b="0"/>
            <wp:wrapSquare wrapText="largest"/>
            <wp:docPr id="15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Executando o comando docker compose up -d, temos a instalação da imagem e o start do serviço 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07720"/>
            <wp:effectExtent l="0" t="0" r="0" b="0"/>
            <wp:wrapSquare wrapText="largest"/>
            <wp:docPr id="16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53160"/>
            <wp:effectExtent l="0" t="0" r="0" b="0"/>
            <wp:wrapSquare wrapText="largest"/>
            <wp:docPr id="17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2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Implementar Imagen Keycloak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Com o container da imagem em execução na porta 8080, temos acesso ao KeyCloack pela URL </w:t>
      </w:r>
      <w:r>
        <w:rPr>
          <w:rStyle w:val="Hyperlink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http://localhost:8080/admin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45690"/>
            <wp:effectExtent l="0" t="0" r="0" b="0"/>
            <wp:wrapSquare wrapText="largest"/>
            <wp:docPr id="18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Task 3 –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Configurar servidor de identidade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Configurar o ambiente para simular os produtos da companhia K, como as aplicações irão consumir a mesma base de usuários, o keycloack devine as base pela funcionalidade “realm”, portanto sendo criado o realm “produtos”.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67000" cy="2466975"/>
            <wp:effectExtent l="0" t="0" r="0" b="0"/>
            <wp:wrapSquare wrapText="largest"/>
            <wp:docPr id="1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As aplicações são registradas como Clients no keycloack, iremos registrar CRM, ERP, Area do Cliente e Integrações Externas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91360"/>
            <wp:effectExtent l="0" t="0" r="0" b="0"/>
            <wp:wrapSquare wrapText="largest"/>
            <wp:docPr id="2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91360"/>
            <wp:effectExtent l="0" t="0" r="0" b="0"/>
            <wp:wrapSquare wrapText="largest"/>
            <wp:docPr id="2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49070"/>
            <wp:effectExtent l="0" t="0" r="0" b="0"/>
            <wp:wrapSquare wrapText="largest"/>
            <wp:docPr id="2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Com as configurações Controle de Acesso Baseado em Função (Role-Based Access Control), devemos ajustar para cada aplicação com suas roles.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CRM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65910"/>
            <wp:effectExtent l="0" t="0" r="0" b="0"/>
            <wp:wrapSquare wrapText="largest"/>
            <wp:docPr id="2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ERP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39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1416685"/>
            <wp:effectExtent l="0" t="0" r="0" b="0"/>
            <wp:wrapSquare wrapText="largest"/>
            <wp:docPr id="24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Area do Cliente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16685"/>
            <wp:effectExtent l="0" t="0" r="0" b="0"/>
            <wp:wrapSquare wrapText="largest"/>
            <wp:docPr id="25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Roles para o Integrador Externo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16685"/>
            <wp:effectExtent l="0" t="0" r="0" b="0"/>
            <wp:wrapSquare wrapText="largest"/>
            <wp:docPr id="26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4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Criar aplicação SPA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SPA esta criado em React-JS, com ideia de navegação entre os produtos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App.js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914775"/>
            <wp:effectExtent l="0" t="0" r="0" b="0"/>
            <wp:wrapSquare wrapText="largest"/>
            <wp:docPr id="27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estrutura de páginas simulando cada produto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3343275"/>
            <wp:effectExtent l="0" t="0" r="0" b="0"/>
            <wp:wrapSquare wrapText="largest"/>
            <wp:docPr id="28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Executando o projeto apresenta a navegação entre os produtos</w:t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42415"/>
            <wp:effectExtent l="0" t="0" r="0" b="0"/>
            <wp:wrapSquare wrapText="largest"/>
            <wp:docPr id="29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5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Integrar SPA ao KeyCloak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Para integrar o KeyCloak ao SPA é necessário a instalação do SDK </w:t>
      </w:r>
      <w:r>
        <w:rPr>
          <w:rStyle w:val="Strong"/>
          <w:rFonts w:eastAsia="Trebuchet MS" w:cs="Trebuchet MS"/>
          <w:b/>
          <w:bCs/>
          <w:color w:val="353F40"/>
          <w:kern w:val="0"/>
          <w:sz w:val="22"/>
          <w:szCs w:val="22"/>
          <w:lang w:val="pt-BR" w:eastAsia="zh-CN" w:bidi="hi-IN"/>
        </w:rPr>
        <w:t xml:space="preserve">keycloak-js,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sendo a referência informado no package.json do projeto.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5">
            <wp:simplePos x="0" y="0"/>
            <wp:positionH relativeFrom="column">
              <wp:posOffset>1295400</wp:posOffset>
            </wp:positionH>
            <wp:positionV relativeFrom="paragraph">
              <wp:posOffset>14605</wp:posOffset>
            </wp:positionV>
            <wp:extent cx="2809875" cy="2162175"/>
            <wp:effectExtent l="0" t="0" r="0" b="0"/>
            <wp:wrapSquare wrapText="largest"/>
            <wp:docPr id="30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Com a instalação deve-se criar o contexto de cada Client para autorizar cada Produto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0295" cy="3999230"/>
            <wp:effectExtent l="0" t="0" r="0" b="0"/>
            <wp:wrapSquare wrapText="largest"/>
            <wp:docPr id="3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9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00B05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Injetar o sdk para que ao acessar a aplicação deve-se redirecionar ao SSO para realizar a autenticação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345555"/>
            <wp:effectExtent l="0" t="0" r="0" b="0"/>
            <wp:wrapSquare wrapText="largest"/>
            <wp:docPr id="3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Criado o usuário suporte e associado as roles de cada aplicação.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529715"/>
            <wp:effectExtent l="0" t="0" r="0" b="0"/>
            <wp:wrapSquare wrapText="largest"/>
            <wp:docPr id="33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Interceptação do acesso e redirecionado para o SSO</w:t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85060"/>
            <wp:effectExtent l="0" t="0" r="0" b="0"/>
            <wp:wrapSquare wrapText="largest"/>
            <wp:docPr id="34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 Usuário é identificado e apresentado na interface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093595"/>
            <wp:effectExtent l="0" t="0" r="0" b="0"/>
            <wp:wrapSquare wrapText="largest"/>
            <wp:docPr id="35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50" w:name="__RefHeading___Toc2051_4158205933"/>
      <w:bookmarkStart w:id="51" w:name="_2p2csry"/>
      <w:bookmarkEnd w:id="50"/>
      <w:bookmarkEnd w:id="51"/>
      <w:r>
        <w:rPr>
          <w:color w:val="00B050"/>
        </w:rPr>
        <w:t>2.1.2 Retrospectiva da Sprint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keepNext w:val="true"/>
        <w:keepLines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Durante a execução da sprint, identificamos que a configuração do ambiente foi significativamente facilitada pela adoção do Docker, permitindo uma inicialização mais ágil e padronizada dos serviços.</w:t>
        <w:br/>
        <w:t>O Keycloak foi habilitado com sucesso, possibilitando a validação prática do uso de autenticação centralizada.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definição de um único Helm Chart demonstrou ser uma solução eficiente para a companhia K, viabilizando o uso de uma base única de usuários compartilhada entre os diferentes sistemas.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Durante a implementação, observamos a importância de especificar corretamente as URLs de acesso (redirect URIs e web origins) para garantir que o Keycloak autorize os clientes e que todas as rotas do SPA sejam devidamente validadas. Dessa forma, as funcionalidades permanecem protegidas e acessíveis apenas quando o token do Keycloak estiver ativo e válido.</w:t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  <w:drawing>
          <wp:anchor behindDoc="0" distT="0" distB="0" distL="0" distR="0" simplePos="0" locked="0" layoutInCell="0" allowOverlap="1" relativeHeight="1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370580"/>
            <wp:effectExtent l="0" t="0" r="0" b="0"/>
            <wp:wrapSquare wrapText="largest"/>
            <wp:docPr id="36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Conclusão da Spint 1</w:t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  <w:drawing>
          <wp:anchor behindDoc="0" distT="0" distB="0" distL="0" distR="0" simplePos="0" locked="0" layoutInCell="0" allowOverlap="1" relativeHeight="1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82850"/>
            <wp:effectExtent l="0" t="0" r="0" b="0"/>
            <wp:wrapSquare wrapText="largest"/>
            <wp:docPr id="37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360" w:before="40" w:after="0"/>
        <w:rPr>
          <w:color w:val="008D86"/>
          <w:sz w:val="24"/>
          <w:szCs w:val="24"/>
        </w:rPr>
      </w:pPr>
      <w:r>
        <w:rPr>
          <w:color w:val="008D86"/>
          <w:sz w:val="24"/>
          <w:szCs w:val="24"/>
        </w:rPr>
      </w:r>
      <w:r>
        <w:br w:type="page"/>
      </w:r>
    </w:p>
    <w:p>
      <w:pPr>
        <w:pStyle w:val="Heading2"/>
        <w:spacing w:before="0" w:after="0"/>
        <w:rPr/>
      </w:pPr>
      <w:bookmarkStart w:id="52" w:name="__RefHeading___Toc2025_4158205933"/>
      <w:bookmarkStart w:id="53" w:name="_3o7alnk"/>
      <w:bookmarkEnd w:id="52"/>
      <w:bookmarkEnd w:id="53"/>
      <w:r>
        <w:rPr/>
        <w:t>2.</w:t>
      </w:r>
      <w:r>
        <w:rPr>
          <w:color w:val="1A1F20"/>
        </w:rPr>
        <w:t>2 Sprint 2</w:t>
      </w:r>
    </w:p>
    <w:p>
      <w:pPr>
        <w:pStyle w:val="normal1"/>
        <w:spacing w:lineRule="auto" w:line="360"/>
        <w:rPr>
          <w:b/>
          <w:color w:val="00B050"/>
        </w:rPr>
      </w:pPr>
      <w:r>
        <w:rPr>
          <w:b/>
          <w:color w:val="00B050"/>
        </w:rPr>
      </w:r>
      <w:bookmarkStart w:id="54" w:name="_23ckvvd"/>
      <w:bookmarkStart w:id="55" w:name="_23ckvvd"/>
      <w:bookmarkEnd w:id="55"/>
    </w:p>
    <w:p>
      <w:pPr>
        <w:pStyle w:val="Heading3"/>
        <w:rPr>
          <w:color w:val="00B050"/>
        </w:rPr>
      </w:pPr>
      <w:bookmarkStart w:id="56" w:name="__RefHeading___Toc2049_4158205933"/>
      <w:bookmarkStart w:id="57" w:name="_ihv636"/>
      <w:bookmarkEnd w:id="56"/>
      <w:bookmarkEnd w:id="57"/>
      <w:r>
        <w:rPr>
          <w:color w:val="00B050"/>
        </w:rPr>
        <w:t>2.2.1 Solução</w:t>
      </w:r>
    </w:p>
    <w:p>
      <w:pPr>
        <w:pStyle w:val="normal1"/>
        <w:spacing w:lineRule="auto" w:line="360"/>
        <w:ind w:hanging="0" w:left="720"/>
        <w:rPr>
          <w:b/>
          <w:color w:val="00B050"/>
        </w:rPr>
      </w:pPr>
      <w:r>
        <w:rPr>
          <w:b/>
          <w:color w:val="00B050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58" w:name="__RefHeading___Toc1143_2602190981"/>
      <w:bookmarkEnd w:id="58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Planejamento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Na Sprint 2, a equipe possui capacidade para execução das tarefas de back-end e para o desenvolvimento da validação RBAC, visando garantir a proteção das rotas.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61260"/>
            <wp:effectExtent l="0" t="0" r="0" b="0"/>
            <wp:wrapSquare wrapText="largest"/>
            <wp:docPr id="38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844415"/>
            <wp:effectExtent l="0" t="0" r="0" b="0"/>
            <wp:wrapSquare wrapText="largest"/>
            <wp:docPr id="39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59" w:name="__RefHeading___Toc1141_2602190981"/>
      <w:bookmarkEnd w:id="59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Execução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color w:val="353F40"/>
          <w:sz w:val="22"/>
          <w:szCs w:val="22"/>
        </w:rPr>
        <w:t>Task 1 –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Construir API Rest</w:t>
      </w:r>
    </w:p>
    <w:p>
      <w:pPr>
        <w:pStyle w:val="BodyText"/>
        <w:spacing w:lineRule="auto" w:line="360"/>
        <w:rPr>
          <w:color w:val="00B050"/>
        </w:rPr>
      </w:pPr>
      <w:r>
        <w:rPr>
          <w:rStyle w:val="Strong"/>
          <w:b w:val="false"/>
          <w:bCs w:val="false"/>
          <w:color w:val="353F40"/>
          <w:sz w:val="22"/>
          <w:szCs w:val="22"/>
        </w:rPr>
        <w:t>Como trata-se de uma PoC, não esta sendo implementado camadas compĺexas, mas garantindo a importância de camadas com suas responsabilidades claras e objetivos de cada componente bem definido.</w:t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BodyText"/>
        <w:spacing w:lineRule="auto" w:line="360"/>
        <w:rPr>
          <w:color w:val="00B050"/>
        </w:rPr>
      </w:pPr>
      <w:r>
        <w:rPr>
          <w:color w:val="00B050"/>
        </w:rPr>
        <w:drawing>
          <wp:anchor behindDoc="0" distT="0" distB="0" distL="0" distR="0" simplePos="0" locked="0" layoutInCell="0" allowOverlap="1" relativeHeight="1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205480"/>
            <wp:effectExtent l="0" t="0" r="0" b="0"/>
            <wp:wrapSquare wrapText="largest"/>
            <wp:docPr id="40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Utilizando a construção da API em NodeJS 22 com TypeScript na ferramenta VisualStudioCode</w:t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2350" cy="4505325"/>
            <wp:effectExtent l="0" t="0" r="0" b="0"/>
            <wp:wrapSquare wrapText="largest"/>
            <wp:docPr id="41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Temo a exposição de Rotas de Login e simulação de Rotas Protegidas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53000" cy="3171825"/>
            <wp:effectExtent l="0" t="0" r="0" b="0"/>
            <wp:wrapSquare wrapText="largest"/>
            <wp:docPr id="42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Cada Rota expõe a Controller que é responsável por interpretar e executar a requisição do solicitada.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ab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800350"/>
            <wp:effectExtent l="0" t="0" r="0" b="0"/>
            <wp:wrapSquare wrapText="largest"/>
            <wp:docPr id="43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Quando as rotas são definidas é importante determinar se ela será protegida apenas pelo JWT e também por roles, aumentando a segurança da API.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/>
        <w:drawing>
          <wp:anchor behindDoc="0" distT="0" distB="0" distL="0" distR="0" simplePos="0" locked="0" layoutInCell="0" allowOverlap="1" relativeHeight="1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4745355"/>
            <wp:effectExtent l="0" t="0" r="0" b="0"/>
            <wp:wrapSquare wrapText="largest"/>
            <wp:docPr id="44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Codificação da Camada Controller para interpretar a requisição do login e retornar o JWT gerado pelo keycloak.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60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4580255"/>
            <wp:effectExtent l="0" t="0" r="0" b="0"/>
            <wp:wrapSquare wrapText="largest"/>
            <wp:docPr id="45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8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2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Integrar SSO com API REST</w:t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Para o tipo de autenticação via OpenID no KeyCloak é necessário que o Client esteja configurado com a flag “Client authentication”, para habilitar o trafego pelo ClientID, ClientSecret e criptografia do token.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618105"/>
            <wp:effectExtent l="0" t="0" r="0" b="0"/>
            <wp:wrapSquare wrapText="largest"/>
            <wp:docPr id="46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599690"/>
            <wp:effectExtent l="0" t="0" r="0" b="0"/>
            <wp:wrapSquare wrapText="largest"/>
            <wp:docPr id="47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Sendo criado na camada de Infraestrutura pela classe KeycloakInfra.ts toda a responsabilidade de integração com o keycloak.</w:t>
        <w:br/>
        <w:br/>
        <w:t>Metodo “autenticador”, com a responsabilidade de validar no SSO o usuário e senha, retornando o JWT para a aplicação.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4394835"/>
            <wp:effectExtent l="0" t="0" r="0" b="0"/>
            <wp:wrapSquare wrapText="largest"/>
            <wp:docPr id="48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Metodo “checkRole” e “authenticateToken”, com a responsabilidade de validar no o token JWT no SSO e o decotificando para recuperar as ROLES na autorização do consumo da API.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drawing>
          <wp:anchor behindDoc="0" distT="0" distB="0" distL="0" distR="0" simplePos="0" locked="0" layoutInCell="0" allowOverlap="1" relativeHeight="1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05860"/>
            <wp:effectExtent l="0" t="0" r="0" b="0"/>
            <wp:wrapSquare wrapText="largest"/>
            <wp:docPr id="49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br/>
        <w:t>Importante que as configurações estejam em variaveis de ambiente para permitir que a API conecte-se no SSO em ambientes futuros.</w:t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drawing>
          <wp:anchor behindDoc="0" distT="0" distB="0" distL="0" distR="0" simplePos="0" locked="0" layoutInCell="0" allowOverlap="1" relativeHeight="1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55265"/>
            <wp:effectExtent l="0" t="0" r="0" b="0"/>
            <wp:wrapSquare wrapText="largest"/>
            <wp:docPr id="50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3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Registrar fluxo de autenticacao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Executando o projeto localmente, podemos validar a integração com o SSO.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/>
        <w:drawing>
          <wp:anchor behindDoc="0" distT="0" distB="0" distL="0" distR="0" simplePos="0" locked="0" layoutInCell="0" allowOverlap="1" relativeHeight="1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95825" cy="2676525"/>
            <wp:effectExtent l="0" t="0" r="0" b="0"/>
            <wp:wrapSquare wrapText="largest"/>
            <wp:docPr id="51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Fluxo sendo executado por todas as camadas e registrando no logs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br/>
        <w:br/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9">
            <wp:simplePos x="0" y="0"/>
            <wp:positionH relativeFrom="column">
              <wp:posOffset>1043940</wp:posOffset>
            </wp:positionH>
            <wp:positionV relativeFrom="paragraph">
              <wp:posOffset>59690</wp:posOffset>
            </wp:positionV>
            <wp:extent cx="3289300" cy="5448935"/>
            <wp:effectExtent l="0" t="0" r="0" b="0"/>
            <wp:wrapSquare wrapText="largest"/>
            <wp:docPr id="52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 xml:space="preserve">Retorno do JWT para ser utilizado o </w:t>
      </w:r>
      <w:r>
        <w:rPr>
          <w:rStyle w:val="Strong"/>
          <w:b/>
          <w:bCs/>
          <w:color w:val="353F40"/>
          <w:sz w:val="22"/>
          <w:szCs w:val="22"/>
        </w:rPr>
        <w:t>accessToken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como Auth Type Bearer Token para autorizar a requisição.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6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1129665"/>
            <wp:effectExtent l="0" t="0" r="0" b="0"/>
            <wp:wrapSquare wrapText="largest"/>
            <wp:docPr id="53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drawing>
          <wp:anchor behindDoc="0" distT="0" distB="0" distL="0" distR="0" simplePos="0" locked="0" layoutInCell="0" allowOverlap="1" relativeHeight="170">
            <wp:simplePos x="0" y="0"/>
            <wp:positionH relativeFrom="column">
              <wp:posOffset>427355</wp:posOffset>
            </wp:positionH>
            <wp:positionV relativeFrom="paragraph">
              <wp:posOffset>1345565</wp:posOffset>
            </wp:positionV>
            <wp:extent cx="5171440" cy="1461770"/>
            <wp:effectExtent l="0" t="0" r="0" b="0"/>
            <wp:wrapSquare wrapText="largest"/>
            <wp:docPr id="54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b w:val="false"/>
          <w:bCs w:val="false"/>
          <w:color w:val="353F40"/>
          <w:sz w:val="22"/>
          <w:szCs w:val="22"/>
        </w:rPr>
        <w:t>Executando as rotas protegidas podemos validar a necessidade de ter o JWT valido.</w:t>
        <w:br/>
        <w:br/>
        <w:t>Token invalido</w:t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</w:t>
      </w:r>
      <w:r>
        <w:rPr>
          <w:rStyle w:val="Strong"/>
          <w:b w:val="false"/>
          <w:bCs w:val="false"/>
          <w:color w:val="353F40"/>
          <w:sz w:val="22"/>
          <w:szCs w:val="22"/>
        </w:rPr>
        <w:t>Token valido</w:t>
      </w:r>
    </w:p>
    <w:p>
      <w:pPr>
        <w:pStyle w:val="Heading4"/>
        <w:widowControl/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68">
            <wp:simplePos x="0" y="0"/>
            <wp:positionH relativeFrom="column">
              <wp:posOffset>513080</wp:posOffset>
            </wp:positionH>
            <wp:positionV relativeFrom="paragraph">
              <wp:posOffset>-61595</wp:posOffset>
            </wp:positionV>
            <wp:extent cx="4942840" cy="1584325"/>
            <wp:effectExtent l="0" t="0" r="0" b="0"/>
            <wp:wrapSquare wrapText="largest"/>
            <wp:docPr id="55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color w:val="353F40"/>
          <w:sz w:val="22"/>
          <w:szCs w:val="22"/>
        </w:rPr>
        <w:t xml:space="preserve">Task 4 – </w:t>
      </w:r>
      <w:r>
        <w:rPr>
          <w:rStyle w:val="Strong"/>
          <w:b w:val="false"/>
          <w:bCs w:val="false"/>
          <w:color w:val="353F40"/>
          <w:sz w:val="22"/>
          <w:szCs w:val="22"/>
        </w:rPr>
        <w:t>Unificar controle de acesso entre API e SPA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Ao realizar o login o toke JWT recuperado do SDK deve ser armazenado no contexto, para ser recuperado nas interações com as paginas</w:t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ind w:hanging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4835" cy="5602605"/>
            <wp:effectExtent l="0" t="0" r="0" b="0"/>
            <wp:wrapSquare wrapText="largest"/>
            <wp:docPr id="56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835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bookmarkStart w:id="60" w:name="__RefHeading___Toc1139_2602190981"/>
      <w:bookmarkEnd w:id="60"/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Na pagina utilizar o contexto para recuperar o token e repassar para API protegida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  <w:drawing>
          <wp:anchor behindDoc="0" distT="0" distB="0" distL="0" distR="0" simplePos="0" locked="0" layoutInCell="0" allowOverlap="1" relativeHeight="17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6884035"/>
            <wp:effectExtent l="0" t="0" r="0" b="0"/>
            <wp:wrapSquare wrapText="largest"/>
            <wp:docPr id="57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8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color w:val="353F40"/>
          <w:sz w:val="22"/>
          <w:szCs w:val="22"/>
        </w:rPr>
        <w:t>Task 5 –</w:t>
      </w:r>
      <w:r>
        <w:rPr>
          <w:rStyle w:val="Strong"/>
          <w:b w:val="false"/>
          <w:bCs w:val="false"/>
          <w:color w:val="353F40"/>
          <w:sz w:val="22"/>
          <w:szCs w:val="22"/>
        </w:rPr>
        <w:t xml:space="preserve"> Validar unificacao de usuários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drawing>
          <wp:anchor behindDoc="0" distT="0" distB="0" distL="0" distR="0" simplePos="0" locked="0" layoutInCell="0" allowOverlap="1" relativeHeight="173">
            <wp:simplePos x="0" y="0"/>
            <wp:positionH relativeFrom="column">
              <wp:posOffset>385445</wp:posOffset>
            </wp:positionH>
            <wp:positionV relativeFrom="paragraph">
              <wp:posOffset>281305</wp:posOffset>
            </wp:positionV>
            <wp:extent cx="5171440" cy="2732405"/>
            <wp:effectExtent l="0" t="0" r="0" b="0"/>
            <wp:wrapSquare wrapText="largest"/>
            <wp:docPr id="58" name="Image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3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Logando na aplicação pelo SSO</w:t>
        <w:br/>
        <w:br/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Acessando a pagina CRM integrada com a API protegida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7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3425" cy="3371850"/>
            <wp:effectExtent l="0" t="0" r="0" b="0"/>
            <wp:wrapSquare wrapText="largest"/>
            <wp:docPr id="59" name="Image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4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b w:val="false"/>
          <w:bCs w:val="false"/>
          <w:color w:val="353F40"/>
          <w:sz w:val="22"/>
          <w:szCs w:val="22"/>
        </w:rPr>
        <w:t>Evidencia do LOG durante a execução da API.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>
          <w:rStyle w:val="Strong"/>
          <w:b w:val="false"/>
          <w:bCs w:val="false"/>
          <w:color w:val="353F40"/>
          <w:sz w:val="22"/>
          <w:szCs w:val="22"/>
        </w:rPr>
      </w:pPr>
      <w:r>
        <w:rPr>
          <w:b w:val="false"/>
          <w:bCs w:val="false"/>
          <w:color w:val="353F40"/>
          <w:sz w:val="22"/>
          <w:szCs w:val="22"/>
        </w:rPr>
        <w:drawing>
          <wp:anchor behindDoc="0" distT="0" distB="0" distL="0" distR="0" simplePos="0" locked="0" layoutInCell="0" allowOverlap="1" relativeHeight="17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1440" cy="2607310"/>
            <wp:effectExtent l="0" t="0" r="0" b="0"/>
            <wp:wrapSquare wrapText="largest"/>
            <wp:docPr id="60" name="Image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5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1" w:name="__RefHeading___Toc1137_2602190981"/>
      <w:bookmarkEnd w:id="61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Resultado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spacing w:lineRule="auto" w:line="360"/>
        <w:ind w:hanging="0" w:left="72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No Painel administrativo do SSO keycloak podemos ver a sessão do usuário sendo ativa e como esta sendo requisitada </w:t>
      </w:r>
    </w:p>
    <w:p>
      <w:pPr>
        <w:pStyle w:val="normal1"/>
        <w:widowControl/>
        <w:suppressAutoHyphens w:val="true"/>
        <w:bidi w:val="0"/>
        <w:jc w:val="left"/>
        <w:rPr/>
      </w:pPr>
      <w:r>
        <w:drawing>
          <wp:anchor behindDoc="0" distT="0" distB="0" distL="0" distR="0" simplePos="0" locked="0" layoutInCell="0" allowOverlap="1" relativeHeight="1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90625"/>
            <wp:effectExtent l="0" t="0" r="0" b="0"/>
            <wp:wrapSquare wrapText="largest"/>
            <wp:docPr id="61" name="Image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56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 mesma visão pode ser avaliada no nivel do Client (Produto).</w:t>
      </w:r>
    </w:p>
    <w:p>
      <w:pPr>
        <w:pStyle w:val="normal1"/>
        <w:widowControl/>
        <w:suppressAutoHyphens w:val="true"/>
        <w:bidi w:val="0"/>
        <w:jc w:val="left"/>
        <w:rPr/>
      </w:pPr>
      <w:r>
        <w:drawing>
          <wp:anchor behindDoc="0" distT="0" distB="0" distL="0" distR="0" simplePos="0" locked="0" layoutInCell="0" allowOverlap="1" relativeHeight="1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90625"/>
            <wp:effectExtent l="0" t="0" r="0" b="0"/>
            <wp:wrapSquare wrapText="largest"/>
            <wp:docPr id="62" name="Image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7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Permitindo o controle de derrubar a sessão de usuário que teve a senha perdida, ou com sequencia de token invalidos, assim garantido que a aplicação tanto a nivel de front e back estejam projetidos em caso de vazamento dos acessos deste usuário.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drawing>
          <wp:anchor behindDoc="0" distT="0" distB="0" distL="0" distR="0" simplePos="0" locked="0" layoutInCell="0" allowOverlap="1" relativeHeight="1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425575"/>
            <wp:effectExtent l="0" t="0" r="0" b="0"/>
            <wp:wrapSquare wrapText="largest"/>
            <wp:docPr id="63" name="Image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8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rebuchet MS" w:cs="Trebuchet MS"/>
          <w:color w:val="00B050"/>
          <w:kern w:val="0"/>
          <w:lang w:val="pt-BR" w:eastAsia="zh-CN" w:bidi="hi-IN"/>
        </w:rPr>
        <w:br/>
      </w:r>
    </w:p>
    <w:p>
      <w:pPr>
        <w:pStyle w:val="Heading4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color w:val="00B050"/>
        </w:rPr>
      </w:pPr>
      <w:r>
        <w:rPr>
          <w:color w:val="00B050"/>
        </w:rPr>
      </w:r>
    </w:p>
    <w:p>
      <w:pPr>
        <w:pStyle w:val="Heading3"/>
        <w:rPr/>
      </w:pPr>
      <w:bookmarkStart w:id="62" w:name="__RefHeading___Toc2047_4158205933"/>
      <w:bookmarkStart w:id="63" w:name="_41mghml"/>
      <w:bookmarkEnd w:id="62"/>
      <w:bookmarkEnd w:id="63"/>
      <w:r>
        <w:rPr>
          <w:color w:val="00B050"/>
        </w:rPr>
        <w:t>2.2.2 Retrospectiva da Sprint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normal1"/>
        <w:rPr/>
      </w:pPr>
      <w:r>
        <w:rPr>
          <w:rStyle w:val="Strong"/>
          <w:b w:val="false"/>
          <w:bCs w:val="false"/>
        </w:rPr>
        <w:t>Durante a Sprint 2, realizamos a integração do SSO (Single Sign-On) em ambas as pontas — Front-end e Back-end — permitindo a proteção completa das aplicações sob uma única plataforma de controle de usuários.</w:t>
      </w:r>
    </w:p>
    <w:p>
      <w:pPr>
        <w:pStyle w:val="normal1"/>
        <w:rPr/>
      </w:pPr>
      <w:r>
        <w:rPr>
          <w:rStyle w:val="Strong"/>
          <w:b w:val="false"/>
          <w:bCs w:val="false"/>
        </w:rPr>
        <w:t>Esse avanço traz um ganho significativo para a companhia K, ao centralizar a gestão e o controle de acesso dos usuários de seus produtos. Com isso, é possível abstrair as regras de autenticação e autorização para uma ferramenta unificada, responsável por gerenciar sessões ativas e garantir maior segurança e consistência no acesso a todos os sistemas corporativos.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Conclusão da Spint </w:t>
      </w:r>
      <w:r>
        <w:drawing>
          <wp:anchor behindDoc="0" distT="0" distB="0" distL="0" distR="0" simplePos="0" locked="0" layoutInCell="0" allowOverlap="1" relativeHeight="179">
            <wp:simplePos x="0" y="0"/>
            <wp:positionH relativeFrom="column">
              <wp:posOffset>0</wp:posOffset>
            </wp:positionH>
            <wp:positionV relativeFrom="paragraph">
              <wp:posOffset>391795</wp:posOffset>
            </wp:positionV>
            <wp:extent cx="5400040" cy="1754505"/>
            <wp:effectExtent l="0" t="0" r="0" b="0"/>
            <wp:wrapSquare wrapText="largest"/>
            <wp:docPr id="64" name="Image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9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2</w:t>
        <w:br/>
        <w:br/>
      </w:r>
      <w:r>
        <w:br w:type="page"/>
      </w:r>
    </w:p>
    <w:p>
      <w:pPr>
        <w:pStyle w:val="Heading2"/>
        <w:spacing w:before="0" w:after="0"/>
        <w:rPr>
          <w:color w:val="1A1F20"/>
        </w:rPr>
      </w:pPr>
      <w:bookmarkStart w:id="64" w:name="__RefHeading___Toc2023_4158205933"/>
      <w:bookmarkStart w:id="65" w:name="_2grqrue"/>
      <w:bookmarkEnd w:id="64"/>
      <w:bookmarkEnd w:id="65"/>
      <w:r>
        <w:rPr>
          <w:color w:val="1A1F20"/>
        </w:rPr>
        <w:t>2.3 Sprint 3</w:t>
      </w:r>
    </w:p>
    <w:p>
      <w:pPr>
        <w:pStyle w:val="normal1"/>
        <w:spacing w:lineRule="auto" w:line="360"/>
        <w:rPr>
          <w:b/>
          <w:color w:val="006666"/>
        </w:rPr>
      </w:pPr>
      <w:r>
        <w:rPr>
          <w:b/>
          <w:color w:val="006666"/>
        </w:rPr>
      </w:r>
    </w:p>
    <w:p>
      <w:pPr>
        <w:pStyle w:val="Heading3"/>
        <w:rPr>
          <w:color w:val="00B050"/>
        </w:rPr>
      </w:pPr>
      <w:bookmarkStart w:id="66" w:name="__RefHeading___Toc2045_4158205933"/>
      <w:bookmarkStart w:id="67" w:name="_vx1227"/>
      <w:bookmarkEnd w:id="66"/>
      <w:bookmarkEnd w:id="67"/>
      <w:r>
        <w:rPr>
          <w:color w:val="00B050"/>
        </w:rPr>
        <w:t xml:space="preserve">2.3.1 Solução </w:t>
      </w:r>
    </w:p>
    <w:p>
      <w:pPr>
        <w:pStyle w:val="normal1"/>
        <w:spacing w:lineRule="auto" w:line="360"/>
        <w:ind w:hanging="0" w:left="720"/>
        <w:rPr>
          <w:b/>
          <w:color w:val="00B050"/>
        </w:rPr>
      </w:pPr>
      <w:r>
        <w:rPr>
          <w:b/>
          <w:color w:val="00B050"/>
        </w:rPr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8" w:name="__RefHeading___Toc1143_2602190981_Copy_1"/>
      <w:bookmarkEnd w:id="68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Planejamento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Na Sprint 3, a equipe possui capacidade para elaborar o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Architecture Decision Records (ADRs)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e o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Architecture Haiku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.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113405"/>
            <wp:effectExtent l="0" t="0" r="0" b="0"/>
            <wp:wrapSquare wrapText="largest"/>
            <wp:docPr id="65" name="Image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0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numPr>
          <w:ilvl w:val="0"/>
          <w:numId w:val="1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bookmarkStart w:id="69" w:name="__RefHeading___Toc2071_4158205933"/>
      <w:bookmarkEnd w:id="69"/>
      <w:r>
        <w:rPr>
          <w:rFonts w:eastAsia="Trebuchet MS" w:cs="Trebuchet MS"/>
          <w:color w:val="00B050"/>
          <w:kern w:val="0"/>
          <w:lang w:val="pt-BR" w:eastAsia="zh-CN" w:bidi="hi-IN"/>
        </w:rPr>
        <w:t xml:space="preserve">Evidências de Execução </w:t>
      </w:r>
    </w:p>
    <w:p>
      <w:pPr>
        <w:pStyle w:val="normal1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00B050"/>
          <w:kern w:val="0"/>
          <w:lang w:val="pt-BR" w:eastAsia="zh-CN" w:bidi="hi-IN"/>
        </w:rPr>
      </w:pPr>
      <w:r>
        <w:rPr>
          <w:rFonts w:eastAsia="Trebuchet MS" w:cs="Trebuchet MS"/>
          <w:color w:val="00B050"/>
          <w:kern w:val="0"/>
          <w:lang w:val="pt-BR" w:eastAsia="zh-CN" w:bidi="hi-IN"/>
        </w:rPr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1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Elaborar ADR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ADR 001: Adoção do SSO – Auth0</w:t>
      </w:r>
    </w:p>
    <w:p>
      <w:pPr>
        <w:pStyle w:val="BodyText"/>
        <w:bidi w:val="0"/>
        <w:spacing w:before="0" w:after="0"/>
        <w:ind w:hanging="0" w:left="0" w:right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Status:</w:t>
      </w:r>
      <w:r>
        <w:rPr/>
        <w:t xml:space="preserve"> Aprovada</w:t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Contexto</w:t>
      </w:r>
    </w:p>
    <w:p>
      <w:pPr>
        <w:pStyle w:val="BodyText"/>
        <w:bidi w:val="0"/>
        <w:jc w:val="left"/>
        <w:rPr/>
      </w:pPr>
      <w:r>
        <w:rPr/>
        <w:t xml:space="preserve">A empresa </w:t>
      </w:r>
      <w:r>
        <w:rPr>
          <w:rStyle w:val="Strong"/>
        </w:rPr>
        <w:t>K</w:t>
      </w:r>
      <w:r>
        <w:rPr/>
        <w:t xml:space="preserve"> necessita unificar a base de usuários de seus produtos para mitigar diversos problemas operacionais e de segurança atualmente observados, dentre eles: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Compartilhamento de sessão:</w:t>
      </w:r>
      <w:r>
        <w:rPr/>
        <w:t xml:space="preserve"> uso de credenciais únicas por múltiplas pessoas, distorcendo métricas de consumo e impactando a definição correta de pacotes.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RPAs externos:</w:t>
      </w:r>
      <w:r>
        <w:rPr/>
        <w:t xml:space="preserve"> automações de terceiros utilizando credenciais compartilhadas, aumentando os riscos de segurança.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Sobrecarga de infraestrutura:</w:t>
      </w:r>
      <w:r>
        <w:rPr/>
        <w:t xml:space="preserve"> acessos atípicos provenientes de compartilhamento geram picos de requisições e elevação de custos.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Gestão descentralizada de papéis:</w:t>
      </w:r>
      <w:r>
        <w:rPr/>
        <w:t xml:space="preserve"> permissões de usuários definidas de forma isolada em cada produto.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Dificuldade de desativação:</w:t>
      </w:r>
      <w:r>
        <w:rPr/>
        <w:t xml:space="preserve"> a remoção de um usuário em um sistema não reflete automaticamente nos demais.</w:t>
      </w:r>
    </w:p>
    <w:p>
      <w:pPr>
        <w:pStyle w:val="BodyText"/>
        <w:bidi w:val="0"/>
        <w:jc w:val="left"/>
        <w:rPr>
          <w:rFonts w:ascii="Trebuchet MS" w:hAnsi="Trebuchet MS"/>
        </w:rPr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Decisão</w:t>
      </w:r>
    </w:p>
    <w:p>
      <w:pPr>
        <w:pStyle w:val="BodyText"/>
        <w:bidi w:val="0"/>
        <w:jc w:val="left"/>
        <w:rPr/>
      </w:pPr>
      <w:r>
        <w:rPr/>
        <w:t xml:space="preserve">Optou-se pela </w:t>
      </w:r>
      <w:r>
        <w:rPr>
          <w:rStyle w:val="Strong"/>
        </w:rPr>
        <w:t>adoção da plataforma Okta Auth0</w:t>
      </w:r>
      <w:r>
        <w:rPr/>
        <w:t xml:space="preserve"> como solução de </w:t>
      </w:r>
      <w:r>
        <w:rPr>
          <w:rStyle w:val="Strong"/>
        </w:rPr>
        <w:t>SSO (Single Sign-On)</w:t>
      </w:r>
      <w:r>
        <w:rPr/>
        <w:t xml:space="preserve"> corporativo.</w:t>
        <w:br/>
        <w:t>Os principais fatores que sustentam essa decisão são: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Custo-benefício por MAU (Monthly Active User)</w:t>
      </w:r>
      <w:r>
        <w:rPr/>
        <w:t xml:space="preserve"> — modelo de cobrança adequado à volumetria da companhia.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Aderência total aos requisitos de autenticação e autorização</w:t>
      </w:r>
      <w:r>
        <w:rPr/>
        <w:t xml:space="preserve">, com necessidade mínima de customização para o recurso de </w:t>
      </w:r>
      <w:r>
        <w:rPr>
          <w:rStyle w:val="Strong"/>
        </w:rPr>
        <w:t>Impersonate</w:t>
      </w:r>
      <w:r>
        <w:rPr/>
        <w:t xml:space="preserve">, implementável via </w:t>
      </w:r>
      <w:r>
        <w:rPr>
          <w:rStyle w:val="Strong"/>
        </w:rPr>
        <w:t>Token Exchange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Alta disponibilidade e escalabilidade SaaS</w:t>
      </w:r>
      <w:r>
        <w:rPr/>
        <w:t>, capaz de suportar picos de acesso típicos da empresa K.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Mecanismos avançados de segurança</w:t>
      </w:r>
      <w:r>
        <w:rPr/>
        <w:t>, nativamente disponíveis na assinatura do Auth0, incluindo: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Bot Detection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IP Throttling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Controle de Sessões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Análise de senhas comprometidas (Dark/Deep Web) e bloqueio automático com troca forçada de senha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Suporte a Multi-Factor Authentication (MFA)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Alternativas Consideradas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Keycloak:</w:t>
      </w:r>
      <w:r>
        <w:rPr/>
        <w:br/>
        <w:t xml:space="preserve">Atende aos requisitos técnicos, também exigindo customização para Impersonate via </w:t>
      </w:r>
      <w:r>
        <w:rPr>
          <w:rStyle w:val="Emphasis"/>
        </w:rPr>
        <w:t>claims</w:t>
      </w:r>
      <w:r>
        <w:rPr/>
        <w:t xml:space="preserve"> administrativos.</w:t>
        <w:br/>
        <w:t xml:space="preserve">Contudo, por ser uma solução </w:t>
      </w:r>
      <w:r>
        <w:rPr>
          <w:rStyle w:val="Strong"/>
        </w:rPr>
        <w:t>IaaS</w:t>
      </w:r>
      <w:r>
        <w:rPr/>
        <w:t xml:space="preserve">, apresenta riscos de disponibilidade em picos de acesso e demandaria a construção manual das análises e proteções que o Auth0 já oferece. Foi considerada a </w:t>
      </w:r>
      <w:r>
        <w:rPr>
          <w:rStyle w:val="Strong"/>
        </w:rPr>
        <w:t>segunda opção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Firebase Authentication:</w:t>
      </w:r>
      <w:r>
        <w:rPr/>
        <w:br/>
        <w:t xml:space="preserve">Atende parcialmente aos requisitos. Possui implementação rápida via SDK, porém é voltado para </w:t>
      </w:r>
      <w:r>
        <w:rPr>
          <w:rStyle w:val="Strong"/>
        </w:rPr>
        <w:t>aplicações de canal único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Microsoft Entra ID (Azure AD):</w:t>
      </w:r>
      <w:r>
        <w:rPr/>
        <w:br/>
        <w:t xml:space="preserve">Atende integralmente aos requisitos, mas foi descartado devido ao </w:t>
      </w:r>
      <w:r>
        <w:rPr>
          <w:rStyle w:val="Strong"/>
        </w:rPr>
        <w:t>alto custo</w:t>
      </w:r>
      <w:r>
        <w:rPr/>
        <w:t xml:space="preserve">, aproximadamente </w:t>
      </w:r>
      <w:r>
        <w:rPr>
          <w:rStyle w:val="Strong"/>
        </w:rPr>
        <w:t>10x superior</w:t>
      </w:r>
      <w:r>
        <w:rPr/>
        <w:t xml:space="preserve"> ao Auth0 (por MAU).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GCP IAM:</w:t>
      </w:r>
      <w:r>
        <w:rPr/>
        <w:br/>
        <w:t xml:space="preserve">Descartado devido à necessidade de </w:t>
      </w:r>
      <w:r>
        <w:rPr>
          <w:rStyle w:val="Strong"/>
        </w:rPr>
        <w:t>extensas customizações</w:t>
      </w:r>
      <w:r>
        <w:rPr/>
        <w:t xml:space="preserve"> para atender ao modelo pretendido.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</w:rPr>
        <w:t>Consequências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Positivas: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Desacoplamento da camada de autenticação dos produtos.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Atualizações contínuas conforme as melhores práticas da </w:t>
      </w:r>
      <w:r>
        <w:rPr>
          <w:rStyle w:val="Strong"/>
        </w:rPr>
        <w:t>OWASP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Melhoria na percepção de </w:t>
      </w:r>
      <w:r>
        <w:rPr>
          <w:rStyle w:val="Strong"/>
        </w:rPr>
        <w:t>segurança e conformidade</w:t>
      </w:r>
      <w:r>
        <w:rPr/>
        <w:t xml:space="preserve"> junto aos clientes e parceiros.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Negativas: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1418" w:leader="none"/>
        </w:tabs>
        <w:bidi w:val="0"/>
        <w:ind w:hanging="283" w:left="1418"/>
        <w:jc w:val="left"/>
        <w:rPr/>
      </w:pPr>
      <w:r>
        <w:rPr/>
        <w:t>Custos iniciais com ajustes de integração nos produtos existentes, necessários para adaptação ao novo modelo de autenticação.</w:t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Elaborar Haiku</w:t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SSO – Architecture Haiku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Objective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Centralizar acessos via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SSO (Single Sign-On)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, permitindo que o usuário autentique-se uma única vez e acesse todas as aplicações de forma padronizada e segura.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Benefícios esperados: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Redução de senhas e simplificação da experiência.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Governança centralizada sobre acessos e permissões.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Segurança reforçada com autenticação unificada.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Menor esforço de TI na gestão de identidades.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Functional Requirements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Área Administrativa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gestão de usuários, aplicações e permissões.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REST API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integração com microserviços para gestão de identidades.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OAuth 2.0 / OpenID Connect (OIDC)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suporte a fluxos modernos de autenticação.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Federação com redes sociais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login por Google, Facebook, LinkedIn etc.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Esqueci Minha Senha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recuperação e redefinição seguras.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Cadastro de Usuários por E-mail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autocadastro com validação e aprovação opcional.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Token Authentication (JWT)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emissão, validação, renovação e revogação de tokens.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Multi-tenancy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isolamento por cliente e possibilidade de compartilhamento controlado.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Customização de Login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branding e campos adicionais conforme necessidade.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Impersonate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suporte para acesso temporário de suporte com auditoria.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RBAC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grupos, permissões e roles hierárquicas.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Rotação de Senha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políticas de expiração e complexidade mínima.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Migração de Usuários sem Perda de Senha (*)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– importação segura de hashes.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(★) Requisitos considerados críticos para a fase inicial de implementação.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Technical Constraints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Capacidade de atender ao volume transacional esperado nas autenticações simultâneas.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Custo operacional compatível com o orçamento e modelo de negócio da companhia.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Tempo de implementação reduzido, com documentação e suporte disponíveis.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Conformidade com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LGPD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e melhores práticas da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OWASP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Flexibilidade para cenários complexos com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RBAC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, </w:t>
      </w: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SAML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e federação externa.</w:t>
      </w:r>
    </w:p>
    <w:p>
      <w:pPr>
        <w:pStyle w:val="BodyText"/>
        <w:widowControl/>
        <w:numPr>
          <w:ilvl w:val="0"/>
          <w:numId w:val="0"/>
        </w:numPr>
        <w:suppressAutoHyphens w:val="true"/>
        <w:bidi w:val="0"/>
        <w:ind w:hanging="0" w:left="72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Quality Attributes</w:t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Usabilidade: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suporte à personalização visual (branding) nos fluxos de login federado.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Confiabilidade: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proteção dos dados sensíveis e alta disponibilidade do serviço.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Escalabilidade: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capacidade de atender picos de autenticação sem degradação de performance.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Auditabilidade: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rastreabilidade de sessões e acessos via logs centralizados.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Manutenibilidade:</w:t>
      </w:r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 uso de SDKs e APIs padronizadas, facilitando a integração contínua.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suppressAutoHyphens w:val="true"/>
        <w:bidi w:val="0"/>
        <w:jc w:val="left"/>
        <w:rPr>
          <w:rFonts w:ascii="Trebuchet MS" w:hAnsi="Trebuchet MS" w:eastAsia="Trebuchet MS" w:cs="Trebuchet MS"/>
          <w:color w:val="353F40"/>
          <w:kern w:val="0"/>
          <w:sz w:val="22"/>
          <w:szCs w:val="22"/>
          <w:lang w:val="pt-BR" w:eastAsia="zh-CN" w:bidi="hi-IN"/>
        </w:rPr>
      </w:pPr>
      <w:bookmarkStart w:id="70" w:name="__RefHeading___Toc1442_2601719094"/>
      <w:bookmarkEnd w:id="70"/>
      <w:r>
        <w:rPr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>Design Decisions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Adotar uma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plataforma SaaS de identidade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para centralizar autenticação e autorização.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Utilizar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OAuth 2.0 / OIDC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como padrão de autenticação entre SPA, APIs e microserviços.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/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Propagar o </w:t>
      </w:r>
      <w:r>
        <w:rPr>
          <w:rStyle w:val="Strong"/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JWT</w:t>
      </w: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 xml:space="preserve"> nas chamadas internas entre front-end e back-end.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Implementar controle de sessão e revogação de token via API de gestão de sessão do provedor.</w:t>
      </w:r>
    </w:p>
    <w:p>
      <w:pPr>
        <w:pStyle w:val="BodyText"/>
        <w:widowControl/>
        <w:numPr>
          <w:ilvl w:val="0"/>
          <w:numId w:val="17"/>
        </w:numPr>
        <w:suppressAutoHyphens w:val="true"/>
        <w:bidi w:val="0"/>
        <w:jc w:val="left"/>
        <w:rPr>
          <w:rFonts w:ascii="Trebuchet MS" w:hAnsi="Trebuchet MS" w:eastAsia="Noto Serif CJK SC" w:cs="Noto Sans Devanagari"/>
          <w:color w:val="auto"/>
          <w:kern w:val="2"/>
          <w:sz w:val="24"/>
          <w:szCs w:val="24"/>
          <w:lang w:val="pt-BR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pt-BR" w:eastAsia="zh-CN" w:bidi="hi-IN"/>
        </w:rPr>
        <w:t>Integrar logs e métricas de autenticação com as plataformas de observabilidade corporativas.</w:t>
      </w:r>
    </w:p>
    <w:p>
      <w:pPr>
        <w:pStyle w:val="BodyText"/>
        <w:bidi w:val="0"/>
        <w:spacing w:before="0" w:after="0"/>
        <w:ind w:hanging="0" w:left="0" w:right="0"/>
        <w:jc w:val="left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spacing w:lineRule="auto" w:line="360"/>
        <w:rPr/>
      </w:pPr>
      <w:r>
        <w:rPr>
          <w:rStyle w:val="Strong"/>
          <w:rFonts w:eastAsia="Trebuchet MS" w:cs="Trebuchet MS"/>
          <w:color w:val="353F40"/>
          <w:kern w:val="0"/>
          <w:sz w:val="22"/>
          <w:szCs w:val="22"/>
          <w:lang w:val="pt-BR" w:eastAsia="zh-CN" w:bidi="hi-IN"/>
        </w:rPr>
        <w:t xml:space="preserve">Task  – 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Resultados Comparativos</w:t>
      </w:r>
    </w:p>
    <w:p>
      <w:pPr>
        <w:pStyle w:val="BodyText"/>
        <w:spacing w:lineRule="auto" w:line="360"/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8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177415"/>
            <wp:effectExtent l="0" t="0" r="0" b="0"/>
            <wp:wrapSquare wrapText="largest"/>
            <wp:docPr id="66" name="Image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1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0"/>
          <w:numId w:val="1"/>
        </w:numPr>
        <w:rPr>
          <w:color w:val="00B050"/>
        </w:rPr>
      </w:pPr>
      <w:bookmarkStart w:id="71" w:name="__RefHeading___Toc2069_4158205933"/>
      <w:bookmarkStart w:id="72" w:name="_1v1yuxt"/>
      <w:bookmarkEnd w:id="71"/>
      <w:bookmarkEnd w:id="72"/>
      <w:r>
        <w:rPr>
          <w:color w:val="00B050"/>
        </w:rPr>
        <w:t>Evidência do resultado:</w:t>
      </w:r>
    </w:p>
    <w:p>
      <w:pPr>
        <w:pStyle w:val="normal1"/>
        <w:rPr>
          <w:color w:val="00B050"/>
        </w:rPr>
      </w:pPr>
      <w:r>
        <w:rPr>
          <w:color w:val="00B050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A adoção dos artefatos </w:t>
      </w:r>
      <w:r>
        <w:rPr>
          <w:rStyle w:val="Emphasis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Architecture Decision Records (ADRs)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e </w:t>
      </w:r>
      <w:r>
        <w:rPr>
          <w:rStyle w:val="Emphasis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Architecture Haiku</w:t>
      </w: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 xml:space="preserve"> permitiu registrar e comunicar de maneira estruturada as decisões arquiteturais do projeto. Essa prática fortalece a governança técnica e assegura que informações e contextos críticos não sejam perdidos com o passar do tempo.</w:t>
      </w:r>
    </w:p>
    <w:p>
      <w:pPr>
        <w:pStyle w:val="normal1"/>
        <w:spacing w:lineRule="auto" w:line="360"/>
        <w:rPr>
          <w:color w:val="00B050"/>
        </w:rPr>
      </w:pPr>
      <w:r>
        <w:rPr>
          <w:color w:val="00B050"/>
        </w:rPr>
      </w:r>
    </w:p>
    <w:p>
      <w:pPr>
        <w:pStyle w:val="Heading3"/>
        <w:rPr>
          <w:color w:val="00B050"/>
        </w:rPr>
      </w:pPr>
      <w:bookmarkStart w:id="73" w:name="__RefHeading___Toc2043_4158205933"/>
      <w:bookmarkStart w:id="74" w:name="_4f1mdlm"/>
      <w:bookmarkEnd w:id="73"/>
      <w:bookmarkEnd w:id="74"/>
      <w:r>
        <w:rPr>
          <w:color w:val="00B050"/>
        </w:rPr>
        <w:t>2.3.2 Retrospectiva da Sprint</w:t>
      </w:r>
    </w:p>
    <w:p>
      <w:pPr>
        <w:pStyle w:val="normal1"/>
        <w:spacing w:lineRule="auto" w:line="360"/>
        <w:rPr>
          <w:b/>
          <w:color w:val="006666"/>
        </w:rPr>
      </w:pPr>
      <w:r>
        <w:rPr>
          <w:b/>
          <w:color w:val="006666"/>
        </w:rPr>
      </w:r>
    </w:p>
    <w:p>
      <w:pPr>
        <w:pStyle w:val="BodyText"/>
        <w:widowControl/>
        <w:suppressAutoHyphens w:val="true"/>
        <w:bidi w:val="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Os documentos tornam-se um ponto de partida para as próximas fases da engenharia, apoiando os processos de upstream e downstream. Eles facilitam o alinhamento entre desenvolvedores, gerentes de produto, designers e todo o time. Não resolvem todos os problemas, mas constroem uma base sólida de conhecimento para as próximas etapas.</w:t>
      </w:r>
    </w:p>
    <w:p>
      <w:pPr>
        <w:pStyle w:val="BodyText"/>
        <w:widowControl/>
        <w:suppressAutoHyphens w:val="true"/>
        <w:bidi w:val="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/>
      </w:pPr>
      <w:r>
        <w:rPr>
          <w:rStyle w:val="Strong"/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t>Conclusão da Spint 3</w:t>
      </w:r>
    </w:p>
    <w:p>
      <w:pPr>
        <w:pStyle w:val="BodyText"/>
        <w:widowControl/>
        <w:suppressAutoHyphens w:val="true"/>
        <w:bidi w:val="0"/>
        <w:spacing w:lineRule="auto" w:line="360"/>
        <w:jc w:val="left"/>
        <w:rPr>
          <w:rStyle w:val="Strong"/>
          <w:rFonts w:ascii="Trebuchet MS" w:hAnsi="Trebuchet MS"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</w:pPr>
      <w:r>
        <w:rPr>
          <w:rFonts w:eastAsia="Trebuchet MS" w:cs="Trebuchet MS"/>
          <w:b w:val="false"/>
          <w:bCs w:val="false"/>
          <w:color w:val="353F40"/>
          <w:kern w:val="0"/>
          <w:sz w:val="22"/>
          <w:szCs w:val="22"/>
          <w:lang w:val="pt-BR" w:eastAsia="zh-CN" w:bidi="hi-IN"/>
        </w:rPr>
        <w:drawing>
          <wp:anchor behindDoc="0" distT="0" distB="0" distL="0" distR="0" simplePos="0" locked="0" layoutInCell="0" allowOverlap="1" relativeHeight="18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4545" cy="3866515"/>
            <wp:effectExtent l="0" t="0" r="0" b="0"/>
            <wp:wrapSquare wrapText="largest"/>
            <wp:docPr id="67" name="Image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2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1"/>
        <w:keepNext w:val="true"/>
        <w:keepLines/>
        <w:spacing w:lineRule="auto" w:line="360" w:before="0" w:after="0"/>
        <w:rPr>
          <w:rFonts w:ascii="Libre Franklin Medium" w:hAnsi="Libre Franklin Medium" w:eastAsia="Libre Franklin Medium" w:cs="Libre Franklin Medium"/>
          <w:color w:val="008D86"/>
          <w:sz w:val="24"/>
          <w:szCs w:val="24"/>
        </w:rPr>
      </w:pPr>
      <w:r>
        <w:rPr>
          <w:rFonts w:eastAsia="Libre Franklin Medium" w:cs="Libre Franklin Medium" w:ascii="Libre Franklin Medium" w:hAnsi="Libre Franklin Medium"/>
          <w:color w:val="008D86"/>
          <w:sz w:val="24"/>
          <w:szCs w:val="24"/>
        </w:rPr>
      </w:r>
    </w:p>
    <w:p>
      <w:pPr>
        <w:pStyle w:val="Heading1"/>
        <w:rPr>
          <w:i/>
          <w:i/>
          <w:color w:val="00B050"/>
          <w:sz w:val="20"/>
          <w:szCs w:val="20"/>
        </w:rPr>
      </w:pPr>
      <w:bookmarkStart w:id="75" w:name="__RefHeading___Toc2017_4158205933"/>
      <w:bookmarkStart w:id="76" w:name="_2u6wntf"/>
      <w:bookmarkEnd w:id="75"/>
      <w:bookmarkEnd w:id="76"/>
      <w:r>
        <w:rPr>
          <w:color w:val="00B050"/>
        </w:rPr>
        <w:t>3.</w:t>
      </w:r>
      <w:r>
        <w:rPr>
          <w:rFonts w:eastAsia="Libre Franklin Medium" w:cs="Libre Franklin Medium" w:ascii="Libre Franklin Medium" w:hAnsi="Libre Franklin Medium"/>
          <w:color w:val="00B050"/>
        </w:rPr>
        <w:t xml:space="preserve"> </w:t>
      </w:r>
      <w:r>
        <w:rPr>
          <w:color w:val="00B050"/>
        </w:rPr>
        <w:t>Considerações Finais</w:t>
      </w:r>
    </w:p>
    <w:p>
      <w:pPr>
        <w:pStyle w:val="normal1"/>
        <w:spacing w:lineRule="auto" w:line="360"/>
        <w:jc w:val="both"/>
        <w:rPr>
          <w:i/>
          <w:i/>
          <w:color w:val="666666"/>
          <w:sz w:val="20"/>
          <w:szCs w:val="20"/>
        </w:rPr>
      </w:pPr>
      <w:r>
        <w:rPr>
          <w:i/>
          <w:color w:val="666666"/>
          <w:sz w:val="20"/>
          <w:szCs w:val="20"/>
        </w:rPr>
      </w:r>
      <w:bookmarkStart w:id="77" w:name="_19c6y18"/>
      <w:bookmarkStart w:id="78" w:name="_19c6y18"/>
      <w:bookmarkEnd w:id="78"/>
    </w:p>
    <w:p>
      <w:pPr>
        <w:pStyle w:val="Heading2"/>
        <w:rPr>
          <w:i/>
          <w:i/>
          <w:color w:val="1A1F20"/>
          <w:sz w:val="20"/>
          <w:szCs w:val="20"/>
        </w:rPr>
      </w:pPr>
      <w:bookmarkStart w:id="79" w:name="__RefHeading___Toc2021_4158205933"/>
      <w:bookmarkStart w:id="80" w:name="_3tbugp1"/>
      <w:bookmarkEnd w:id="79"/>
      <w:bookmarkEnd w:id="80"/>
      <w:r>
        <w:rPr>
          <w:color w:val="1A1F20"/>
        </w:rPr>
        <w:t>3.1 Resultados</w:t>
      </w:r>
    </w:p>
    <w:p>
      <w:pPr>
        <w:pStyle w:val="normal1"/>
        <w:spacing w:lineRule="auto" w:line="360"/>
        <w:jc w:val="both"/>
        <w:rPr>
          <w:i/>
          <w:i/>
          <w:color w:val="1A1F20"/>
          <w:sz w:val="20"/>
          <w:szCs w:val="20"/>
        </w:rPr>
      </w:pPr>
      <w:r>
        <w:rPr>
          <w:i/>
          <w:color w:val="1A1F20"/>
          <w:sz w:val="20"/>
          <w:szCs w:val="20"/>
        </w:rPr>
      </w:r>
      <w:bookmarkStart w:id="81" w:name="_28h4qwu"/>
      <w:bookmarkStart w:id="82" w:name="_28h4qwu"/>
      <w:bookmarkEnd w:id="82"/>
    </w:p>
    <w:p>
      <w:pPr>
        <w:pStyle w:val="normal1"/>
        <w:spacing w:lineRule="auto" w:line="360"/>
        <w:rPr>
          <w:color w:val="1A1F20"/>
        </w:rPr>
      </w:pPr>
      <w:r>
        <w:rPr>
          <w:color w:val="1A1F20"/>
        </w:rPr>
        <w:t>Por meio de um texto detalhado, apresente os principais resultados alcançados pelo seu Projeto Aplicado.</w:t>
      </w:r>
    </w:p>
    <w:p>
      <w:pPr>
        <w:pStyle w:val="normal1"/>
        <w:spacing w:lineRule="auto" w:line="360"/>
        <w:rPr>
          <w:color w:val="1A1F20"/>
        </w:rPr>
      </w:pPr>
      <w:r>
        <w:rPr>
          <w:color w:val="1A1F20"/>
        </w:rPr>
        <w:t>Cite os pontos positivos e negativos, as dificuldades enfrentadas e as experiências vivenciadas durante todo o processo.</w:t>
      </w:r>
    </w:p>
    <w:p>
      <w:pPr>
        <w:pStyle w:val="normal1"/>
        <w:spacing w:lineRule="auto" w:line="360"/>
        <w:jc w:val="both"/>
        <w:rPr>
          <w:i/>
          <w:i/>
          <w:color w:val="1A1F20"/>
        </w:rPr>
      </w:pPr>
      <w:r>
        <w:rPr>
          <w:i/>
          <w:color w:val="1A1F20"/>
        </w:rPr>
      </w:r>
      <w:bookmarkStart w:id="83" w:name="_nmf14n"/>
      <w:bookmarkStart w:id="84" w:name="_nmf14n"/>
      <w:bookmarkEnd w:id="84"/>
    </w:p>
    <w:p>
      <w:pPr>
        <w:pStyle w:val="Heading2"/>
        <w:rPr>
          <w:i/>
          <w:i/>
          <w:color w:val="1A1F20"/>
          <w:sz w:val="20"/>
          <w:szCs w:val="20"/>
        </w:rPr>
      </w:pPr>
      <w:bookmarkStart w:id="85" w:name="__RefHeading___Toc2019_4158205933"/>
      <w:bookmarkStart w:id="86" w:name="_37m2jsg"/>
      <w:bookmarkEnd w:id="85"/>
      <w:bookmarkEnd w:id="86"/>
      <w:r>
        <w:rPr>
          <w:color w:val="1A1F20"/>
        </w:rPr>
        <w:t>3.2 Próximos passos</w:t>
      </w:r>
    </w:p>
    <w:p>
      <w:pPr>
        <w:pStyle w:val="normal1"/>
        <w:spacing w:lineRule="auto" w:line="360"/>
        <w:rPr>
          <w:color w:val="1A1F20"/>
        </w:rPr>
      </w:pPr>
      <w:r>
        <w:rPr>
          <w:color w:val="1A1F20"/>
        </w:rPr>
      </w:r>
      <w:bookmarkStart w:id="87" w:name="_1mrcu09"/>
      <w:bookmarkStart w:id="88" w:name="_1mrcu09"/>
      <w:bookmarkEnd w:id="88"/>
    </w:p>
    <w:p>
      <w:pPr>
        <w:pStyle w:val="normal1"/>
        <w:spacing w:lineRule="auto" w:line="360" w:before="0" w:after="160"/>
        <w:rPr>
          <w:b/>
          <w:color w:val="1A1F20"/>
        </w:rPr>
      </w:pPr>
      <w:bookmarkStart w:id="89" w:name="_46r0co2"/>
      <w:bookmarkStart w:id="90" w:name="_2lwamvv"/>
      <w:bookmarkEnd w:id="89"/>
      <w:bookmarkEnd w:id="90"/>
      <w:r>
        <w:rPr/>
        <w:t xml:space="preserve">Descreva quais são os próximos passos que poderão contribuir com o aprimoramento da solução apresentada pelo seu Projeto Aplicado. </w:t>
      </w:r>
    </w:p>
    <w:sectPr>
      <w:headerReference w:type="default" r:id="rId76"/>
      <w:headerReference w:type="first" r:id="rId77"/>
      <w:footerReference w:type="default" r:id="rId78"/>
      <w:footerReference w:type="first" r:id="rId79"/>
      <w:type w:val="nextPage"/>
      <w:pgSz w:w="11906" w:h="16838"/>
      <w:pgMar w:left="1701" w:right="1701" w:gutter="0" w:header="709" w:top="1417" w:footer="708" w:bottom="141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1"/>
    <w:family w:val="roman"/>
    <w:pitch w:val="variable"/>
  </w:font>
  <w:font w:name="Trebuchet MS">
    <w:charset w:val="01"/>
    <w:family w:val="swiss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Radio Canada">
    <w:charset w:val="01"/>
    <w:family w:val="roman"/>
    <w:pitch w:val="variable"/>
  </w:font>
  <w:font w:name="Libre Franklin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re Franklin Medium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jc w:val="right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color w:val="000000"/>
      </w:rPr>
    </w:pPr>
    <w:r>
      <w:rPr>
        <w:color w:val="00000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jc w:val="right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color w:val="000000"/>
      </w:rPr>
    </w:pPr>
    <w:r>
      <w:rPr>
        <w:color w:val="000000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right"/>
      <w:rPr>
        <w:rFonts w:ascii="Trebuchet MS" w:hAnsi="Trebuchet MS" w:eastAsia="Trebuchet MS" w:cs="Trebuchet MS"/>
        <w:color w:val="353F40"/>
      </w:rPr>
    </w:pPr>
    <w:r>
      <w:rPr/>
      <w:drawing>
        <wp:anchor behindDoc="1" distT="0" distB="0" distL="0" distR="0" simplePos="0" locked="0" layoutInCell="1" allowOverlap="1" relativeHeight="58">
          <wp:simplePos x="0" y="0"/>
          <wp:positionH relativeFrom="column">
            <wp:posOffset>4743450</wp:posOffset>
          </wp:positionH>
          <wp:positionV relativeFrom="paragraph">
            <wp:posOffset>152400</wp:posOffset>
          </wp:positionV>
          <wp:extent cx="1738630" cy="492760"/>
          <wp:effectExtent l="0" t="0" r="0" b="0"/>
          <wp:wrapNone/>
          <wp:docPr id="69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38630" cy="4927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/>
      <w:instrText xml:space="preserve"> PAGE </w:instrText>
    </w:r>
    <w:r>
      <w:rPr/>
      <w:fldChar w:fldCharType="separate"/>
    </w:r>
    <w:r>
      <w:rPr/>
      <w:t>56</w:t>
    </w:r>
    <w:r>
      <w:rPr/>
      <w:fldChar w:fldCharType="end"/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  <w:drawing>
        <wp:anchor behindDoc="1" distT="0" distB="0" distL="0" distR="0" simplePos="0" locked="0" layoutInCell="1" allowOverlap="1" relativeHeight="0">
          <wp:simplePos x="0" y="0"/>
          <wp:positionH relativeFrom="column">
            <wp:posOffset>345440</wp:posOffset>
          </wp:positionH>
          <wp:positionV relativeFrom="paragraph">
            <wp:posOffset>-233045</wp:posOffset>
          </wp:positionV>
          <wp:extent cx="5429250" cy="514350"/>
          <wp:effectExtent l="0" t="0" r="0" b="0"/>
          <wp:wrapSquare wrapText="bothSides"/>
          <wp:docPr id="3" name="image4.png" descr="logo igti sub 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4.png" descr="logo igti sub cabeçalh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rFonts w:ascii="Arial" w:hAnsi="Arial" w:eastAsia="Arial" w:cs="Arial"/>
        <w:color w:val="000000"/>
      </w:rPr>
    </w:pPr>
    <w:r>
      <w:rPr>
        <w:rFonts w:eastAsia="Arial" w:cs="Arial" w:ascii="Arial" w:hAnsi="Arial"/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  <w:drawing>
        <wp:anchor behindDoc="1" distT="0" distB="0" distL="0" distR="0" simplePos="0" locked="0" layoutInCell="0" allowOverlap="1" relativeHeight="116">
          <wp:simplePos x="0" y="0"/>
          <wp:positionH relativeFrom="column">
            <wp:posOffset>345440</wp:posOffset>
          </wp:positionH>
          <wp:positionV relativeFrom="paragraph">
            <wp:posOffset>-233045</wp:posOffset>
          </wp:positionV>
          <wp:extent cx="5429250" cy="514350"/>
          <wp:effectExtent l="0" t="0" r="0" b="0"/>
          <wp:wrapSquare wrapText="bothSides"/>
          <wp:docPr id="5" name="image4.png Copy 1" descr="logo igti sub cabeç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 Copy 1" descr="logo igti sub cabeçalh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292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ind w:hanging="0" w:left="-2700"/>
      <w:jc w:val="right"/>
      <w:rPr>
        <w:b/>
        <w:i/>
        <w:i/>
        <w:color w:val="808080"/>
      </w:rPr>
    </w:pPr>
    <w:r>
      <w:rPr>
        <w:b/>
        <w:i/>
        <w:color w:val="808080"/>
      </w:rPr>
    </w:r>
  </w:p>
  <w:p>
    <w:pPr>
      <w:pStyle w:val="normal1"/>
      <w:tabs>
        <w:tab w:val="clear" w:pos="720"/>
        <w:tab w:val="center" w:pos="4153" w:leader="none"/>
        <w:tab w:val="right" w:pos="8306" w:leader="none"/>
      </w:tabs>
      <w:spacing w:before="0" w:after="160"/>
      <w:rPr>
        <w:rFonts w:ascii="Arial" w:hAnsi="Arial" w:eastAsia="Arial" w:cs="Arial"/>
        <w:color w:val="000000"/>
      </w:rPr>
    </w:pPr>
    <w:r>
      <w:rPr>
        <w:rFonts w:eastAsia="Arial" w:cs="Arial" w:ascii="Arial" w:hAnsi="Arial"/>
        <w:color w:val="00000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rFonts w:ascii="Libre Franklin" w:hAnsi="Libre Franklin" w:eastAsia="Libre Franklin" w:cs="Libre Franklin"/>
        <w:color w:val="353F40"/>
      </w:rPr>
    </w:pPr>
    <w:r>
      <w:rPr>
        <w:rFonts w:eastAsia="Libre Franklin" w:cs="Libre Franklin" w:ascii="Libre Franklin" w:hAnsi="Libre Franklin"/>
        <w:color w:val="353F40"/>
      </w:rPr>
      <w:drawing>
        <wp:anchor behindDoc="1" distT="0" distB="0" distL="0" distR="0" simplePos="0" locked="0" layoutInCell="1" allowOverlap="1" relativeHeight="115">
          <wp:simplePos x="0" y="0"/>
          <wp:positionH relativeFrom="column">
            <wp:posOffset>-1064260</wp:posOffset>
          </wp:positionH>
          <wp:positionV relativeFrom="paragraph">
            <wp:posOffset>-135255</wp:posOffset>
          </wp:positionV>
          <wp:extent cx="1228725" cy="584835"/>
          <wp:effectExtent l="0" t="0" r="0" b="0"/>
          <wp:wrapNone/>
          <wp:docPr id="68" name="image5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age5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630" w:hanging="63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630" w:hanging="63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4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rebuchet MS" w:hAnsi="Trebuchet MS" w:eastAsia="Trebuchet MS" w:cs="Trebuchet MS"/>
        <w:color w:val="353F40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Trebuchet MS" w:hAnsi="Trebuchet MS" w:eastAsia="Trebuchet MS" w:cs="Trebuchet MS"/>
      <w:color w:val="2A30B0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sz w:val="28"/>
      <w:szCs w:val="28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40" w:after="0"/>
    </w:pPr>
    <w:rPr>
      <w:color w:val="2A30B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  <w:ind w:hanging="360" w:left="720"/>
    </w:pPr>
    <w:rPr>
      <w:color w:val="2A30B0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rFonts w:ascii="Times New Roman" w:hAnsi="Times New Roman" w:eastAsia="Times New Roman" w:cs="Times New Roman"/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rFonts w:ascii="Times New Roman" w:hAnsi="Times New Roman" w:eastAsia="Times New Roman" w:cs="Times New Roman"/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0"/>
    </w:pPr>
    <w:rPr>
      <w:rFonts w:ascii="Arial" w:hAnsi="Arial" w:eastAsia="Arial" w:cs="Arial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color w:val="00BDB3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rmal11">
    <w:name w:val="normal1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Trebuchet MS" w:hAnsi="Trebuchet MS" w:eastAsia="Trebuchet MS" w:cs="Trebuchet MS"/>
      <w:color w:val="353F40"/>
      <w:kern w:val="0"/>
      <w:sz w:val="22"/>
      <w:szCs w:val="22"/>
      <w:lang w:val="pt-BR" w:eastAsia="zh-CN" w:bidi="hi-IN"/>
    </w:rPr>
  </w:style>
  <w:style w:type="paragraph" w:styleId="TOC2">
    <w:name w:val="TOC 2"/>
    <w:basedOn w:val="Index"/>
    <w:pPr>
      <w:tabs>
        <w:tab w:val="clear" w:pos="720"/>
        <w:tab w:val="right" w:pos="9354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9070" w:leader="dot"/>
      </w:tabs>
      <w:ind w:hanging="0" w:left="567"/>
    </w:pPr>
    <w:rPr/>
  </w:style>
  <w:style w:type="paragraph" w:styleId="TOC1">
    <w:name w:val="TOC 1"/>
    <w:basedOn w:val="Index"/>
    <w:pPr>
      <w:tabs>
        <w:tab w:val="clear" w:pos="720"/>
        <w:tab w:val="right" w:pos="9637" w:leader="dot"/>
      </w:tabs>
      <w:ind w:hanging="0" w:left="0"/>
    </w:pPr>
    <w:rPr/>
  </w:style>
  <w:style w:type="paragraph" w:styleId="TOC4">
    <w:name w:val="TOC 4"/>
    <w:basedOn w:val="Index"/>
    <w:pPr>
      <w:tabs>
        <w:tab w:val="clear" w:pos="720"/>
        <w:tab w:val="right" w:pos="8787" w:leader="dot"/>
      </w:tabs>
      <w:ind w:hanging="0" w:left="85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3.pn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image" Target="media/image4.pn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jpe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header" Target="header6.xml"/><Relationship Id="rId77" Type="http://schemas.openxmlformats.org/officeDocument/2006/relationships/header" Target="header7.xml"/><Relationship Id="rId78" Type="http://schemas.openxmlformats.org/officeDocument/2006/relationships/footer" Target="footer6.xml"/><Relationship Id="rId79" Type="http://schemas.openxmlformats.org/officeDocument/2006/relationships/footer" Target="footer7.xml"/><Relationship Id="rId80" Type="http://schemas.openxmlformats.org/officeDocument/2006/relationships/numbering" Target="numbering.xml"/><Relationship Id="rId81" Type="http://schemas.openxmlformats.org/officeDocument/2006/relationships/fontTable" Target="fontTable.xml"/><Relationship Id="rId82" Type="http://schemas.openxmlformats.org/officeDocument/2006/relationships/settings" Target="settings.xml"/><Relationship Id="rId83" Type="http://schemas.openxmlformats.org/officeDocument/2006/relationships/theme" Target="theme/theme1.xm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67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6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472</TotalTime>
  <Application>LibreOffice/24.2.7.2$Linux_X86_64 LibreOffice_project/420$Build-2</Application>
  <AppVersion>15.0000</AppVersion>
  <Pages>61</Pages>
  <Words>3822</Words>
  <Characters>21853</Characters>
  <CharactersWithSpaces>25269</CharactersWithSpaces>
  <Paragraphs>375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2025-10-26T18:21:29Z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