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0" w:after="0"/>
        <w:ind w:hanging="0" w:start="0" w:end="0"/>
        <w:jc w:val="center"/>
        <w:rPr/>
      </w:pPr>
      <w:r>
        <w:rPr>
          <w:rStyle w:val="Strong"/>
          <w:rFonts w:ascii="Trebuchet MS" w:hAnsi="Trebuchet MS"/>
          <w:b/>
          <w:bCs/>
        </w:rPr>
        <w:t xml:space="preserve">SSO – </w:t>
      </w:r>
      <w:r>
        <w:rPr>
          <w:rStyle w:val="Strong"/>
          <w:rFonts w:ascii="Trebuchet MS" w:hAnsi="Trebuchet MS"/>
          <w:b/>
          <w:bCs/>
        </w:rPr>
        <w:t>A</w:t>
      </w:r>
      <w:r>
        <w:rPr>
          <w:rStyle w:val="Strong"/>
          <w:rFonts w:ascii="Trebuchet MS" w:hAnsi="Trebuchet MS"/>
          <w:b/>
          <w:bCs/>
        </w:rPr>
        <w:t xml:space="preserve">rchitecture </w:t>
      </w:r>
      <w:r>
        <w:rPr>
          <w:rStyle w:val="Strong"/>
          <w:rFonts w:ascii="Trebuchet MS" w:hAnsi="Trebuchet MS"/>
          <w:b/>
          <w:bCs/>
        </w:rPr>
        <w:t>H</w:t>
      </w:r>
      <w:r>
        <w:rPr>
          <w:rStyle w:val="Strong"/>
          <w:rFonts w:ascii="Trebuchet MS" w:hAnsi="Trebuchet MS"/>
          <w:b/>
          <w:bCs/>
        </w:rPr>
        <w:t>aiku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rStyle w:val="Strong"/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Heading2"/>
        <w:bidi w:val="0"/>
        <w:jc w:val="start"/>
        <w:rPr/>
      </w:pPr>
      <w:r>
        <w:rPr>
          <w:rFonts w:ascii="Trebuchet MS" w:hAnsi="Trebuchet MS"/>
        </w:rPr>
        <w:t>Objective</w:t>
      </w:r>
    </w:p>
    <w:p>
      <w:pPr>
        <w:pStyle w:val="BodyText"/>
        <w:bidi w:val="0"/>
        <w:jc w:val="start"/>
        <w:rPr>
          <w:rFonts w:ascii="Trebuchet MS" w:hAnsi="Trebuchet MS"/>
        </w:rPr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C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entralizar acessos via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SSO (Single Sign-On)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, permitindo que o usuário autentique-se uma única vez e acesse todas as aplicações de forma padronizada e segura.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Benefícios esperados: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Redução de senhas e simplificação da experiência.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Governança centralizada sobre acessos e permissões.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Segurança reforçada com autenticação unificada.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Menor esforço de TI na gestão de identidades.</w:t>
      </w:r>
    </w:p>
    <w:p>
      <w:pPr>
        <w:pStyle w:val="BodyText"/>
        <w:bidi w:val="0"/>
        <w:jc w:val="star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Heading2"/>
        <w:bidi w:val="0"/>
        <w:jc w:val="start"/>
        <w:rPr/>
      </w:pPr>
      <w:r>
        <w:rPr>
          <w:rStyle w:val="Strong"/>
          <w:rFonts w:ascii="Trebuchet MS" w:hAnsi="Trebuchet MS"/>
          <w:b/>
          <w:bCs/>
        </w:rPr>
        <w:t>Functional Requirements</w:t>
      </w:r>
    </w:p>
    <w:p>
      <w:pPr>
        <w:pStyle w:val="BodyText"/>
        <w:bidi w:val="0"/>
        <w:jc w:val="start"/>
        <w:rPr>
          <w:rStyle w:val="Strong"/>
          <w:rFonts w:ascii="Trebuchet MS" w:hAnsi="Trebuchet MS"/>
        </w:rPr>
      </w:pPr>
      <w:r>
        <w:rPr/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Área Administrativa (*)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gestão de usuários, aplicações e permissões.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REST API (*)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integração com microserviços para gestão de identidades.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OAuth 2.0 / OpenID Connect (OIDC)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suporte a fluxos modernos de autenticação.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Federação com redes sociais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login por Google, Facebook, LinkedIn etc.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Esqueci Minha Senha (*)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recuperação e redefinição seguras.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Cadastro de Usuários por E-mail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autocadastro com validação e aprovação opcional.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Token Authentication (JWT) (*)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emissão, validação, renovação e revogação de tokens.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Multi-tenancy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isolamento por cliente e possibilidade de compartilhamento controlado.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Customização de Login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branding e campos adicionais conforme necessidade.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Impersonate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suporte para acesso temporário de suporte com auditoria.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RBAC (*)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grupos, permissões e roles hierárquicas.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Rotação de Senha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políticas de expiração e complexidade mínima.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Migração de Usuários sem Perda de Senha (*)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– importação segura de hashes.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(★) Requisitos considerados críticos para a fase inicial de implementação.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Trebuchet MS" w:hAnsi="Trebuchet MS"/>
        </w:rPr>
      </w:pPr>
      <w:r>
        <w:rPr/>
      </w:r>
    </w:p>
    <w:p>
      <w:pPr>
        <w:pStyle w:val="Heading2"/>
        <w:bidi w:val="0"/>
        <w:spacing w:before="0" w:after="0"/>
        <w:ind w:hanging="0" w:start="0" w:end="0"/>
        <w:jc w:val="start"/>
        <w:rPr/>
      </w:pPr>
      <w:r>
        <w:rPr>
          <w:rFonts w:ascii="Trebuchet MS" w:hAnsi="Trebuchet MS"/>
        </w:rPr>
        <w:t>Technical Constraints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Trebuchet MS" w:hAnsi="Trebuchet MS"/>
        </w:rPr>
      </w:pPr>
      <w:r>
        <w:rPr/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Capacidade de atender ao volume transacional esperado nas autenticações simultâneas.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Custo operacional compatível com o orçamento e modelo de negócio da companhia.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Tempo de implementação reduzido, com documentação e suporte disponíveis.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Conformidade com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LGPD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e melhores práticas da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OWASP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Flexibilidade para cenários complexos com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RBAC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,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SAML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e federação externa.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start="72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before="0" w:after="0"/>
        <w:ind w:hanging="0" w:start="0" w:end="0"/>
        <w:jc w:val="start"/>
        <w:rPr/>
      </w:pPr>
      <w:r>
        <w:rPr/>
        <w:t>Quality Attributes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Usabilidade: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suporte à personalização visual (branding) nos fluxos de login federado.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Confiabilidade: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proteção dos dados sensíveis e alta disponibilidade do serviço.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Escalabilidade: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capacidade de atender picos de autenticação sem degradação de performance.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Auditabilidade: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rastreabilidade de sessões e acessos via logs centralizados.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Manutenibilidade: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uso de SDKs e APIs padronizadas, facilitando a integração contínua.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before="0" w:after="0"/>
        <w:ind w:hanging="0" w:start="0" w:end="0"/>
        <w:jc w:val="start"/>
        <w:rPr/>
      </w:pPr>
      <w:r>
        <w:rPr/>
        <w:t>Design Decisions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Adotar uma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plataforma SaaS de identidade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para centralizar autenticação e autorização.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Utilizar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OAuth 2.0 / OIDC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como padrão de autenticação entre SPA, APIs e microserviços.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/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Propagar o </w:t>
      </w:r>
      <w:r>
        <w:rPr>
          <w:rStyle w:val="Strong"/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JWT</w:t>
      </w: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 xml:space="preserve"> nas chamadas internas entre front-end e back-end.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Implementar controle de sessão e revogação de token via API de gestão de sessão do provedor.</w:t>
      </w:r>
    </w:p>
    <w:p>
      <w:pPr>
        <w:pStyle w:val="BodyText"/>
        <w:widowControl/>
        <w:numPr>
          <w:ilvl w:val="0"/>
          <w:numId w:val="1"/>
        </w:numPr>
        <w:suppressAutoHyphens w:val="true"/>
        <w:bidi w:val="0"/>
        <w:jc w:val="star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 w:ascii="Trebuchet MS" w:hAnsi="Trebuchet MS"/>
          <w:color w:val="auto"/>
          <w:kern w:val="2"/>
          <w:sz w:val="24"/>
          <w:szCs w:val="24"/>
          <w:lang w:val="pt-BR" w:eastAsia="zh-CN" w:bidi="hi-IN"/>
        </w:rPr>
        <w:t>Integrar logs e métricas de autenticação com as plataformas de observabilidade corporativas.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</Pages>
  <Words>399</Words>
  <Characters>2382</Characters>
  <CharactersWithSpaces>2719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2025-10-26T16:25:16Z</dcterms:created>
  <dc:creator/>
  <dc:description/>
  <dc:language>pt-BR</dc:language>
  <cp:lastModifiedBy/>
  <dcterms:modified xsi:type="dcterms:W3CDTF">2025-10-26T17:36:28Z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