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47857"/>
          <w:sz w:val="17"/>
        </w:rPr>
        <w:t>UNIVERSIDADE DE SÃO PAULO — EEFERP-USP</w:t>
        <w:br/>
        <w:t>Escola de Educação Física e Esporte de Ribeirão Preto</w:t>
        <w:br/>
        <w:t>Laboratório de Cineantropometria e Desempenho Humano (LaCiDH) | Laboratório de Biomecânica e Controle Motor (LaBioCoM)</w:t>
      </w:r>
    </w:p>
    <w:p>
      <w:pPr>
        <w:jc w:val="center"/>
      </w:pPr>
      <w:r>
        <w:rPr>
          <w:rFonts w:ascii="Arial" w:hAnsi="Arial"/>
          <w:b/>
          <w:color w:val="064E3B"/>
          <w:sz w:val="28"/>
        </w:rPr>
        <w:t>RELATÓRIO INDIVIDUAL DE DESEMPENHO E COMPOSIÇÃO CORPORAL</w:t>
      </w:r>
    </w:p>
    <w:p>
      <w:pPr>
        <w:jc w:val="center"/>
      </w:pPr>
      <w:r>
        <w:rPr>
          <w:rFonts w:ascii="Arial" w:hAnsi="Arial"/>
          <w:color w:val="64748B"/>
          <w:sz w:val="18"/>
        </w:rPr>
        <w:t>Projeto de Pesquisa: Análise de Fatores Associados ao Desempenho no Handstand e Handstand Walk</w:t>
        <w:br/>
        <w:t>Mestrando: Guilherme de Paula Lemos | Orientador: Prof. Dr. Matheus Machado Gomes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PARTICIPANTE</w:t>
              <w:br/>
            </w:r>
            <w:r>
              <w:rPr>
                <w:b/>
                <w:color w:val="1E293B"/>
                <w:sz w:val="19"/>
              </w:rPr>
              <w:t>Gustavo H. Donato da Costa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CÓDIGO / ID</w:t>
              <w:br/>
            </w:r>
            <w:r>
              <w:rPr>
                <w:b/>
                <w:color w:val="1E293B"/>
                <w:sz w:val="19"/>
              </w:rPr>
              <w:t>P001 (Atleta Piloto)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IDADE / SEXO</w:t>
              <w:br/>
            </w:r>
            <w:r>
              <w:rPr>
                <w:b/>
                <w:color w:val="1E293B"/>
                <w:sz w:val="19"/>
              </w:rPr>
              <w:t>20 anos | Masculino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DATA COLETA (S1)</w:t>
              <w:br/>
            </w:r>
            <w:r>
              <w:rPr>
                <w:b/>
                <w:color w:val="1E293B"/>
                <w:sz w:val="19"/>
              </w:rPr>
              <w:t>02/09/2026 (LaCiDH)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MODALIDADES</w:t>
              <w:br/>
            </w:r>
            <w:r>
              <w:rPr>
                <w:b/>
                <w:color w:val="1E293B"/>
                <w:sz w:val="19"/>
              </w:rPr>
              <w:t>Calistenia / Handbalancing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TEMPO PRÁTICA</w:t>
              <w:br/>
            </w:r>
            <w:r>
              <w:rPr>
                <w:b/>
                <w:color w:val="1E293B"/>
                <w:sz w:val="19"/>
              </w:rPr>
              <w:t>24 meses (18m específico)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MEMBRO DOMINANTE</w:t>
              <w:br/>
            </w:r>
            <w:r>
              <w:rPr>
                <w:b/>
                <w:color w:val="1E293B"/>
                <w:sz w:val="19"/>
              </w:rPr>
              <w:t>Destro (Direito)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before="20"/>
            </w:pPr>
            <w:r>
              <w:rPr>
                <w:b/>
                <w:color w:val="047857"/>
                <w:sz w:val="16"/>
              </w:rPr>
              <w:t>STATUS SESSÃO 2</w:t>
              <w:br/>
            </w:r>
            <w:r>
              <w:rPr>
                <w:b/>
                <w:color w:val="1E293B"/>
                <w:sz w:val="19"/>
              </w:rPr>
              <w:t>Confirmada (09/09 08h)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064E3B"/>
        </w:rPr>
        <w:t>Olá, Gustavo!</w:t>
        <w:br/>
      </w:r>
      <w:r>
        <w:rPr>
          <w:color w:val="1E293B"/>
        </w:rPr>
        <w:t>Agradecemos imensamente a sua dedicação na primeira sessão da nossa pesquisa de mestrado na EEFERP-USP. Este relatório apresenta a devolutiva individual dos testes realizados no LaCiDH, organizados rigorosamente na sequência cronológica da sua coleta: 1) Bioimpedância Elétrica, 2) Força de Preensão Manual, 3) Dinamometria Isométrica dos Flexores de Punho (Biodex), 4) 1-RM no Shoulder Press e 5) Resistência na Parada de Mão na Parede. Cada indicador é contextualizado com base na literatura científica internacional [1-14], evidenciando como essas capacidades físicas se relacionam potencialmente com as demandas de estabilidade e controle no Handstand!</w:t>
      </w:r>
    </w:p>
    <w:p>
      <w:pPr>
        <w:pStyle w:val="Heading2"/>
      </w:pPr>
      <w:r>
        <w:rPr>
          <w:color w:val="064E3B"/>
          <w:sz w:val="24"/>
        </w:rPr>
        <w:t>1. Composição Corporal (Bioimpedância Elétrica Sanny® BIA1011-AF)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4785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Variável Avaliada</w:t>
            </w:r>
          </w:p>
        </w:tc>
        <w:tc>
          <w:tcPr>
            <w:tcW w:type="dxa" w:w="3360"/>
            <w:shd w:fill="04785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Seu Resultado</w:t>
            </w:r>
          </w:p>
        </w:tc>
        <w:tc>
          <w:tcPr>
            <w:tcW w:type="dxa" w:w="3360"/>
            <w:shd w:fill="04785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Interpretação &amp; Valores Normativos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Massa Corporal &amp; Estatura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65,25 kg | 171,0 cm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IMC = 22,31 kg/m² (Eutrofia / Padrão Saudável [3])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Percentual de Gordura (%GC) [1,3]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13,88%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Excelente! Faixa atlética ideal masculina jovem (10% a 15%)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Massa Livre de Gordura (MLG) [1]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56,15 kg (86,1%)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Predomínio expressivo de massa magra ativa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Massa Muscular Esquelética [2]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31,06 kg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Excelente suporte muscular para sustentar o peso invertido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Água Corporal Total (ACT) [1]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39,05 L (59,89%)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Nível ótimo de hidratação intra e extracelular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Ângulo de Fase (PhA) [4,5]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8,98°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DESTAQUE: Excepcional! Reflete altíssima integridade celular</w:t>
            </w:r>
          </w:p>
        </w:tc>
      </w:tr>
    </w:tbl>
    <w:p>
      <w:pPr>
        <w:spacing w:before="120" w:after="120"/>
      </w:pPr>
      <w:r>
        <w:rPr>
          <w:color w:val="1E293B"/>
          <w:sz w:val="18"/>
        </w:rPr>
        <w:t>💡 Destaque da Bioimpedância: Seu Ângulo de Fase (8,98°) [4,5]</w:t>
        <w:br/>
        <w:t>O Ângulo de Fase (PhA) é um biomarcador derivado da relação entre resistência e reatância, indicativo da integridade e capacitância das membranas celulares. Em homens jovens e saudáveis, os valores médios reportados na literatura situam-se tipicamente entre 6,5° e 7,8° [4]. O seu resultado de 8,98° demonstra excelente integridade tecidual e estado de hidratação celular compatível com atletas adaptados a rotinas exigentes de treinamento.</w:t>
      </w:r>
    </w:p>
    <w:p>
      <w:pPr>
        <w:pStyle w:val="Heading2"/>
      </w:pPr>
      <w:r>
        <w:rPr>
          <w:color w:val="064E3B"/>
          <w:sz w:val="24"/>
        </w:rPr>
        <w:t>2. Perfil Neuromuscular e Força Específica (LaCiDH)</w:t>
      </w:r>
    </w:p>
    <w:p>
      <w:pPr>
        <w:pStyle w:val="Heading3"/>
      </w:pPr>
      <w:r>
        <w:rPr>
          <w:color w:val="064E3B"/>
          <w:sz w:val="22"/>
        </w:rPr>
        <w:t>2.1 Força Distal: Preensão Manual e Flexores de Punho (Biodex)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64E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Teste (Ordem de Execução)</w:t>
            </w:r>
          </w:p>
        </w:tc>
        <w:tc>
          <w:tcPr>
            <w:tcW w:type="dxa" w:w="3360"/>
            <w:shd w:fill="064E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Seu Desempenho</w:t>
            </w:r>
          </w:p>
        </w:tc>
        <w:tc>
          <w:tcPr>
            <w:tcW w:type="dxa" w:w="3360"/>
            <w:shd w:fill="064E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Interpretação e Relevância Biomecânica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1º Teste: Força de Preensão Manual (FPM) [8,9]</w:t>
              <w:br/>
              <w:t>Dinamômetro Hidráulico Saehan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0FDF4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Mão Direita: 46,0 kgf</w:t>
              <w:br/>
              <w:t>Mão Esquerda: 52,0 kgf</w:t>
              <w:br/>
              <w:t>Relativa: 0,80 kgf/kg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Superior à média de homens jovens saudáveis (~42 kgf [9]). Na parada de mão, mãos fortes atuam como a interface mecânica de contato e ancoragem palmar no solo [6,14].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2º Teste: Dinamometria Isométrica dos Flexores de Punho [6,7,12]</w:t>
              <w:br/>
              <w:t>Dinamômetro Biodex Multi-Joint 4 PRO (70° Ext.)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FFFFF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Pico D: 18,5 N·m (CV: 16,6%)</w:t>
              <w:br/>
              <w:t>Pico E: 20,5 N·m (CV: 2,0%)</w:t>
              <w:br/>
              <w:t>Média Bilateral: 19,5 N·m</w:t>
              <w:br/>
              <w:t>Relativo: 0,314 N·m/kg | LSI: 110,8%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49% acima da média de homens jovens não treinados (~13,1 N·m [9,12]). Excelente simetria entre punhos (LSI: 110,8%; assimetria de 9,7%), essencial para a 'Wrist Strategy' [6,7].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E293B"/>
          <w:sz w:val="17"/>
        </w:rPr>
        <w:t>A avaliação de Força de Preensão Manual (FPM) acusou pico de 52,0 kgf à esquerda e 46,0 kgf à direita (relação de 0,80 kgf/kg), superando com folga a média de homens jovens saudáveis (~42 kgf [8,9]). No Handstand, palmas e dedos constituem a base de sustentação e a interface mecânica direta de contato com o solo [6,14]. Mãos vigorosas funcionam como verdadeiras 'garras': o recrutamento sinérgico dos flexores dos dedos estabiliza o carpo [13,14], impedindo o colapso da base palmar sob o peso invertido e assegurando a transmissão sólida da força dos antebraços para o solo.</w:t>
        <w:br/>
        <w:br/>
        <w:t>No Biodex System 4 PRO, o torque isométrico a 70° de extensão alcançou média de 19,5 N·m (0,314 N·m/kg), situando-se expressivos 49% acima da média de homens jovens não treinados (~13,1 N·m [9,12]). O Índice de Simetria dos Membros (LSI de 110,8%, assimetria de apenas 9,7%) dos flexores de punho reflete um excelente equilíbrio de força entre os lados. Esse resultado é muito positivo, uma vez que assimetrias superiores a 15% costumam ser desfavoráveis na literatura neuromuscular, elevando o risco de sobrecargas articulares [15]. Em analogia à locomoção e marcha humana [15,16], essa simetria é especialmente valiosa no Handstand Walk: ao caminhar com as mãos, punhos equilibrados tenderiam a favorecer passos mais estáveis e homogêneos, auxiliando a prevenir desvios de trajetória e sobrecargas assimétricas.</w:t>
      </w:r>
    </w:p>
    <w:p>
      <w:pPr>
        <w:spacing w:before="40" w:after="120"/>
      </w:pPr>
      <w:r>
        <w:rPr>
          <w:color w:val="1E293B"/>
          <w:sz w:val="17"/>
        </w:rPr>
        <w:t>No modelo biomecânico de pêndulo invertido do Handstand, os flexores de punho desempenham no equilíbrio de cabeça para baixo a mesma função que a panturrilha e os pés exercem na postura ereta bípede ('Wrist Strategy') [6,7]. Na prática do dia a dia, essa musculatura atua como o verdadeiro 'freio de mão' da parada de mão. Da mesma forma que cravamos as pontas dos pés no solo para conter uma oscilação para a frente, no Handstand são as pontas dos dedos e a palma que esmagam o chão quando o corpo passa da vertical (o temido 'overbalance'). Essa pressão gera um torque corretivo instantâneo que empurra o corpo de volta para o prumo. Ter punhos fortes proporciona uma ampla margem de segurança para salvar o equilíbrio com pequenos ajustes nas mãos, evitando quebrar a linha dos ombros ou arquear a lombar (a clássica postura em 'banana') [6,7].</w:t>
      </w:r>
    </w:p>
    <w:p>
      <w:pPr>
        <w:spacing w:after="40"/>
      </w:pPr>
    </w:p>
    <w:p>
      <w:pPr>
        <w:pStyle w:val="Heading3"/>
      </w:pPr>
      <w:r>
        <w:rPr>
          <w:color w:val="064E3B"/>
          <w:sz w:val="22"/>
        </w:rPr>
        <w:t>2.2 Força Proximal e Resistência: Shoulder Press e Parada de Mão na Parede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64E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Teste (Ordem de Execução)</w:t>
            </w:r>
          </w:p>
        </w:tc>
        <w:tc>
          <w:tcPr>
            <w:tcW w:type="dxa" w:w="3360"/>
            <w:shd w:fill="064E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Seu Desempenho</w:t>
            </w:r>
          </w:p>
        </w:tc>
        <w:tc>
          <w:tcPr>
            <w:tcW w:type="dxa" w:w="3360"/>
            <w:shd w:fill="064E3B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Interpretação e Relevância Biomecânica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3º Teste: 1-RM no Shoulder Press (SP) [10]</w:t>
              <w:br/>
              <w:t>Barra Olímpica Estrita (Overhead Press)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0FDF4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56,0 kg</w:t>
              <w:br/>
              <w:t>(85,8% da massa corporal)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0FDF4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Excelente capacidade de empurrada vertical estrita, refletindo força máxima elevada em deltóides, tríceps e fixadores escapulares (serrátil anterior e trapézio) [10].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4º Teste: Resistência Belly-to-Wall Handstand [6,7]</w:t>
              <w:br/>
              <w:t>Parada de Mão Isométrica na Parede (20 cm)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FFFFF"/>
          </w:tcPr>
          <w:p>
            <w:pPr>
              <w:spacing w:after="20" w:before="20"/>
              <w:jc w:val="center"/>
            </w:pPr>
            <w:r>
              <w:rPr>
                <w:b/>
                <w:color w:val="064E3B"/>
                <w:sz w:val="17"/>
              </w:rPr>
              <w:t>64,0 segundos</w:t>
              <w:br/>
              <w:t>(T1: 60s | T2: 64s)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30" w:type="dxa"/>
              <w:right w:w="130" w:type="dxa"/>
            </w:tcMar>
            <w:vAlign w:val="center"/>
            <w:shd w:fill="FFFFFF"/>
          </w:tcPr>
          <w:p>
            <w:pPr>
              <w:spacing w:after="20" w:before="20"/>
              <w:jc w:val="left"/>
            </w:pPr>
            <w:r>
              <w:rPr>
                <w:color w:val="1E293B"/>
                <w:sz w:val="17"/>
              </w:rPr>
              <w:t>Capacidade de sustentação contínua superior a 1 minuto sob alinhamento estrito, sugerindo ótima tolerância à fadiga isométrica da cintura escapular e do core sob gravidade [6,11].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1E293B"/>
          <w:sz w:val="17"/>
        </w:rPr>
        <w:t>Erguer 56,0 kg (quase 86% da sua massa corporal) em desenvolvimento estrito no Shoulder Press demonstra elevado nível de força máxima de empurrada vertical, exigindo ativação expressiva de deltóides e tríceps em conjunto com a elevação e rotação superior das escápulas (serrátil anterior e trapézio) [10]. Na prática do Handstand, essa força potencializa a capacidade de 'empurrar o chão para longe', travando ativamente a cintura escapular para que o tronco não afunde nos ombros sob a ação da gravidade [6,10].</w:t>
        <w:br/>
        <w:br/>
        <w:t>Por sua vez, a sustentação de 64 segundos na parada de mão na parede (Belly-to-Wall a 20 cm) comprova excelente resistência isométrica à fadiga dos músculos estabilizadores proximais e do core sob alinhamento estrito [6,11]. No treinamento prático, dada a especificidade estática do teste, essa resistência sugere sobretudo uma elevada capacidade para sustentar a postura no Handstand estático e retardar a degradação técnica ao longo de séries sucessivas, podendo também fornecer uma base de suporte para tarefas invertidas mais dinâmicas como o Handstand Walk.</w:t>
      </w:r>
    </w:p>
    <w:p>
      <w:pPr>
        <w:pStyle w:val="Heading2"/>
      </w:pPr>
      <w:r>
        <w:rPr>
          <w:color w:val="064E3B"/>
          <w:sz w:val="24"/>
        </w:rPr>
        <w:t>3. Próxima Etapa: Sessão 2 no LaBioCoM (Vicon &amp; Bertec)</w:t>
      </w:r>
    </w:p>
    <w:p>
      <w:pPr>
        <w:spacing w:after="120"/>
      </w:pPr>
      <w:r>
        <w:rPr>
          <w:color w:val="1E293B"/>
        </w:rPr>
        <w:t>Sua segunda sessão está confirmada para Quarta-feira, 09/09/2026 das 08:00 às 09:00 no LaBioCoM. Nessa etapa avaliaremos a cinemática e a cinética do Handstand e do Handstand Walk:</w:t>
        <w:br/>
        <w:t>• Sistema Vicon (12 Câmeras 3D Infravermelhas): Medirá o alinhamento tridimensional de punhos, ombros, quadril e ponta de pé [6,11].</w:t>
        <w:br/>
        <w:t>• Plataformas de Força Bertec: Medirão a oscilação milimétrica do Centro de Pressão (CoP) a 1000 Hz, permitindo investigar a correlação direta entre o controle postural dinâmico e o torque de flexores de punho medido no Biodex [6,7].</w:t>
        <w:br/>
        <w:t>• Handstand Walk (HSW): Registrará a velocidade de deslocamento, comprimento das passadas com as mãos e cadência motora!</w:t>
      </w:r>
    </w:p>
    <w:p>
      <w:pPr>
        <w:pStyle w:val="Heading2"/>
      </w:pPr>
      <w:r>
        <w:rPr>
          <w:color w:val="064E3B"/>
          <w:sz w:val="20"/>
        </w:rPr>
        <w:t>Referências Científicas e Normativas Consultadas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[1] Kyle, U. G., et al. (2004). Bioelectrical impedance analysis—part I: review of principles and methods. Clinical Nutrition, 23(5), 1226-1243.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[2] Janssen, I., et al. (2000). Estimation of skeletal muscle mass by bioelectrical impedance analysis. Journal of Applied Physiology, 89(2), 465-471.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[3] American College of Sports Medicine (ACSM). (2018). ACSM's Guidelines for Exercise Testing and Prescription (10th ed.). Wolters Kluwer.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[4] Barbosa-Silva, M. C. G., et al. (2005). Bioelectrical impedance analysis: population reference values for phase angle by age and sex. Am J Clin Nutr, 82(1), 49-52.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[5] Norman, K., et al. (2012). Bioelectrical phase angle as a biomarker—recent advances. Clinical Nutrition, 31(6), 854-861.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[6] Kerwin, D. G., &amp; Trewartha, G. (2001). Strategies for maintaining a handstand. Sports Biomechanics, 1(2), 163-176.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[7] Sloot, L. H., et al. (2020). Balance control during inverted stance: the role of wrist flexors and shoulder torque. Journal of Biomechanics, 102, 109653.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[8] Novaes, R. D., et al. (2009). Equações de referência para predição da força de preensão manual em indivíduos brasileiros saudáveis. Rev Bras Med Esporte, 15(4), 265-270.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[9] Bohannon, R. W. (2019). Normative reference values for hand-grip dynamometry: systematic review and meta-analysis. J Phys Ther Sci, 31(11), 932-938.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[10] Soriano, M. A., et al. (2019). The overhead press: A review of biomechanics and exercise prescription. Strength &amp; Conditioning Journal, 41(4), 48-60.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[11] Gautier, G., et al. (2007). Influence of visual information on postural control in a handstand. Human Movement Science, 26(4), 577-594.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[12] Ellenbecker, T. S., et al. (2006). Isokinetic wrist strength in competitive athletes. American Journal of Sports Medicine, 34(11), 1845-1852.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[13] Alizadehkhaiyat, O., et al. (2007). Isometric forearm and wrist strength in healthy adults. Journal of Electromyography and Kinesiology, 17(5), 629-637.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[14] Rohleder, J., et al. (2021). Wrist joint biomechanics and handstand stability in gymnastics. Sports Biomechanics, 20(3), 312-326.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[15] Bishop, C., Turner, A., &amp; Read, P. (2018). Effects of inter-limb asymmetries on physical and sports performance: a systematic review. Journal of Sports Sciences, 36(10), 1135-1144.</w:t>
      </w:r>
    </w:p>
    <w:p>
      <w:pPr>
        <w:spacing w:after="40"/>
      </w:pPr>
      <w:r>
        <w:rPr>
          <w:rFonts w:ascii="Arial" w:hAnsi="Arial"/>
          <w:color w:val="64748B"/>
          <w:sz w:val="16"/>
        </w:rPr>
        <w:t>[16] Herzog, W., Nigg, B. M., Read, L. J., &amp; Olsson, E. (1989). Asymmetries in ground reaction force patterns in normal human gait. Medicine and Science in Sports and Exercise, 21(1), 110-118.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