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AD754">
      <w:pPr>
        <w:spacing w:after="40"/>
        <w:jc w:val="center"/>
        <w:rPr>
          <w:rFonts w:hint="default" w:ascii="Arial" w:hAnsi="Arial" w:cs="Arial"/>
          <w:color w:val="auto"/>
          <w:sz w:val="21"/>
          <w:szCs w:val="21"/>
        </w:rPr>
      </w:pPr>
      <w:r>
        <w:rPr>
          <w:rFonts w:hint="default" w:ascii="Arial" w:hAnsi="Arial" w:cs="Arial"/>
          <w:b/>
          <w:color w:val="auto"/>
          <w:sz w:val="28"/>
          <w:szCs w:val="21"/>
        </w:rPr>
        <w:t>PROCEDIMENTO OPERACIONAL PADRÃO (POP) – SESSÃO 1</w:t>
      </w:r>
    </w:p>
    <w:p w14:paraId="07C89A41">
      <w:pPr>
        <w:spacing w:after="8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4"/>
        </w:rPr>
        <w:t>AVALIAÇÃO DE COMPOSIÇÃO CORPORAL, FORÇA E RESISTÊNCIA ISOMÉTRICA</w:t>
      </w:r>
    </w:p>
    <w:p w14:paraId="4978C176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/>
          <w:color w:val="auto"/>
          <w:sz w:val="20"/>
        </w:rPr>
        <w:t>Laboratório de Cineantropometria e Desempenho Humano (LaCiDH) – EEFERP-USP</w:t>
      </w:r>
      <w:r>
        <w:rPr>
          <w:rFonts w:hint="default" w:ascii="Arial" w:hAnsi="Arial" w:cs="Arial"/>
          <w:i w:val="0"/>
          <w:iCs/>
          <w:color w:val="auto"/>
          <w:sz w:val="20"/>
        </w:rPr>
        <w:br w:type="textWrapping"/>
      </w:r>
      <w:r>
        <w:rPr>
          <w:rFonts w:hint="default" w:ascii="Arial" w:hAnsi="Arial" w:cs="Arial"/>
          <w:b/>
          <w:color w:val="000000"/>
          <w:sz w:val="19"/>
        </w:rPr>
        <w:t>Projeto de Mestrado:</w:t>
      </w:r>
      <w:r>
        <w:rPr>
          <w:rFonts w:hint="default" w:ascii="Arial" w:hAnsi="Arial" w:cs="Arial"/>
          <w:color w:val="000000"/>
          <w:sz w:val="19"/>
        </w:rPr>
        <w:t xml:space="preserve"> Análise de Fatores Associados ao Desempenho no Handstand e Handstand Walk</w:t>
      </w:r>
    </w:p>
    <w:p w14:paraId="2FA8DFD3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Mestrando:</w:t>
      </w:r>
      <w:r>
        <w:rPr>
          <w:rFonts w:hint="default" w:ascii="Arial" w:hAnsi="Arial" w:cs="Arial"/>
          <w:color w:val="000000"/>
          <w:sz w:val="19"/>
        </w:rPr>
        <w:t xml:space="preserve"> Guilherme de Paula Lemos | </w:t>
      </w:r>
      <w:r>
        <w:rPr>
          <w:rFonts w:hint="default" w:ascii="Arial" w:hAnsi="Arial" w:cs="Arial"/>
          <w:b/>
          <w:color w:val="000000"/>
          <w:sz w:val="19"/>
        </w:rPr>
        <w:t>Orientador:</w:t>
      </w:r>
      <w:r>
        <w:rPr>
          <w:rFonts w:hint="default" w:ascii="Arial" w:hAnsi="Arial" w:cs="Arial"/>
          <w:color w:val="000000"/>
          <w:sz w:val="19"/>
        </w:rPr>
        <w:t xml:space="preserve"> Prof. Dr. Matheus Machado Gomes</w:t>
      </w:r>
    </w:p>
    <w:p w14:paraId="185129E0">
      <w:pPr>
        <w:spacing w:after="240"/>
        <w:jc w:val="center"/>
        <w:rPr>
          <w:rFonts w:hint="default" w:ascii="Arial" w:hAnsi="Arial" w:cs="Arial"/>
          <w:i w:val="0"/>
          <w:iCs/>
          <w:color w:val="auto"/>
        </w:rPr>
      </w:pPr>
    </w:p>
    <w:p w14:paraId="0CADB06E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1. OBJETIVO GERAL DO POP</w:t>
      </w:r>
    </w:p>
    <w:p w14:paraId="237155A5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i w:val="0"/>
          <w:color w:val="auto"/>
          <w:sz w:val="21"/>
        </w:rPr>
        <w:t>Padronizar detalhadamente todas as etapas operacionais da Sessão 1 de coleta de dados no LaCiDH, desde a calibração prévia dos equipamentos, recepção e triagem do voluntário até a execução dos protocolos de bioimpedância tetrapolar, dinamometria isométrica de preensão manual e flexores de punho, teste de 1-RM no shoulder press e teste de resistência em posição invertida (wall-supported handstand). A ordem dos testes e seus intervalos foram rigorosamente desenhados com base em evidências fisiológicas e biomecânicas para mitigar o impacto cumulativo da fadiga sobre a produção de força máxima.</w:t>
      </w:r>
    </w:p>
    <w:p w14:paraId="0D3DCD29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6"/>
        </w:rPr>
        <w:t>2. MOMENTO ZERO: RECEPÇÃO E PREPARAÇÃO INICIAL NO LABORATÓRIO</w:t>
      </w:r>
    </w:p>
    <w:p w14:paraId="35B0EE9E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1"/>
        </w:rPr>
        <w:t xml:space="preserve">2.1 Recepção e Status Documental: </w:t>
      </w:r>
      <w:r>
        <w:rPr>
          <w:rFonts w:ascii="Arial" w:hAnsi="Arial"/>
          <w:b w:val="0"/>
          <w:color w:val="000000"/>
          <w:sz w:val="21"/>
        </w:rPr>
        <w:t>O participante deve comparecer com agendamento oficial prévio e validação ética (TCLE e PAR-Q assinados e validados na Tabela Mestre, conforme o POP 00 – Recrutamento, Triagem e Consentimento).</w:t>
      </w:r>
    </w:p>
    <w:p w14:paraId="1E53AE1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1"/>
        </w:rPr>
        <w:t xml:space="preserve">2.2 Confirmação Rápida de Elegibilidade: </w:t>
      </w:r>
      <w:r>
        <w:rPr>
          <w:rFonts w:ascii="Arial" w:hAnsi="Arial"/>
          <w:b w:val="0"/>
          <w:color w:val="000000"/>
          <w:sz w:val="21"/>
        </w:rPr>
        <w:t>Prática regular há pelo menos 3 meses de modalidade com Handstand, sustentação livre &gt;= 3s ou &gt;= 3 passadas no HSW, e ausência de lesão articular ativa nos membros superiores nos últimos 12 meses.</w:t>
      </w:r>
    </w:p>
    <w:p w14:paraId="7914282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1"/>
        </w:rPr>
        <w:t xml:space="preserve">2.3 Critérios Fisiológicos Pré-Teste: </w:t>
      </w:r>
      <w:r>
        <w:rPr>
          <w:rFonts w:ascii="Arial" w:hAnsi="Arial"/>
          <w:b w:val="0"/>
          <w:color w:val="000000"/>
          <w:sz w:val="21"/>
        </w:rPr>
        <w:t>Ausência de treinos vigorosos nas últimas 48 horas; jejum prévio de 4 horas; ausência de consumo de álcool ou cafeína nas 24 horas antecedentes.</w:t>
      </w:r>
    </w:p>
    <w:p w14:paraId="261C876E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1"/>
        </w:rPr>
        <w:t xml:space="preserve">2.4 Preparação para Bioimpedância: </w:t>
      </w:r>
      <w:r>
        <w:rPr>
          <w:rFonts w:ascii="Arial" w:hAnsi="Arial"/>
          <w:b w:val="0"/>
          <w:color w:val="000000"/>
          <w:sz w:val="21"/>
        </w:rPr>
        <w:t>Esvaziamento vesical imediato no sanitário; remoção completa de adornos metálicos (relógios, anéis, piercings) e sapatos/meias; uso de vestimenta esportiva leve.</w:t>
      </w:r>
    </w:p>
    <w:p w14:paraId="7C62A53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1"/>
        </w:rPr>
        <w:t xml:space="preserve">2.5 Antropometria Básica: </w:t>
      </w:r>
      <w:r>
        <w:rPr>
          <w:rFonts w:ascii="Arial" w:hAnsi="Arial"/>
          <w:b w:val="0"/>
          <w:color w:val="000000"/>
          <w:sz w:val="21"/>
        </w:rPr>
        <w:t>Aferição da Estatura em estadiômetro de precisão (0,1 cm) e Massa Corporal em balança digital calibrada (0,1 kg), registradas na planilha de campo.</w:t>
      </w:r>
    </w:p>
    <w:p w14:paraId="0DFD3B33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3. FLUXOGRAMA E ORDEM PADRONIZADA DOS TESTES</w:t>
      </w:r>
    </w:p>
    <w:p w14:paraId="3F0A4E2E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i w:val="0"/>
          <w:color w:val="auto"/>
          <w:sz w:val="21"/>
        </w:rPr>
        <w:t>A sequência dos testes respeita rigorosamente a janela de fadiga neuromuscular decrescente e a ressíntese metabólica de substratos (fosfocreatina):</w:t>
      </w:r>
    </w:p>
    <w:p w14:paraId="0C1A193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 w:val="0"/>
          <w:color w:val="000000"/>
          <w:sz w:val="21"/>
        </w:rPr>
        <w:t>Momento Zero -&gt; Recepção, Verificação Documental e Antropometria Básica.</w:t>
      </w:r>
    </w:p>
    <w:p w14:paraId="2D94B41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1 -&gt; Calibração e Bioimpedância Elétrica Tetrapolar Sanny BIA1011AF (sem qualquer fadiga prévia).</w:t>
      </w:r>
    </w:p>
    <w:p w14:paraId="63B8E2ED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2 -&gt; Força de Preensão Manual Saehan/Jamar (3 CVMs bilaterais com 60s de intervalo). [Intervalo de 2 min]</w:t>
      </w:r>
    </w:p>
    <w:p w14:paraId="0C7CA9E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3 -&gt; Dinamometria Isocinética/Isométrica de Punho Biodex PRO a 70° (3 CVMs bilaterais com 60s de intervalo). [Intervalo de 5 min]</w:t>
      </w:r>
    </w:p>
    <w:p w14:paraId="4EC6FC1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4 -&gt; Teste de 1-RM no Shoulder Press (Progressão com 3 min de intervalo passivo). [Intervalo de 5 min pós-Biodex]</w:t>
      </w:r>
    </w:p>
    <w:p w14:paraId="1DE1ADE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5 -&gt; Resistência Invertida Wall-Supported Handstand a 20 cm (2 tentativas com 5 min de descanso). [Intervalo obrigatório de 8 min pós-1RM]</w:t>
      </w:r>
    </w:p>
    <w:p w14:paraId="4A960A25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4. PROTOCOLOS DETALHADOS POR ETAPA</w:t>
      </w:r>
    </w:p>
    <w:p w14:paraId="0D1DB28F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1 – Bioimpedância Elétrica Tetrapolar (Sanny BIA1011AF &amp; BIOSANNY-X)</w:t>
      </w:r>
    </w:p>
    <w:p w14:paraId="229D5D54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Bioimpedância Elétrica Tetrapolar AF Sanny, modelo BIA1011AF (Sanny Medical / American Medical do Brasil, São Bernardo do Campo, SP; Reg. ANVISA: 81540240002).</w:t>
      </w:r>
    </w:p>
    <w:p w14:paraId="4F753E5E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Kyle et al. (2004); Lukaski et al. (1986); Heyward &amp; Stolarczyk (1996).</w:t>
      </w:r>
    </w:p>
    <w:p w14:paraId="28F13D4D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4.1 </w:t>
      </w:r>
      <w:r>
        <w:rPr>
          <w:rFonts w:hint="default" w:ascii="Arial" w:hAnsi="Arial" w:cs="Arial"/>
          <w:i w:val="0"/>
          <w:color w:val="auto"/>
          <w:sz w:val="21"/>
        </w:rPr>
        <w:t>Rotina de Calibração Prévia do Equipamento (Diária):</w:t>
      </w:r>
    </w:p>
    <w:p w14:paraId="3F19B4A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Conexão do Calibrador: </w:t>
      </w:r>
      <w:r>
        <w:rPr>
          <w:rFonts w:hint="default" w:ascii="Arial" w:hAnsi="Arial" w:cs="Arial"/>
          <w:color w:val="auto"/>
          <w:sz w:val="21"/>
        </w:rPr>
        <w:t xml:space="preserve"> Antes de iniciar as coletas do dia, ligar o equipamento e conectar os cabos de teste ao calibrador/resistor padrão de precisão fornecido pelo fabricante (placa de teste de 500 ohms ± 1%).</w:t>
      </w:r>
    </w:p>
    <w:p w14:paraId="711DCFBA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Disparo de Teste: </w:t>
      </w:r>
      <w:r>
        <w:rPr>
          <w:rFonts w:hint="default" w:ascii="Arial" w:hAnsi="Arial" w:cs="Arial"/>
          <w:color w:val="auto"/>
          <w:sz w:val="21"/>
        </w:rPr>
        <w:t xml:space="preserve"> Executar a rotina de teste de calibração no software oficial BIOSANNY-X.</w:t>
      </w:r>
    </w:p>
    <w:p w14:paraId="2E4DFEE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Critério de Aceite: </w:t>
      </w:r>
      <w:r>
        <w:rPr>
          <w:rFonts w:hint="default" w:ascii="Arial" w:hAnsi="Arial" w:cs="Arial"/>
          <w:color w:val="auto"/>
          <w:sz w:val="21"/>
        </w:rPr>
        <w:t xml:space="preserve"> O valor de Resistência (R) lido deve estar estritamente dentro da faixa de tolerância aceitável de 500 ± 2 ohms, e a Reatância (Xc) em 0 ± 1 ohm. A confirmação da leitura atesta a precisão dos canais eletrônicos e a integridade dos cabos condutores.</w:t>
      </w:r>
    </w:p>
    <w:p w14:paraId="0835193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Estabilidade: </w:t>
      </w:r>
      <w:r>
        <w:rPr>
          <w:rFonts w:hint="default" w:ascii="Arial" w:hAnsi="Arial" w:cs="Arial"/>
          <w:color w:val="auto"/>
          <w:sz w:val="21"/>
        </w:rPr>
        <w:t xml:space="preserve"> Caso ocorra oscilação superior a 1%, inspecionar as conexões dos pinos e repetir o teste antes de conectar em voluntários humanos.</w:t>
      </w:r>
    </w:p>
    <w:p w14:paraId="0CBE9188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4.2 </w:t>
      </w:r>
      <w:r>
        <w:rPr>
          <w:rFonts w:hint="default" w:ascii="Arial" w:hAnsi="Arial" w:cs="Arial"/>
          <w:i w:val="0"/>
          <w:color w:val="auto"/>
          <w:sz w:val="21"/>
        </w:rPr>
        <w:t>Procedimento Minucioso no Participante:</w:t>
      </w:r>
    </w:p>
    <w:p w14:paraId="70EEF1A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Posicionamento: </w:t>
      </w:r>
      <w:r>
        <w:rPr>
          <w:rFonts w:hint="default" w:ascii="Arial" w:hAnsi="Arial" w:cs="Arial"/>
          <w:color w:val="auto"/>
          <w:sz w:val="21"/>
        </w:rPr>
        <w:t xml:space="preserve"> Participante em decúbito dorsal (supino) confortável sobre maca isolada não condutora.</w:t>
      </w:r>
    </w:p>
    <w:p w14:paraId="411728A0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Afastamento Segmentar: </w:t>
      </w:r>
      <w:r>
        <w:rPr>
          <w:rFonts w:hint="default" w:ascii="Arial" w:hAnsi="Arial" w:cs="Arial"/>
          <w:color w:val="auto"/>
          <w:sz w:val="21"/>
        </w:rPr>
        <w:t xml:space="preserve"> Braços abduzidos a 30° do tronco e membros inferiores afastados a 45° entre si, garantindo ausência total de contato pele com pele entre coxas ou entre braços e tronco.</w:t>
      </w:r>
    </w:p>
    <w:p w14:paraId="2CBD22D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Repouso de Estabilização: </w:t>
      </w:r>
      <w:r>
        <w:rPr>
          <w:rFonts w:hint="default" w:ascii="Arial" w:hAnsi="Arial" w:cs="Arial"/>
          <w:color w:val="auto"/>
          <w:sz w:val="21"/>
        </w:rPr>
        <w:t xml:space="preserve"> O participante deve permanecer em repouso passivo imóvel na maca por 5 a 10 minutos antes da passagem da corrente, para estabilização e redistribuição homogênea dos fluidos corporais.</w:t>
      </w:r>
    </w:p>
    <w:p w14:paraId="7959D038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Assepsia: </w:t>
      </w:r>
      <w:r>
        <w:rPr>
          <w:rFonts w:hint="default" w:ascii="Arial" w:hAnsi="Arial" w:cs="Arial"/>
          <w:color w:val="auto"/>
          <w:sz w:val="21"/>
        </w:rPr>
        <w:t xml:space="preserve"> Assepsia cuidadosa dos locais anatômicos com algodão embebido em álcool a 70% e secagem suave.</w:t>
      </w:r>
    </w:p>
    <w:p w14:paraId="3DD96258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Eletrodos: </w:t>
      </w:r>
      <w:r>
        <w:rPr>
          <w:rFonts w:hint="default" w:ascii="Arial" w:hAnsi="Arial" w:cs="Arial"/>
          <w:color w:val="auto"/>
          <w:sz w:val="21"/>
        </w:rPr>
        <w:t xml:space="preserve"> Fixar 4 eletrodos adesivos descartáveis de prata/cloreto de prata (Ag/AgCl) no hemicorpo direito: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Punho Direito: Eletrodo sensor proximal sobre a linha radiocárpica dorsal; Eletrodo injetor distal na base da 3ª articulação metacarpofalângica (distância intereletrodo padrão = 5 cm).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Tornozelo Direito: Eletrodo sensor proximal sobre a linha intermaleolar dorsal; Eletrodo injetor distal na base da 3ª articulação metatarsofalângica (distância = 5 cm).</w:t>
      </w:r>
    </w:p>
    <w:p w14:paraId="1D9B22E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Disparo: </w:t>
      </w:r>
      <w:r>
        <w:rPr>
          <w:rFonts w:hint="default" w:ascii="Arial" w:hAnsi="Arial" w:cs="Arial"/>
          <w:color w:val="auto"/>
          <w:sz w:val="21"/>
        </w:rPr>
        <w:t xml:space="preserve"> Conectar as garras condutoras e disparar a medição de corrente alternada (50 kHz, 800 uA) no software oficial BIOSANNY-X.</w:t>
      </w:r>
    </w:p>
    <w:p w14:paraId="390EBAC1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7. Variáveis Retidas: </w:t>
      </w:r>
      <w:r>
        <w:rPr>
          <w:rFonts w:hint="default" w:ascii="Arial" w:hAnsi="Arial" w:cs="Arial"/>
          <w:color w:val="auto"/>
          <w:sz w:val="21"/>
        </w:rPr>
        <w:t xml:space="preserve"> Resistência (R, ohms), Reatância (Xc, ohms), Ângulo de Fase (AF, graus), Massa Livre de Gordura (kg), Massa Gorda (kg) e Percentual de Gordura Corporal (%G).</w:t>
      </w:r>
    </w:p>
    <w:p w14:paraId="00C2798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8. Exportação Digital: </w:t>
      </w:r>
      <w:r>
        <w:rPr>
          <w:rFonts w:hint="default" w:ascii="Arial" w:hAnsi="Arial" w:cs="Arial"/>
          <w:color w:val="auto"/>
          <w:sz w:val="21"/>
        </w:rPr>
        <w:t xml:space="preserve"> Exportar o relatório oficial em PDF e salvar na pasta dados_brutos como [ID]_sanny.pdf (ex.: P001_sanny.pdf).</w:t>
      </w:r>
    </w:p>
    <w:p w14:paraId="304E6E46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2 – Força de Preensão Manual (FPM – Saehan/Jamar)</w:t>
      </w:r>
    </w:p>
    <w:p w14:paraId="4C7B8477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Dinamômetro hidráulico portátil (Saehan Corporation, modelo SH5001, Changwon, Coreia do Sul – modelo calibrado validado e equivalente ao Jamar®).</w:t>
      </w:r>
    </w:p>
    <w:p w14:paraId="22D83A51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Diretrizes da American Society of Hand Therapists (ASHT); Mathiowetz (2002); Roberts et al. (2011); Jaric (2002).</w:t>
      </w:r>
    </w:p>
    <w:p w14:paraId="19F7897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 Padronizado: </w:t>
      </w:r>
      <w:r>
        <w:rPr>
          <w:rFonts w:hint="default" w:ascii="Arial" w:hAnsi="Arial" w:cs="Arial"/>
          <w:color w:val="auto"/>
          <w:sz w:val="21"/>
        </w:rPr>
        <w:t xml:space="preserve"> Participante sentado em cadeira sem braços, coluna ereta totalmente apoiada no encosto, pés planos no solo. Ombro aduzido em rotação neutra, cotovelo flexionado rigidamente a 90° junto ao tronco, antebraço em posição neutra (polegar voltado para cima). O antebraço e a mão não devem tocar em nenhuma superfície de apoio.</w:t>
      </w:r>
    </w:p>
    <w:p w14:paraId="3C53F61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Ajuste do Dinamômetro: </w:t>
      </w:r>
      <w:r>
        <w:rPr>
          <w:rFonts w:hint="default" w:ascii="Arial" w:hAnsi="Arial" w:cs="Arial"/>
          <w:color w:val="auto"/>
          <w:sz w:val="21"/>
        </w:rPr>
        <w:t xml:space="preserve"> Manopla móvel ajustada na 2ª posição padrão (~4,7 cm de abertura). Ponteiro de pico analógico zerado antes de cada esforço.</w:t>
      </w:r>
    </w:p>
    <w:p w14:paraId="769FB67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Protocolo de Teste: </w:t>
      </w:r>
      <w:r>
        <w:rPr>
          <w:rFonts w:hint="default" w:ascii="Arial" w:hAnsi="Arial" w:cs="Arial"/>
          <w:color w:val="auto"/>
          <w:sz w:val="21"/>
        </w:rPr>
        <w:t xml:space="preserve"> Executar 3 contrações voluntárias máximas (CVM) de 3 a 5 segundos por membro, alternando entre membro Dominante e Não-Dominante.</w:t>
      </w:r>
    </w:p>
    <w:p w14:paraId="656CD43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Intervalo de Recuperação: </w:t>
      </w:r>
      <w:r>
        <w:rPr>
          <w:rFonts w:hint="default" w:ascii="Arial" w:hAnsi="Arial" w:cs="Arial"/>
          <w:color w:val="auto"/>
          <w:sz w:val="21"/>
        </w:rPr>
        <w:t xml:space="preserve"> Intervalo obrigatório de 60 segundos de repouso passivo entre as tentativas no mesmo membro.</w:t>
      </w:r>
    </w:p>
    <w:p w14:paraId="459FC62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>5. Comando Verbal Padronizado</w:t>
      </w:r>
    </w:p>
    <w:p w14:paraId="3ED5D97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Registro: </w:t>
      </w:r>
      <w:r>
        <w:rPr>
          <w:rFonts w:hint="default" w:ascii="Arial" w:hAnsi="Arial" w:cs="Arial"/>
          <w:color w:val="auto"/>
          <w:sz w:val="21"/>
        </w:rPr>
        <w:t xml:space="preserve"> Registrar os valores de cada tentativa na PLANILHA_COLETA_CAMPO_LACIDH.xlsx. O sistema retém o maior pico de força (kgf) e </w:t>
      </w:r>
      <w:bookmarkStart w:id="0" w:name="_GoBack"/>
      <w:bookmarkEnd w:id="0"/>
      <w:r>
        <w:rPr>
          <w:rFonts w:hint="default" w:ascii="Arial" w:hAnsi="Arial" w:cs="Arial"/>
          <w:color w:val="auto"/>
          <w:sz w:val="21"/>
        </w:rPr>
        <w:t>calcula o Índice de Simetria LSI (%).</w:t>
      </w:r>
    </w:p>
    <w:p w14:paraId="32335FB2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3 – Dinamometria Isocinética/Isométrica de Punho (Biodex Multi-Joint System PRO)</w:t>
      </w:r>
    </w:p>
    <w:p w14:paraId="786C0697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Dinamômetro Isocinético/Isométrico Multarticular (Biodex Multi-Joint System PRO, Biodex Medical Systems, Shirley, NY, EUA).</w:t>
      </w:r>
    </w:p>
    <w:p w14:paraId="1609DECC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lang w:val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38100</wp:posOffset>
            </wp:positionV>
            <wp:extent cx="2242820" cy="3101975"/>
            <wp:effectExtent l="0" t="0" r="5080" b="9525"/>
            <wp:wrapSquare wrapText="bothSides"/>
            <wp:docPr id="1" name="Imagem 1" descr="WhatsApp Image 2026-09-02 at 15.47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WhatsApp Image 2026-09-02 at 15.47.33"/>
                    <pic:cNvPicPr>
                      <a:picLocks noChangeAspect="1"/>
                    </pic:cNvPicPr>
                  </pic:nvPicPr>
                  <pic:blipFill>
                    <a:blip r:embed="rId6"/>
                    <a:srcRect t="8463" r="9714" b="10001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Kerwin &amp; Trewartha (2001); Rohleder &amp; Vogt (2018, 2019); Dvir (2004); Brown (2000); Bishop et al. (2018).</w:t>
      </w:r>
    </w:p>
    <w:p w14:paraId="34F172A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Configuração da Cadeira: </w:t>
      </w:r>
      <w:r>
        <w:rPr>
          <w:rFonts w:hint="default" w:ascii="Arial" w:hAnsi="Arial" w:cs="Arial"/>
          <w:color w:val="auto"/>
          <w:sz w:val="21"/>
        </w:rPr>
        <w:t xml:space="preserve"> Cadeira ajustada com encosto a 85°. O participante é estabilizado rigidamente por meio de cintos cruzados peitorais e cinto pélvico para eliminar compensações do tronco.</w:t>
      </w:r>
    </w:p>
    <w:p w14:paraId="35CCCC3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Posicionamento do Membro: </w:t>
      </w:r>
      <w:r>
        <w:rPr>
          <w:rFonts w:hint="default" w:ascii="Arial" w:hAnsi="Arial" w:cs="Arial"/>
          <w:color w:val="auto"/>
          <w:sz w:val="21"/>
        </w:rPr>
        <w:t xml:space="preserve"> Antebraço do membro testado posicionado na calha acolchoada em pronação total, com cotovelo flexionado a 90°. Fixação rígida por cintas inelásticas de velcro para isolar a musculatura do punho, impedindo a ação dos flexores de cotovelo e ombro.</w:t>
      </w:r>
    </w:p>
    <w:p w14:paraId="40E46AC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Alinhamento Articular: </w:t>
      </w:r>
      <w:r>
        <w:rPr>
          <w:rFonts w:hint="default" w:ascii="Arial" w:hAnsi="Arial" w:cs="Arial"/>
          <w:color w:val="auto"/>
          <w:sz w:val="21"/>
        </w:rPr>
        <w:t xml:space="preserve"> O eixo mecânico do dinamômetro é alinhado rigorosamente ao eixo anatômico radiocárpico (linha bissecante entre os processos estiloides do rádio e da ulna, na altura do osso capitato).</w:t>
      </w:r>
    </w:p>
    <w:p w14:paraId="2F49E8E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Ajuste Angular Funcional: </w:t>
      </w:r>
      <w:r>
        <w:rPr>
          <w:rFonts w:hint="default" w:ascii="Arial" w:hAnsi="Arial" w:cs="Arial"/>
          <w:color w:val="auto"/>
          <w:sz w:val="21"/>
        </w:rPr>
        <w:t xml:space="preserve"> A alavanca de esforço (wrist attachment) é travada em modo isométrico no ângulo funcional de 70° de extensão de punho, reproduzindo com alta fidelidade a estratégia de punho (wrist strategy) durante o handstand.</w:t>
      </w:r>
    </w:p>
    <w:p w14:paraId="5B82FE6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Calibração de Gravidade: </w:t>
      </w:r>
      <w:r>
        <w:rPr>
          <w:rFonts w:hint="default" w:ascii="Arial" w:hAnsi="Arial" w:cs="Arial"/>
          <w:color w:val="auto"/>
          <w:sz w:val="21"/>
        </w:rPr>
        <w:t xml:space="preserve"> Executar a calibração automática de correção do peso do membro e da alavanca (Gravity Correction) e definição do zero anatômico no software Biodex Advantage.</w:t>
      </w:r>
    </w:p>
    <w:p w14:paraId="5FCAFE8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Protocolo de Teste: </w:t>
      </w:r>
      <w:r>
        <w:rPr>
          <w:rFonts w:hint="default" w:ascii="Arial" w:hAnsi="Arial" w:cs="Arial"/>
          <w:color w:val="auto"/>
          <w:sz w:val="21"/>
        </w:rPr>
        <w:t xml:space="preserve"> 1 contração submáxima de familiarização (~50% do esforço), seguida por 3 CVMs de flexão isométrica de punho com duração de 5 segundos cada, realizadas bilateralmente (Dominante e Não-Dominante).</w:t>
      </w:r>
    </w:p>
    <w:p w14:paraId="4AEE015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7. Intervalo: </w:t>
      </w:r>
      <w:r>
        <w:rPr>
          <w:rFonts w:hint="default" w:ascii="Arial" w:hAnsi="Arial" w:cs="Arial"/>
          <w:color w:val="auto"/>
          <w:sz w:val="21"/>
        </w:rPr>
        <w:t xml:space="preserve"> 60 segundos de repouso passivo entre as contrações no mesmo membro.</w:t>
      </w:r>
    </w:p>
    <w:p w14:paraId="3E7262E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>8. Comando Verbal Padronizado</w:t>
      </w:r>
    </w:p>
    <w:p w14:paraId="1CD7739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9. Exportação Digital: </w:t>
      </w:r>
      <w:r>
        <w:rPr>
          <w:rFonts w:hint="default" w:ascii="Arial" w:hAnsi="Arial" w:cs="Arial"/>
          <w:color w:val="auto"/>
          <w:sz w:val="21"/>
        </w:rPr>
        <w:t xml:space="preserve"> Exportar o relatório completo em PDF como [ID]_biodex.pdf (ex.: P001_biodex.pdf).</w:t>
      </w:r>
    </w:p>
    <w:p w14:paraId="521EAB10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10. Intervalo Pós-Teste Obrigatório: </w:t>
      </w:r>
      <w:r>
        <w:rPr>
          <w:rFonts w:hint="default" w:ascii="Arial" w:hAnsi="Arial" w:cs="Arial"/>
          <w:color w:val="auto"/>
          <w:sz w:val="21"/>
        </w:rPr>
        <w:t xml:space="preserve"> 5 minutos de repouso passivo completo antes de iniciar o aquecimento do teste de 1-RM.</w:t>
      </w:r>
    </w:p>
    <w:p w14:paraId="62DA0DC9">
      <w:pPr>
        <w:pStyle w:val="34"/>
        <w:numPr>
          <w:ilvl w:val="0"/>
          <w:numId w:val="0"/>
        </w:numPr>
        <w:spacing w:after="60" w:line="276" w:lineRule="auto"/>
        <w:ind w:leftChars="0"/>
        <w:jc w:val="both"/>
        <w:rPr>
          <w:rFonts w:hint="default" w:ascii="Arial" w:hAnsi="Arial" w:cs="Arial"/>
          <w:color w:val="auto"/>
          <w:lang w:val="pt-BR"/>
        </w:rPr>
      </w:pPr>
    </w:p>
    <w:p w14:paraId="4B70908D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4 – Teste de 1 Repetição Máxima (1-RM) no Shoulder Press (SP)</w:t>
      </w:r>
    </w:p>
    <w:p w14:paraId="3EA49515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Barra olímpica oficial (FlexFit®, 20 kg masculina, 15 kg ou 10 kg feminina), anilhas olímpicas calibradas e travas de segurança (collars).</w:t>
      </w:r>
    </w:p>
    <w:p w14:paraId="2DE7CC06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Haff &amp; Triplett (2021); ACSM (2026); Dias et al. (2005); Soriano et al. (2019); Lemos (2024).</w:t>
      </w:r>
    </w:p>
    <w:p w14:paraId="4BB3CE1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 Inicial: </w:t>
      </w:r>
      <w:r>
        <w:rPr>
          <w:rFonts w:hint="default" w:ascii="Arial" w:hAnsi="Arial" w:cs="Arial"/>
          <w:color w:val="auto"/>
          <w:sz w:val="21"/>
        </w:rPr>
        <w:t xml:space="preserve"> Participante em pé, pés paralelos na largura do quadril, glúteos e abdômen em contração isométrica ativa. Pegada na barra em pronação, ligeiramente além da largura dos ombros. Barra apoiada na clavícula/peitoral superior (posição rack anterior).</w:t>
      </w:r>
    </w:p>
    <w:p w14:paraId="71B686C5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Validação da Técnica Estrita: </w:t>
      </w:r>
      <w:r>
        <w:rPr>
          <w:rFonts w:hint="default" w:ascii="Arial" w:hAnsi="Arial" w:cs="Arial"/>
          <w:color w:val="auto"/>
          <w:sz w:val="21"/>
        </w:rPr>
        <w:t xml:space="preserve"> A barra deve ser empurrada verticalmente acima da cabeça até a extensão total dos cotovelos com bloqueio estável. Critérios de repetição inválida: flexão de joelhos (push press), elevação dos calcanhares do solo ou hiperextensão lombar compensatória.</w:t>
      </w:r>
    </w:p>
    <w:p w14:paraId="31584852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Protocolo Progressivo de Carga: </w:t>
      </w:r>
      <w:r>
        <w:rPr>
          <w:rFonts w:hint="default" w:ascii="Arial" w:hAnsi="Arial" w:cs="Arial"/>
          <w:color w:val="auto"/>
          <w:sz w:val="21"/>
        </w:rPr>
        <w:t xml:space="preserve"> A progressão de cargas é calculada automaticamente na PLANILHA_COLETA_CAMPO_LACIDH.xlsx: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Aquecimento Específico: 10 repetições apenas com a barra olímpica (20 kg masc / 15 kg fem).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Estágio 1 (50% da 1-RM prévia ou 40% da massa corporal): 1 a 3 repetições para adaptação e ajuste de pegada.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Estágios 2 a 5 (60%, 70%, 80%, 90% e 100% da estimativa): Apenas 1 repetição estrita por estágio, com o objetivo fisiológico de proporcionar Potenciação Pós-Ativação (PAP) sem acúmulo de fadiga periférica nos deltoides e tríceps.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Ajuste Fino: Se falhar em 100%, repouso de 3 min e nova tentativa com redução de 5%; Se completar com facilidade em 100%, acréscimo progressivo de 5% até a carga máxima real.</w:t>
      </w:r>
    </w:p>
    <w:p w14:paraId="5BEE815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Intervalo entre Estágios: </w:t>
      </w:r>
      <w:r>
        <w:rPr>
          <w:rFonts w:hint="default" w:ascii="Arial" w:hAnsi="Arial" w:cs="Arial"/>
          <w:color w:val="auto"/>
          <w:sz w:val="21"/>
        </w:rPr>
        <w:t xml:space="preserve"> 3 minutos de repouso passivo total entre cada tentativa.</w:t>
      </w:r>
    </w:p>
    <w:p w14:paraId="23B08C6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Registro: </w:t>
      </w:r>
      <w:r>
        <w:rPr>
          <w:rFonts w:hint="default" w:ascii="Arial" w:hAnsi="Arial" w:cs="Arial"/>
          <w:color w:val="auto"/>
          <w:sz w:val="21"/>
        </w:rPr>
        <w:t xml:space="preserve"> Carga máxima absoluta validada com técnica estrita (em kg, somando barra + anilhas) digitada na coluna correspondente da planilha.</w:t>
      </w:r>
    </w:p>
    <w:p w14:paraId="1F9B0552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Intervalo Pós-Teste Obrigatório: </w:t>
      </w:r>
      <w:r>
        <w:rPr>
          <w:rFonts w:hint="default" w:ascii="Arial" w:hAnsi="Arial" w:cs="Arial"/>
          <w:color w:val="auto"/>
          <w:sz w:val="21"/>
        </w:rPr>
        <w:t xml:space="preserve"> 8 minutos de repouso passivo total cronometrados para permitir a ressíntese plena dos estoques intramusculares de fosfocreatina (PCr) antes do teste final de resistência.</w:t>
      </w:r>
    </w:p>
    <w:p w14:paraId="2E8862E8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5 – Teste de Resistência em Posição Invertida (Wall-Supported Handstand)</w:t>
      </w:r>
    </w:p>
    <w:p w14:paraId="790A72B3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Parede lisa vertical livre de obstáculos, fita adesiva métrica demarcatória no solo, cronômetro digital centesimal (Casio®, modelo HS-80TW-BU, Tóquio, Japão).</w:t>
      </w:r>
    </w:p>
    <w:p w14:paraId="7715CFB4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Hedbávný et al. (2013); Sabido et al. (2024); Sands et al. (2016); ACSM (2026).</w:t>
      </w:r>
    </w:p>
    <w:p w14:paraId="555B52C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Demarcação e Entrada: </w:t>
      </w:r>
      <w:r>
        <w:rPr>
          <w:rFonts w:hint="default" w:ascii="Arial" w:hAnsi="Arial" w:cs="Arial"/>
          <w:color w:val="auto"/>
          <w:sz w:val="21"/>
        </w:rPr>
        <w:t xml:space="preserve"> Fita adesiva fixada no solo demarcando exatamente 20 cm de distância da parede. O participante realiza a subida pela parede (wall-walk) posicionando as mãos na largura dos ombros com as pontas dos dedos sobre a fita, assumindo a postura com o ventre voltado para a parede (Chest-to-Wall / Belly-to-Wall).</w:t>
      </w:r>
    </w:p>
    <w:p w14:paraId="1269A02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Fundamentação Biomecânica dos 20 cm: </w:t>
      </w:r>
      <w:r>
        <w:rPr>
          <w:rFonts w:hint="default" w:ascii="Arial" w:hAnsi="Arial" w:cs="Arial"/>
          <w:color w:val="auto"/>
          <w:sz w:val="21"/>
        </w:rPr>
        <w:t xml:space="preserve"> A distância de 20 cm combinada à posição Belly-to-Wall garante um alinhamento angular de 88° a 90° em relação ao solo (&gt;98% do peso sustentado verticalmente pelos braços), impedindo que o participante encoste o peito ou quadril na parede e evitando a compensação em hiperlordose lombar ('postura banana'). Apenas o dorso e as pontas dos dedos dos pés mantêm contato sutil com a parede.</w:t>
      </w:r>
    </w:p>
    <w:p w14:paraId="5D9C714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Execução: </w:t>
      </w:r>
      <w:r>
        <w:rPr>
          <w:rFonts w:hint="default" w:ascii="Arial" w:hAnsi="Arial" w:cs="Arial"/>
          <w:color w:val="auto"/>
          <w:sz w:val="21"/>
        </w:rPr>
        <w:t xml:space="preserve"> O cronômetro é acionado no instante em que o corpo atinge o alinhamento vertical estável. O voluntário sustenta a postura até a exaustão voluntária máxima.</w:t>
      </w:r>
    </w:p>
    <w:p w14:paraId="7627F66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Critérios de Interrupção Imediata: </w:t>
      </w:r>
      <w:r>
        <w:rPr>
          <w:rFonts w:hint="default" w:ascii="Arial" w:hAnsi="Arial" w:cs="Arial"/>
          <w:color w:val="auto"/>
          <w:sz w:val="21"/>
        </w:rPr>
        <w:t xml:space="preserve"> (a) Flexão visível de cotovelos superior a 15°; (b) Perda do contato dos pés com a parede; (c) Colapso escapular com toque do tronco na parede; (d) Término voluntário por fadiga.</w:t>
      </w:r>
    </w:p>
    <w:p w14:paraId="780B3A2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Tentativas e Intervalo: </w:t>
      </w:r>
      <w:r>
        <w:rPr>
          <w:rFonts w:hint="default" w:ascii="Arial" w:hAnsi="Arial" w:cs="Arial"/>
          <w:color w:val="auto"/>
          <w:sz w:val="21"/>
        </w:rPr>
        <w:t xml:space="preserve"> Serão realizadas 2 tentativas máximas intercaladas por 5 minutos de recuperação passiva completa. O tempo é registrado em segundos (com centésimos) e o maior valor é retido.</w:t>
      </w:r>
    </w:p>
    <w:p w14:paraId="1F2408BD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5. EQUAÇÕES DE NORMALIZAÇÃO E ÍNDICES CALCULADOS</w:t>
      </w:r>
    </w:p>
    <w:p w14:paraId="35FF9E71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1-RM Relativo (kg/kg) = Carga Máxima no SP (kg) / Massa Corporal Total (kg)</w:t>
      </w:r>
    </w:p>
    <w:p w14:paraId="53B34C4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Pico de Torque Relativo (N.m/kg) = Pico de Torque Máximo no Biodex (N.m) / Massa Corporal (kg)</w:t>
      </w:r>
    </w:p>
    <w:p w14:paraId="6110391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Simetria de Membros no Biodex: LSI_FFP (%) = (Pico Não-Dominante / Pico Dominante) * 100</w:t>
      </w:r>
    </w:p>
    <w:p w14:paraId="5B38B1F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Força de Preensão Manual Relativa (kgf/kg) = Maior FPM Global (kgf) / Massa Corporal (kg)</w:t>
      </w:r>
    </w:p>
    <w:p w14:paraId="3442260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Simetria na Preensão: LSI_FPM (%) = (FPM Não-Dominante / FPM Dominante) * 100</w:t>
      </w:r>
    </w:p>
    <w:p w14:paraId="06742E1D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Massa Corporal: IMC (kg/m²) = Massa Corporal (kg) / [Estatura (m)]²</w:t>
      </w:r>
    </w:p>
    <w:p w14:paraId="3F82AB0A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6. CHECKLIST OPERACIONAL E ROTINA DE PROCESSAMENTO</w:t>
      </w:r>
    </w:p>
    <w:p w14:paraId="6677EC92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Registro Digital em Campo: </w:t>
      </w:r>
      <w:r>
        <w:rPr>
          <w:rFonts w:hint="default" w:ascii="Arial" w:hAnsi="Arial" w:cs="Arial"/>
          <w:color w:val="auto"/>
          <w:sz w:val="21"/>
        </w:rPr>
        <w:t xml:space="preserve"> Digitar os dados da coleta diretamente na PLANILHA_COLETA_CAMPO_LACIDH.xlsx (na pasta dados_brutos).</w:t>
      </w:r>
    </w:p>
    <w:p w14:paraId="1CDFAEE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Backup dos Relatórios Digitais: </w:t>
      </w:r>
      <w:r>
        <w:rPr>
          <w:rFonts w:hint="default" w:ascii="Arial" w:hAnsi="Arial" w:cs="Arial"/>
          <w:color w:val="auto"/>
          <w:sz w:val="21"/>
        </w:rPr>
        <w:t xml:space="preserve"> Confirmar o salvamento dos relatórios oficiais exportados como [ID]_sanny.pdf e [ID]_biodex.pdf na pasta dados_brutos.</w:t>
      </w:r>
    </w:p>
    <w:p w14:paraId="738C1A75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Processamento Automático: </w:t>
      </w:r>
      <w:r>
        <w:rPr>
          <w:rFonts w:hint="default" w:ascii="Arial" w:hAnsi="Arial" w:cs="Arial"/>
          <w:color w:val="auto"/>
          <w:sz w:val="21"/>
        </w:rPr>
        <w:t xml:space="preserve"> Executar o script calcular_variaveis_forca_lacidh.py para consolidar automaticamente todas as variáveis na pasta resultados/.</w:t>
      </w:r>
    </w:p>
    <w:p w14:paraId="165DBB8A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ascii="Arial" w:hAnsi="Arial"/>
          <w:b/>
          <w:color w:val="000000"/>
          <w:sz w:val="21"/>
        </w:rPr>
        <w:t xml:space="preserve">4. Confirmação da Sessão 2: </w:t>
      </w:r>
      <w:r>
        <w:rPr>
          <w:rFonts w:ascii="Arial" w:hAnsi="Arial"/>
          <w:b w:val="0"/>
          <w:color w:val="000000"/>
          <w:sz w:val="21"/>
        </w:rPr>
        <w:t>Confirmar o comparecimento do participante para a Sessão 2 no LaBioCoM na data/horário previamente agendados no POP 00 (janela obrigatória de 48h a 7 dias).</w:t>
      </w:r>
    </w:p>
    <w:p w14:paraId="061D8561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7. REFERÊNCIAS BIBLIOGRÁFICAS COMPLETAS</w:t>
      </w:r>
    </w:p>
    <w:p w14:paraId="1F1C758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AMERICAN COLLEGE OF SPORTS MEDICINE (ACSM). </w:t>
      </w:r>
      <w:r>
        <w:rPr>
          <w:rFonts w:hint="default" w:ascii="Arial" w:hAnsi="Arial" w:cs="Arial"/>
          <w:color w:val="auto"/>
          <w:sz w:val="20"/>
        </w:rPr>
        <w:t>ACSM's Guidelines for Exercise Testing and Prescription. 11th ed. Philadelphia: Wolters Kluwer, 2022/2026.</w:t>
      </w:r>
    </w:p>
    <w:p w14:paraId="139738B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BISHOP, C. et al. </w:t>
      </w:r>
      <w:r>
        <w:rPr>
          <w:rFonts w:hint="default" w:ascii="Arial" w:hAnsi="Arial" w:cs="Arial"/>
          <w:color w:val="auto"/>
          <w:sz w:val="20"/>
        </w:rPr>
        <w:t>Interlimb asymmetries: are thresholds a reliable metric for distinguishing between injured and non-injured athletes? The Journal of Strength &amp; Conditioning Research, v. 32, n. 8, p. 2301-2309, 2018. DOI: 10.1519/JSC.0000000000002624.</w:t>
      </w:r>
    </w:p>
    <w:p w14:paraId="52259EFB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b/>
          <w:color w:val="auto"/>
          <w:sz w:val="20"/>
        </w:rPr>
        <w:t xml:space="preserve">BROWN, L. E. </w:t>
      </w:r>
      <w:r>
        <w:rPr>
          <w:rFonts w:hint="default" w:ascii="Arial" w:hAnsi="Arial" w:cs="Arial"/>
          <w:color w:val="auto"/>
          <w:sz w:val="20"/>
        </w:rPr>
        <w:t>Isokinetics in Human Performance. Champaign: Human Kinetics, 2000.</w:t>
      </w:r>
    </w:p>
    <w:p w14:paraId="0A2D8C28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b/>
          <w:bCs/>
          <w:color w:val="auto"/>
          <w:sz w:val="20"/>
        </w:rPr>
        <w:t>BIODEX MEDICAL SYSTEMS</w:t>
      </w:r>
      <w:r>
        <w:rPr>
          <w:rFonts w:hint="default" w:ascii="Arial" w:hAnsi="Arial" w:cs="Arial"/>
          <w:color w:val="auto"/>
          <w:sz w:val="20"/>
        </w:rPr>
        <w:t>. Biodex Multi-Joint System - PRO: setup/operation manual (FN: 08-262 Rev A). Shirley, NY: Biodex Medical Systems, Inc., 2011. 98 p.</w:t>
      </w:r>
    </w:p>
    <w:p w14:paraId="5BF975C1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DIAS, R. M. R. et al. </w:t>
      </w:r>
      <w:r>
        <w:rPr>
          <w:rFonts w:hint="default" w:ascii="Arial" w:hAnsi="Arial" w:cs="Arial"/>
          <w:color w:val="auto"/>
          <w:sz w:val="20"/>
        </w:rPr>
        <w:t>Influência do processo de familiarização para avaliação da força muscular em testes de 1-RM. Revista Brasileira de Medicina do Esporte, v. 11, n. 1, p. 34-38, 2005. DOI: 10.1590/S1517-86922005000100004.</w:t>
      </w:r>
    </w:p>
    <w:p w14:paraId="03957C00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DVIR, Z. </w:t>
      </w:r>
      <w:r>
        <w:rPr>
          <w:rFonts w:hint="default" w:ascii="Arial" w:hAnsi="Arial" w:cs="Arial"/>
          <w:color w:val="auto"/>
          <w:sz w:val="20"/>
        </w:rPr>
        <w:t>Isocinética: Avaliações Clínicas e Aplicações Terapêuticas. São Paulo: Manole, 2004.</w:t>
      </w:r>
    </w:p>
    <w:p w14:paraId="1097CF7D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HAFF, G. G.; TRIPLETT, N. T. </w:t>
      </w:r>
      <w:r>
        <w:rPr>
          <w:rFonts w:hint="default" w:ascii="Arial" w:hAnsi="Arial" w:cs="Arial"/>
          <w:color w:val="auto"/>
          <w:sz w:val="20"/>
        </w:rPr>
        <w:t>Essentials of Strength Training and Conditioning. 4th ed. National Strength and Conditioning Association (NSCA). Champaign: Human Kinetics, 2021.</w:t>
      </w:r>
    </w:p>
    <w:p w14:paraId="01639350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HEDBÁVNÝ, P. et al. </w:t>
      </w:r>
      <w:r>
        <w:rPr>
          <w:rFonts w:hint="default" w:ascii="Arial" w:hAnsi="Arial" w:cs="Arial"/>
          <w:color w:val="auto"/>
          <w:sz w:val="20"/>
        </w:rPr>
        <w:t>The relationship between strength abilities and handstand holding time on the floor in artistic gymnastics. Science of Gymnastics Journal, v. 5, n. 3, p. 37-46, 2013.</w:t>
      </w:r>
    </w:p>
    <w:p w14:paraId="2496BC73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HEYWARD, V. H.; STOLARCZYK, L. M. </w:t>
      </w:r>
      <w:r>
        <w:rPr>
          <w:rFonts w:hint="default" w:ascii="Arial" w:hAnsi="Arial" w:cs="Arial"/>
          <w:color w:val="auto"/>
          <w:sz w:val="20"/>
        </w:rPr>
        <w:t>Applied Body Composition Assessment. Champaign: Human Kinetics, 1996.</w:t>
      </w:r>
    </w:p>
    <w:p w14:paraId="2128F97F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JARIC, S. </w:t>
      </w:r>
      <w:r>
        <w:rPr>
          <w:rFonts w:hint="default" w:ascii="Arial" w:hAnsi="Arial" w:cs="Arial"/>
          <w:color w:val="auto"/>
          <w:sz w:val="20"/>
        </w:rPr>
        <w:t>Muscle strength testing: use of normalisation for body size. Sports Medicine, v. 32, n. 10, p. 615-631, 2002. DOI: 10.2165/00007256-200232100-00002.</w:t>
      </w:r>
    </w:p>
    <w:p w14:paraId="0D3620E9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KERWIN, D. G.; TREWARTHA, G. </w:t>
      </w:r>
      <w:r>
        <w:rPr>
          <w:rFonts w:hint="default" w:ascii="Arial" w:hAnsi="Arial" w:cs="Arial"/>
          <w:color w:val="auto"/>
          <w:sz w:val="20"/>
        </w:rPr>
        <w:t>Strategies for maintaining a handstand in the anterior-posterior direction. Sports Biomechanics, v. 1, n. 1, p. 79-96, 2001. DOI: 10.1080/14763140108522788.</w:t>
      </w:r>
    </w:p>
    <w:p w14:paraId="4C9F0489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KYLE, U. G. et al. </w:t>
      </w:r>
      <w:r>
        <w:rPr>
          <w:rFonts w:hint="default" w:ascii="Arial" w:hAnsi="Arial" w:cs="Arial"/>
          <w:color w:val="auto"/>
          <w:sz w:val="20"/>
        </w:rPr>
        <w:t>Bioelectrical impedance analysis—part I: review of principles and methods. Clinical Nutrition, v. 23, n. 5, p. 1226-1243, 2004. DOI: 10.1016/j.clnu.2004.06.004.</w:t>
      </w:r>
    </w:p>
    <w:p w14:paraId="20450AB2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LEMOS, G. D. P. </w:t>
      </w:r>
      <w:r>
        <w:rPr>
          <w:rFonts w:hint="default" w:ascii="Arial" w:hAnsi="Arial" w:cs="Arial"/>
          <w:color w:val="auto"/>
          <w:sz w:val="20"/>
        </w:rPr>
        <w:t>A força máxima no shoulder press relativa à massa corporal é uma medida preditiva do desempenho no strict handstand push-up em praticantes de CrossFit®. Trabalho de Conclusão de Curso (Graduação em Educação Física e Esporte) – Escola de Educação Física e Esporte de Ribeirão Preto, Universidade de São Paulo, Ribeirão Preto, 2024.</w:t>
      </w:r>
    </w:p>
    <w:p w14:paraId="2705389F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LUKASKI, H. C. et al. </w:t>
      </w:r>
      <w:r>
        <w:rPr>
          <w:rFonts w:hint="default" w:ascii="Arial" w:hAnsi="Arial" w:cs="Arial"/>
          <w:color w:val="auto"/>
          <w:sz w:val="20"/>
        </w:rPr>
        <w:t>Validation of tetrapolar bioelectrical impedance method to assess human body composition. Journal of Applied Physiology, v. 60, n. 4, p. 1327-1332, 1986. DOI: 10.1152/jappl.1986.60.4.1327.</w:t>
      </w:r>
    </w:p>
    <w:p w14:paraId="74A67370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MATHIOWETZ, V. </w:t>
      </w:r>
      <w:r>
        <w:rPr>
          <w:rFonts w:hint="default" w:ascii="Arial" w:hAnsi="Arial" w:cs="Arial"/>
          <w:color w:val="auto"/>
          <w:sz w:val="20"/>
        </w:rPr>
        <w:t>Comparison of Rolyan and Jamar dynamometers for measuring grip strength. Occupational Therapy International, v. 9, n. 3, p. 201-209, 2002. DOI: 10.1002/oti.165.</w:t>
      </w:r>
    </w:p>
    <w:p w14:paraId="7DD5F1B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ROBERTS, H. C. et al. </w:t>
      </w:r>
      <w:r>
        <w:rPr>
          <w:rFonts w:hint="default" w:ascii="Arial" w:hAnsi="Arial" w:cs="Arial"/>
          <w:color w:val="auto"/>
          <w:sz w:val="20"/>
        </w:rPr>
        <w:t>A review of the measurement of grip strength in clinical and epidemiological studies: towards a standardised approach. Age and Ageing, v. 40, n. 4, p. 423-429, 2011. DOI: 10.1093/ageing/afr051.</w:t>
      </w:r>
    </w:p>
    <w:p w14:paraId="5171B201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ROHLEDER, J.; VOGT, T. </w:t>
      </w:r>
      <w:r>
        <w:rPr>
          <w:rFonts w:hint="default" w:ascii="Arial" w:hAnsi="Arial" w:cs="Arial"/>
          <w:color w:val="auto"/>
          <w:sz w:val="20"/>
        </w:rPr>
        <w:t>Wrist strategy in the handstand: An isokinetic and kinematic investigation. Journal of Sports Sciences, v. 36, n. 21, p. 2489-2495, 2018. DOI: 10.1080/02640414.2018.1466986.</w:t>
      </w:r>
    </w:p>
    <w:p w14:paraId="2E139AD2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ROHLEDER, J.; VOGT, T. </w:t>
      </w:r>
      <w:r>
        <w:rPr>
          <w:rFonts w:hint="default" w:ascii="Arial" w:hAnsi="Arial" w:cs="Arial"/>
          <w:color w:val="auto"/>
          <w:sz w:val="20"/>
        </w:rPr>
        <w:t>Neuromuscular and mechanical performance factors in the gymnastic handstand. Science of Gymnastics Journal, v. 11, n. 2, p. 187-198, 2019.</w:t>
      </w:r>
    </w:p>
    <w:p w14:paraId="251A3D01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SABIDO, R. et al. </w:t>
      </w:r>
      <w:r>
        <w:rPr>
          <w:rFonts w:hint="default" w:ascii="Arial" w:hAnsi="Arial" w:cs="Arial"/>
          <w:color w:val="auto"/>
          <w:sz w:val="20"/>
        </w:rPr>
        <w:t>Effects of specialized handstand training on shoulder strength, stability, and endurance in athletic populations. Journal of Sports Science &amp; Medicine, v. 23, n. 2, p. 312-321, 2024.</w:t>
      </w:r>
    </w:p>
    <w:p w14:paraId="4DB54CB8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SANDS, W. A. et al. </w:t>
      </w:r>
      <w:r>
        <w:rPr>
          <w:rFonts w:hint="default" w:ascii="Arial" w:hAnsi="Arial" w:cs="Arial"/>
          <w:color w:val="auto"/>
          <w:sz w:val="20"/>
        </w:rPr>
        <w:t>Static and dynamic posture in gymnastics: A review of balance control and neuromuscular mechanisms. Sports Medicine - Open, v. 2, n. 1, p. 1-14, 2016. DOI: 10.1186/s40798-015-0040-y.</w:t>
      </w:r>
    </w:p>
    <w:p w14:paraId="1841E2C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SORIANO, M. A. et al. </w:t>
      </w:r>
      <w:r>
        <w:rPr>
          <w:rFonts w:hint="default" w:ascii="Arial" w:hAnsi="Arial" w:cs="Arial"/>
          <w:color w:val="auto"/>
          <w:sz w:val="20"/>
        </w:rPr>
        <w:t>The 1-repetition maximum overhead press test: reliability, validity, and relationship with athletic performance. The Journal of Strength &amp; Conditioning Research, v. 33, n. 5, p. 1245-1252, 2019. DOI: 10.1519/JSC.0000000000002998.</w:t>
      </w:r>
    </w:p>
    <w:sectPr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C5D8B"/>
    <w:rsid w:val="0F7B20EC"/>
    <w:rsid w:val="19B8689D"/>
    <w:rsid w:val="4BE70714"/>
    <w:rsid w:val="5321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2683</Words>
  <Characters>15373</Characters>
  <Lines>0</Lines>
  <Paragraphs>0</Paragraphs>
  <TotalTime>1192</TotalTime>
  <ScaleCrop>false</ScaleCrop>
  <LinksUpToDate>false</LinksUpToDate>
  <CharactersWithSpaces>17978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2026-09-14T18:41:44Z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80761553E73048E18AA630277531A836_12</vt:lpwstr>
  </property>
</Properties>
</file>