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AD754">
      <w:pPr>
        <w:spacing w:after="40"/>
        <w:jc w:val="center"/>
        <w:rPr>
          <w:rFonts w:hint="default" w:ascii="Arial" w:hAnsi="Arial" w:cs="Arial"/>
          <w:color w:val="auto"/>
          <w:sz w:val="21"/>
          <w:szCs w:val="21"/>
        </w:rPr>
      </w:pPr>
      <w:r>
        <w:rPr>
          <w:rFonts w:hint="default" w:ascii="Arial" w:hAnsi="Arial" w:cs="Arial"/>
          <w:b/>
          <w:color w:val="auto"/>
          <w:sz w:val="28"/>
          <w:szCs w:val="21"/>
        </w:rPr>
        <w:t>PROCEDIMENTO OPERACIONAL PADRÃO (POP) – SESSÃO 1</w:t>
      </w:r>
    </w:p>
    <w:p w14:paraId="07C89A41">
      <w:pPr>
        <w:spacing w:after="80"/>
        <w:jc w:val="center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4"/>
        </w:rPr>
        <w:t>AVALIAÇÃO DE COMPOSIÇÃO CORPORAL, FORÇA E RESISTÊNCIA ISOMÉTRICA</w:t>
      </w:r>
    </w:p>
    <w:p w14:paraId="4978C176">
      <w:pPr>
        <w:spacing w:before="40" w:after="60" w:line="276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i w:val="0"/>
          <w:iCs/>
          <w:color w:val="auto"/>
          <w:sz w:val="20"/>
        </w:rPr>
        <w:t>Laboratório de Cineantropometria e Desempenho Humano (LaCiDH) – EEFERP-USP</w:t>
      </w:r>
      <w:r>
        <w:rPr>
          <w:rFonts w:hint="default" w:ascii="Arial" w:hAnsi="Arial" w:cs="Arial"/>
          <w:i w:val="0"/>
          <w:iCs/>
          <w:color w:val="auto"/>
          <w:sz w:val="20"/>
        </w:rPr>
        <w:br w:type="textWrapping"/>
      </w:r>
      <w:r>
        <w:rPr>
          <w:rFonts w:hint="default" w:ascii="Arial" w:hAnsi="Arial" w:cs="Arial"/>
          <w:b/>
          <w:color w:val="000000"/>
          <w:sz w:val="19"/>
        </w:rPr>
        <w:t>Projeto de Mestrado:</w:t>
      </w:r>
      <w:r>
        <w:rPr>
          <w:rFonts w:hint="default" w:ascii="Arial" w:hAnsi="Arial" w:cs="Arial"/>
          <w:color w:val="000000"/>
          <w:sz w:val="19"/>
        </w:rPr>
        <w:t xml:space="preserve"> Análise de Fatores Associados ao Desempenho no Handstand e Handstand Walk</w:t>
      </w:r>
    </w:p>
    <w:p w14:paraId="2FA8DFD3">
      <w:pPr>
        <w:spacing w:before="40" w:after="60" w:line="276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  <w:color w:val="000000"/>
          <w:sz w:val="19"/>
        </w:rPr>
        <w:t>Mestrando:</w:t>
      </w:r>
      <w:r>
        <w:rPr>
          <w:rFonts w:hint="default" w:ascii="Arial" w:hAnsi="Arial" w:cs="Arial"/>
          <w:color w:val="000000"/>
          <w:sz w:val="19"/>
        </w:rPr>
        <w:t xml:space="preserve"> Guilherme de Paula Lemos | </w:t>
      </w:r>
      <w:r>
        <w:rPr>
          <w:rFonts w:hint="default" w:ascii="Arial" w:hAnsi="Arial" w:cs="Arial"/>
          <w:b/>
          <w:color w:val="000000"/>
          <w:sz w:val="19"/>
        </w:rPr>
        <w:t>Orientador:</w:t>
      </w:r>
      <w:r>
        <w:rPr>
          <w:rFonts w:hint="default" w:ascii="Arial" w:hAnsi="Arial" w:cs="Arial"/>
          <w:color w:val="000000"/>
          <w:sz w:val="19"/>
        </w:rPr>
        <w:t xml:space="preserve"> Prof. Dr. Matheus Machado Gomes</w:t>
      </w:r>
    </w:p>
    <w:p w14:paraId="185129E0">
      <w:pPr>
        <w:spacing w:after="240"/>
        <w:jc w:val="center"/>
        <w:rPr>
          <w:rFonts w:hint="default" w:ascii="Arial" w:hAnsi="Arial" w:cs="Arial"/>
          <w:i w:val="0"/>
          <w:iCs/>
          <w:color w:val="auto"/>
        </w:rPr>
      </w:pPr>
    </w:p>
    <w:p w14:paraId="0CADB06E">
      <w:pPr>
        <w:spacing w:before="280" w:after="8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6"/>
        </w:rPr>
        <w:t>1. OBJETIVO GERAL DO POP</w:t>
      </w:r>
    </w:p>
    <w:p w14:paraId="237155A5">
      <w:pPr>
        <w:spacing w:after="8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i w:val="0"/>
          <w:color w:val="auto"/>
          <w:sz w:val="21"/>
        </w:rPr>
        <w:t>Padronizar detalhadamente todas as etapas operacionais da Sessão 1 de coleta de dados no LaCiDH, desde a calibração prévia dos equipamentos, recepção e triagem do voluntário até a execução dos protocolos de bioimpedância tetrapolar, dinamometria isométrica de preensão manual e flexores de punho, teste de 1-RM no shoulder press e teste de resistência em posição invertida (wall-supported handstand). A ordem dos testes e seus intervalos foram rigorosamente desenhados com base em evidências fisiológicas e biomecânicas para mitigar o impacto cumulativo da fadiga sobre a produção de força máxima.</w:t>
      </w:r>
    </w:p>
    <w:p w14:paraId="0D3DCD29">
      <w:pPr>
        <w:spacing w:before="280" w:after="8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000000"/>
          <w:sz w:val="26"/>
        </w:rPr>
        <w:t>2. MOMENTO ZERO: RECEPÇÃO E PREPARAÇÃO INICIAL NO LABORATÓRIO</w:t>
      </w:r>
    </w:p>
    <w:p w14:paraId="35B0EE9E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000000"/>
          <w:sz w:val="21"/>
        </w:rPr>
        <w:t xml:space="preserve">2.1 Recepção e Status Documental: </w:t>
      </w:r>
      <w:r>
        <w:rPr>
          <w:rFonts w:hint="default" w:ascii="Arial" w:hAnsi="Arial" w:cs="Arial"/>
          <w:b w:val="0"/>
          <w:color w:val="000000"/>
          <w:sz w:val="21"/>
        </w:rPr>
        <w:t>O participante deve comparecer com agendamento oficial prévio e validação ética (TCLE e PAR-Q assinados e validados na Tabela Mestre, conforme o POP 00 – Recrutamento, Triagem e Consentimento).</w:t>
      </w:r>
    </w:p>
    <w:p w14:paraId="1E53AE16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000000"/>
          <w:sz w:val="21"/>
        </w:rPr>
        <w:t xml:space="preserve">2.2 Confirmação Rápida de Elegibilidade: </w:t>
      </w:r>
      <w:r>
        <w:rPr>
          <w:rFonts w:hint="default" w:ascii="Arial" w:hAnsi="Arial" w:cs="Arial"/>
          <w:b w:val="0"/>
          <w:color w:val="000000"/>
          <w:sz w:val="21"/>
        </w:rPr>
        <w:t>Prática regular há pelo menos 3 meses de modalidade com Handstand, sustentação livre &gt;= 3s ou &gt;= 3 passadas no HSW, e ausência de lesão articular ativa nos membros superiores nos últimos 12 meses.</w:t>
      </w:r>
    </w:p>
    <w:p w14:paraId="79142827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000000"/>
          <w:sz w:val="21"/>
        </w:rPr>
        <w:t xml:space="preserve">2.3 Critérios Fisiológicos Pré-Teste: </w:t>
      </w:r>
      <w:r>
        <w:rPr>
          <w:rFonts w:hint="default" w:ascii="Arial" w:hAnsi="Arial" w:cs="Arial"/>
          <w:b w:val="0"/>
          <w:color w:val="000000"/>
          <w:sz w:val="21"/>
        </w:rPr>
        <w:t>Ausência de treinos vigorosos nas últimas 48 horas; jejum prévio de 4 horas; ausência de consumo de álcool ou cafeína nas 24 horas antecedentes.</w:t>
      </w:r>
    </w:p>
    <w:p w14:paraId="261C876E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000000"/>
          <w:sz w:val="21"/>
        </w:rPr>
        <w:t xml:space="preserve">2.4 Preparação para Bioimpedância: </w:t>
      </w:r>
      <w:r>
        <w:rPr>
          <w:rFonts w:hint="default" w:ascii="Arial" w:hAnsi="Arial" w:cs="Arial"/>
          <w:b w:val="0"/>
          <w:color w:val="000000"/>
          <w:sz w:val="21"/>
        </w:rPr>
        <w:t>Esvaziamento vesical imediato no sanitário; remoção completa de adornos metálicos (relógios, anéis, piercings) e sapatos/meias; uso de vestimenta esportiva leve.</w:t>
      </w:r>
    </w:p>
    <w:p w14:paraId="7C62A53B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000000"/>
          <w:sz w:val="21"/>
        </w:rPr>
        <w:t xml:space="preserve">2.5 Antropometria Básica: </w:t>
      </w:r>
      <w:r>
        <w:rPr>
          <w:rFonts w:hint="default" w:ascii="Arial" w:hAnsi="Arial" w:cs="Arial"/>
          <w:b w:val="0"/>
          <w:color w:val="000000"/>
          <w:sz w:val="21"/>
        </w:rPr>
        <w:t>Aferição da Estatura em estadiômetro de precisão (0,1 cm) e Massa Corporal em balança digital calibrada (0,1 kg), registradas na planilha de campo.</w:t>
      </w:r>
    </w:p>
    <w:p w14:paraId="0DFD3B33">
      <w:pPr>
        <w:spacing w:before="280" w:after="8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6"/>
        </w:rPr>
        <w:t>3. FLUXOGRAMA E ORDEM PADRONIZADA DOS TESTES</w:t>
      </w:r>
    </w:p>
    <w:p w14:paraId="3F0A4E2E">
      <w:pPr>
        <w:spacing w:after="8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i w:val="0"/>
          <w:color w:val="auto"/>
          <w:sz w:val="21"/>
        </w:rPr>
        <w:t>A sequência dos testes respeita rigorosamente a janela de fadiga neuromuscular decrescente e a ressíntese metabólica de substratos (fosfocreatina):</w:t>
      </w:r>
    </w:p>
    <w:p w14:paraId="0C1A1933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 w:val="0"/>
          <w:color w:val="000000"/>
          <w:sz w:val="21"/>
        </w:rPr>
        <w:t>Momento Zero -&gt; Recepção, Verificação Documental e Antropometria Básica.</w:t>
      </w:r>
    </w:p>
    <w:p w14:paraId="2D94B416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z w:val="21"/>
        </w:rPr>
        <w:t>Etapa 1 -&gt; Calibração e Bioimpedância Elétrica Tetrapolar Sanny BIA1011AF (sem qualquer fadiga prévia).</w:t>
      </w:r>
    </w:p>
    <w:p w14:paraId="63B8E2ED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z w:val="21"/>
        </w:rPr>
        <w:t>Etapa 2 -&gt; Força de Preensão Manual Saehan/Jamar (3 CVMs bilaterais com 60s de intervalo). [Intervalo de 2 min]</w:t>
      </w:r>
    </w:p>
    <w:p w14:paraId="0C7CA9E6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z w:val="21"/>
        </w:rPr>
        <w:t>Etapa 3 -&gt; Dinamometria Isocinética/Isométrica de Punho Biodex PRO a 70° (3 CVMs bilaterais com 60s de intervalo). [Intervalo de 5 min]</w:t>
      </w:r>
    </w:p>
    <w:p w14:paraId="4EC6FC1B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z w:val="21"/>
        </w:rPr>
        <w:t>Etapa 4 -&gt; Teste de 1-RM no Shoulder Press (Progressão com 3 min de intervalo passivo). [Intervalo de 5 min pós-Biodex]</w:t>
      </w:r>
    </w:p>
    <w:p w14:paraId="1DE1ADEB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z w:val="21"/>
        </w:rPr>
        <w:t>Etapa 5 -&gt; Resistência Invertida Wall-Supported Handstand a 20 cm (2 tentativas com 5 min de descanso). [Intervalo obrigatório de 8 min pós-1RM]</w:t>
      </w:r>
    </w:p>
    <w:p w14:paraId="4A960A25">
      <w:pPr>
        <w:spacing w:before="280" w:after="8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6"/>
        </w:rPr>
        <w:t>4. PROTOCOLOS DETALHADOS POR ETAPA</w:t>
      </w:r>
    </w:p>
    <w:p w14:paraId="0D1DB28F">
      <w:pPr>
        <w:spacing w:before="200" w:after="6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3"/>
        </w:rPr>
        <w:t>ETAPA 1 – Bioimpedância Elétrica Tetrapolar (Sanny BIA1011AF &amp; BIOSANNY-X)</w:t>
      </w:r>
    </w:p>
    <w:p w14:paraId="229D5D54">
      <w:pPr>
        <w:spacing w:after="8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Equipamento: </w:t>
      </w:r>
      <w:r>
        <w:rPr>
          <w:rFonts w:hint="default" w:ascii="Arial" w:hAnsi="Arial" w:cs="Arial"/>
          <w:i w:val="0"/>
          <w:color w:val="auto"/>
          <w:sz w:val="21"/>
        </w:rPr>
        <w:t>Bioimpedância Elétrica Tetrapolar AF Sanny, modelo BIA1011AF (Sanny Medical / American Medical do Brasil, São Bernardo do Campo, SP; Reg. ANVISA: 81540240002).</w:t>
      </w:r>
    </w:p>
    <w:p w14:paraId="4F753E5E">
      <w:pPr>
        <w:spacing w:after="80" w:line="276" w:lineRule="auto"/>
        <w:jc w:val="both"/>
        <w:rPr>
          <w:rFonts w:hint="default" w:ascii="Arial" w:hAnsi="Arial" w:cs="Arial"/>
          <w:b w:val="0"/>
          <w:bCs/>
          <w:color w:val="auto"/>
        </w:rPr>
      </w:pPr>
      <w:r>
        <w:rPr>
          <w:rFonts w:hint="default" w:ascii="Arial" w:hAnsi="Arial" w:cs="Arial"/>
          <w:b/>
          <w:bCs w:val="0"/>
        </w:rPr>
        <w:t>Fundamentação Teórica:</w:t>
      </w:r>
      <w:r>
        <w:rPr>
          <w:rFonts w:hint="default" w:ascii="Arial" w:hAnsi="Arial" w:cs="Arial"/>
          <w:b w:val="0"/>
          <w:bCs/>
        </w:rPr>
        <w:t xml:space="preserve"> Sun et al. (2003); Kyle et al. (2004); Lukaski et al. (1986); Heyward &amp; Stolarczyk (1996); ACSM (2022/2026); OMS (2020).</w:t>
      </w:r>
    </w:p>
    <w:p w14:paraId="58621C74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>4.1 Padronização da Equação de Predição e Software:</w:t>
      </w:r>
    </w:p>
    <w:p w14:paraId="3F262208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>• Equação Oficial Adotada: 7. Sun et al. (2003)</w:t>
      </w:r>
    </w:p>
    <w:p w14:paraId="27CAB33A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• </w:t>
      </w:r>
      <w:r>
        <w:rPr>
          <w:rFonts w:hint="default" w:ascii="Arial" w:hAnsi="Arial" w:cs="Arial"/>
          <w:b/>
          <w:bCs/>
        </w:rPr>
        <w:t>Justificativa Metodológica:</w:t>
      </w:r>
      <w:r>
        <w:rPr>
          <w:rFonts w:hint="default" w:ascii="Arial" w:hAnsi="Arial" w:cs="Arial"/>
        </w:rPr>
        <w:t xml:space="preserve"> Trata-se da equação de referência internacional desenvolvida a partir de um modelo multicompartimental (4C: hidrodensitometria, diluição com deutério e DEXA) e publicada no American Journal of Clinical Nutrition (Sun et al., 2003). Por priorizar o índice de condutividade e o volume condutor tecidual (Estatura²/R), esta equação é especialmente robusta e fidedigna para populações fisicamente ativas e com maior densidade musculoesquelética de membros superiores e tronco, evitando a superestimação  de gordura corporal típica de equações desenvolvidas estritamente na população geral com base no IMC. </w:t>
      </w:r>
    </w:p>
    <w:p w14:paraId="6AD92FDD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>4.2 Classificação Padronizada do Nível de Atividade Física (BIOSANNY-X):</w:t>
      </w:r>
    </w:p>
    <w:p w14:paraId="5989B790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No momento do cadastro no software, o avaliador deve questionar a rotina semanal de treinamento dos últimos 3 meses e selecionar rigorosamente conforme os critérios operacionais padronizados abaixo: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9"/>
        <w:gridCol w:w="3139"/>
        <w:gridCol w:w="3139"/>
      </w:tblGrid>
      <w:tr w14:paraId="71698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3139" w:type="dxa"/>
            <w:tcBorders>
              <w:right w:val="nil"/>
            </w:tcBorders>
            <w:shd w:val="clear" w:color="auto" w:fill="000000" w:themeFill="text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5525B0">
            <w:pPr>
              <w:jc w:val="center"/>
              <w:rPr>
                <w:rFonts w:hint="default" w:ascii="Arial" w:hAnsi="Arial" w:cs="Arial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FFFFFF" w:themeColor="background1"/>
                <w:sz w:val="19"/>
                <w:shd w:val="clear" w:fill="FFFFFF" w:themeFill="background1"/>
                <w14:textFill>
                  <w14:solidFill>
                    <w14:schemeClr w14:val="bg1"/>
                  </w14:solidFill>
                </w14:textFill>
              </w:rPr>
              <w:t xml:space="preserve">Nível </w:t>
            </w:r>
            <w:r>
              <w:rPr>
                <w:rFonts w:hint="default" w:ascii="Arial" w:hAnsi="Arial" w:cs="Arial"/>
                <w:b/>
                <w:color w:val="FFFFFF" w:themeColor="background1"/>
                <w:sz w:val="19"/>
                <w14:textFill>
                  <w14:solidFill>
                    <w14:schemeClr w14:val="bg1"/>
                  </w14:solidFill>
                </w14:textFill>
              </w:rPr>
              <w:t>no Software</w:t>
            </w:r>
          </w:p>
        </w:tc>
        <w:tc>
          <w:tcPr>
            <w:tcW w:w="3139" w:type="dxa"/>
            <w:tcBorders>
              <w:left w:val="nil"/>
              <w:right w:val="nil"/>
            </w:tcBorders>
            <w:shd w:val="clear" w:color="auto" w:fill="000000" w:themeFill="text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7DE20C">
            <w:pPr>
              <w:jc w:val="center"/>
              <w:rPr>
                <w:rFonts w:hint="default" w:ascii="Arial" w:hAnsi="Arial" w:cs="Arial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FFFFFF" w:themeColor="background1"/>
                <w:sz w:val="19"/>
                <w14:textFill>
                  <w14:solidFill>
                    <w14:schemeClr w14:val="bg1"/>
                  </w14:solidFill>
                </w14:textFill>
              </w:rPr>
              <w:t>Critério Operacional (Frequência &amp; Duração)</w:t>
            </w:r>
          </w:p>
        </w:tc>
        <w:tc>
          <w:tcPr>
            <w:tcW w:w="3139" w:type="dxa"/>
            <w:tcBorders>
              <w:left w:val="nil"/>
            </w:tcBorders>
            <w:shd w:val="clear" w:color="auto" w:fill="000000" w:themeFill="text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639382">
            <w:pPr>
              <w:jc w:val="center"/>
              <w:rPr>
                <w:rFonts w:hint="default" w:ascii="Arial" w:hAnsi="Arial" w:cs="Arial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color w:val="FFFFFF" w:themeColor="background1"/>
                <w:sz w:val="19"/>
                <w14:textFill>
                  <w14:solidFill>
                    <w14:schemeClr w14:val="bg1"/>
                  </w14:solidFill>
                </w14:textFill>
              </w:rPr>
              <w:t>Exemplos Típicos na Amostra</w:t>
            </w:r>
          </w:p>
        </w:tc>
      </w:tr>
      <w:tr w14:paraId="66E4C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1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C3C09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1E1E1E"/>
                <w:sz w:val="18"/>
              </w:rPr>
              <w:t>Sedentário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43CC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1E1E1E"/>
                <w:sz w:val="18"/>
              </w:rPr>
              <w:t>Sem exercício físico programado (&lt; 150 min/sem de atividade leve cotidiana).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07499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1E1E1E"/>
                <w:sz w:val="18"/>
              </w:rPr>
              <w:t>Praticante inativo ou destreinado. (Critério de exclusão se não treinar HS há &gt;= 3 meses).</w:t>
            </w:r>
          </w:p>
        </w:tc>
      </w:tr>
      <w:tr w14:paraId="2481C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9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A7FB8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1E1E1E"/>
                <w:sz w:val="18"/>
              </w:rPr>
              <w:t>Pouco Ativo</w:t>
            </w:r>
          </w:p>
        </w:tc>
        <w:tc>
          <w:tcPr>
            <w:tcW w:w="3139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88B6B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1E1E1E"/>
                <w:sz w:val="18"/>
              </w:rPr>
              <w:t>Exercício leve/moderado esporádico (1 a 2x/sem, &lt; 150 min/sem no total).</w:t>
            </w:r>
          </w:p>
        </w:tc>
        <w:tc>
          <w:tcPr>
            <w:tcW w:w="3139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7DDFA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1E1E1E"/>
                <w:sz w:val="18"/>
              </w:rPr>
              <w:t>Prática recreativa irregular ou em retomada recente.</w:t>
            </w:r>
          </w:p>
        </w:tc>
      </w:tr>
      <w:tr w14:paraId="008B9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72EC9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1E1E1E"/>
                <w:sz w:val="18"/>
              </w:rPr>
              <w:t>Ativo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22C8B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1E1E1E"/>
                <w:sz w:val="18"/>
              </w:rPr>
              <w:t>Regular de 3 a 4 sessões/sem (150 a 300 min/sem moderada a vigorosa).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263B9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1E1E1E"/>
                <w:sz w:val="18"/>
              </w:rPr>
              <w:t>Praticante regular de Calistenia, Ginástica ou CrossFit 3x a 4x/sem (~1h/dia).</w:t>
            </w:r>
          </w:p>
        </w:tc>
      </w:tr>
      <w:tr w14:paraId="029C0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8CA68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1E1E1E"/>
                <w:sz w:val="18"/>
              </w:rPr>
              <w:t>Muito Ativo</w:t>
            </w:r>
          </w:p>
        </w:tc>
        <w:tc>
          <w:tcPr>
            <w:tcW w:w="31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BCEA7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1E1E1E"/>
                <w:sz w:val="18"/>
              </w:rPr>
              <w:t>&gt;= 5 sessões/sem ou &gt;= 300 a 450 min/sem de intensidade vigorosa.</w:t>
            </w:r>
          </w:p>
        </w:tc>
        <w:tc>
          <w:tcPr>
            <w:tcW w:w="31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2BBC4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1E1E1E"/>
                <w:sz w:val="18"/>
              </w:rPr>
              <w:t>Praticantes frequentes (5x/sem, 1h a 1h30/dia) combinando modalidades (CrossFit, Calistenia, Dança, Natação).</w:t>
            </w:r>
          </w:p>
        </w:tc>
      </w:tr>
      <w:tr w14:paraId="7A20B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2" w:hRule="atLeast"/>
          <w:jc w:val="center"/>
        </w:trPr>
        <w:tc>
          <w:tcPr>
            <w:tcW w:w="31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4923F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/>
                <w:color w:val="1E1E1E"/>
                <w:sz w:val="18"/>
              </w:rPr>
              <w:t>Atleta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8D329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1E1E1E"/>
                <w:sz w:val="18"/>
              </w:rPr>
              <w:t>Treinamento competitivo sistemático de alto rendimento (&gt;= 10–15 h/sem).</w:t>
            </w:r>
          </w:p>
        </w:tc>
        <w:tc>
          <w:tcPr>
            <w:tcW w:w="313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44A2B">
            <w:pPr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color w:val="1E1E1E"/>
                <w:sz w:val="18"/>
              </w:rPr>
              <w:t>Ginastas competitivos de elite ou atletas de alto rendimento com periodização estrita e múltiplos turnos diários.</w:t>
            </w:r>
          </w:p>
        </w:tc>
      </w:tr>
    </w:tbl>
    <w:p w14:paraId="155C2821">
      <w:pPr>
        <w:spacing w:after="80" w:line="276" w:lineRule="auto"/>
        <w:jc w:val="both"/>
        <w:rPr>
          <w:rFonts w:hint="default" w:ascii="Arial" w:hAnsi="Arial" w:cs="Arial"/>
          <w:b/>
        </w:rPr>
      </w:pPr>
    </w:p>
    <w:p w14:paraId="28F13D4D">
      <w:pPr>
        <w:spacing w:after="8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</w:rPr>
        <w:t>4.3 Rotina de Calibração Prévia do Equipamento (Diária):</w:t>
      </w:r>
    </w:p>
    <w:p w14:paraId="3F19B4AC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1. Conexão do Calibrador: </w:t>
      </w:r>
      <w:r>
        <w:rPr>
          <w:rFonts w:hint="default" w:ascii="Arial" w:hAnsi="Arial" w:cs="Arial"/>
          <w:color w:val="auto"/>
          <w:sz w:val="21"/>
        </w:rPr>
        <w:t xml:space="preserve"> Antes de iniciar as coletas do dia, ligar o equipamento e conectar os cabos de teste ao calibrador/resistor padrão de precisão fornecido pelo fabricante (placa de teste de 500 ohms ± 1%).</w:t>
      </w:r>
    </w:p>
    <w:p w14:paraId="711DCFBA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2. Disparo de Teste: </w:t>
      </w:r>
      <w:r>
        <w:rPr>
          <w:rFonts w:hint="default" w:ascii="Arial" w:hAnsi="Arial" w:cs="Arial"/>
          <w:color w:val="auto"/>
          <w:sz w:val="21"/>
        </w:rPr>
        <w:t xml:space="preserve"> Executar a rotina de teste de calibração no software oficial BIOSANNY-X.</w:t>
      </w:r>
    </w:p>
    <w:p w14:paraId="2E4DFEE3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3. Critério de Aceite: </w:t>
      </w:r>
      <w:r>
        <w:rPr>
          <w:rFonts w:hint="default" w:ascii="Arial" w:hAnsi="Arial" w:cs="Arial"/>
          <w:color w:val="auto"/>
          <w:sz w:val="21"/>
        </w:rPr>
        <w:t xml:space="preserve"> O valor de Resistência (R) lido deve estar estritamente dentro da faixa de tolerância aceitável de 500 ± 2 ohms, e a Reatância (Xc) em 0 ± 1 ohm. A confirmação da leitura atesta a precisão dos canais eletrônicos e a integridade dos cabos condutores.</w:t>
      </w:r>
    </w:p>
    <w:p w14:paraId="0835193F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4. Estabilidade: </w:t>
      </w:r>
      <w:r>
        <w:rPr>
          <w:rFonts w:hint="default" w:ascii="Arial" w:hAnsi="Arial" w:cs="Arial"/>
          <w:color w:val="auto"/>
          <w:sz w:val="21"/>
        </w:rPr>
        <w:t xml:space="preserve"> Caso ocorra oscilação superior a 1%, inspecionar as conexões dos pinos e repetir o teste antes de conectar em voluntários humanos.</w:t>
      </w:r>
    </w:p>
    <w:p w14:paraId="0CBE9188">
      <w:pPr>
        <w:spacing w:after="8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</w:rPr>
        <w:t>4.4 Procedimento Minucioso no Participante:</w:t>
      </w:r>
    </w:p>
    <w:p w14:paraId="70EEF1AC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1. Posicionamento: </w:t>
      </w:r>
      <w:r>
        <w:rPr>
          <w:rFonts w:hint="default" w:ascii="Arial" w:hAnsi="Arial" w:cs="Arial"/>
          <w:color w:val="auto"/>
          <w:sz w:val="21"/>
        </w:rPr>
        <w:t xml:space="preserve"> Participante em decúbito dorsal (supino) confortável sobre maca isolada não condutora.</w:t>
      </w:r>
    </w:p>
    <w:p w14:paraId="411728A0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2. Afastamento Segmentar: </w:t>
      </w:r>
      <w:r>
        <w:rPr>
          <w:rFonts w:hint="default" w:ascii="Arial" w:hAnsi="Arial" w:cs="Arial"/>
          <w:color w:val="auto"/>
          <w:sz w:val="21"/>
        </w:rPr>
        <w:t xml:space="preserve"> Braços abduzidos a 30° do tronco e membros inferiores afastados a 45° entre si, garantindo ausência total de contato pele com pele entre coxas ou entre braços e tronco.</w:t>
      </w:r>
    </w:p>
    <w:p w14:paraId="2CBD22DC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3. Repouso de Estabilização: </w:t>
      </w:r>
      <w:r>
        <w:rPr>
          <w:rFonts w:hint="default" w:ascii="Arial" w:hAnsi="Arial" w:cs="Arial"/>
          <w:color w:val="auto"/>
          <w:sz w:val="21"/>
        </w:rPr>
        <w:t xml:space="preserve"> O participante deve permanecer em repouso passivo imóvel na maca por 5 a 10 minutos antes da passagem da corrente, para estabilização e redistribuição homogênea dos fluidos corporais.</w:t>
      </w:r>
    </w:p>
    <w:p w14:paraId="7959D038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4. Assepsia: </w:t>
      </w:r>
      <w:r>
        <w:rPr>
          <w:rFonts w:hint="default" w:ascii="Arial" w:hAnsi="Arial" w:cs="Arial"/>
          <w:color w:val="auto"/>
          <w:sz w:val="21"/>
        </w:rPr>
        <w:t xml:space="preserve"> Assepsia cuidadosa dos locais anatômicos com algodão embebido em álcool a 70% e secagem suave.</w:t>
      </w:r>
    </w:p>
    <w:p w14:paraId="3DD96258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5. Eletrodos: </w:t>
      </w:r>
      <w:r>
        <w:rPr>
          <w:rFonts w:hint="default" w:ascii="Arial" w:hAnsi="Arial" w:cs="Arial"/>
          <w:color w:val="auto"/>
          <w:sz w:val="21"/>
        </w:rPr>
        <w:t xml:space="preserve"> Fixar 4 eletrodos adesivos descartáveis de prata/cloreto de prata (Ag/AgCl) no hemicorpo direito:</w:t>
      </w:r>
      <w:r>
        <w:rPr>
          <w:rFonts w:hint="default" w:ascii="Arial" w:hAnsi="Arial" w:cs="Arial"/>
          <w:color w:val="auto"/>
          <w:sz w:val="21"/>
        </w:rPr>
        <w:br w:type="textWrapping"/>
      </w:r>
      <w:r>
        <w:rPr>
          <w:rFonts w:hint="default" w:ascii="Arial" w:hAnsi="Arial" w:cs="Arial"/>
          <w:color w:val="auto"/>
          <w:sz w:val="21"/>
          <w:u w:val="single"/>
        </w:rPr>
        <w:t xml:space="preserve">Punho Direito: </w:t>
      </w:r>
      <w:r>
        <w:rPr>
          <w:rFonts w:hint="default" w:ascii="Arial" w:hAnsi="Arial" w:cs="Arial"/>
          <w:color w:val="auto"/>
          <w:sz w:val="21"/>
        </w:rPr>
        <w:t>Eletrodo sensor proximal sobre a</w:t>
      </w:r>
      <w:bookmarkStart w:id="0" w:name="_GoBack"/>
      <w:bookmarkEnd w:id="0"/>
      <w:r>
        <w:rPr>
          <w:rFonts w:hint="default" w:ascii="Arial" w:hAnsi="Arial" w:cs="Arial"/>
          <w:color w:val="auto"/>
          <w:sz w:val="21"/>
        </w:rPr>
        <w:t xml:space="preserve"> linha radiocárpica dorsal; Eletrodo injetor distal na base da 3ª articulação metacarpofalângica (distância intereletrodo padrão = 5 cm).</w:t>
      </w:r>
      <w:r>
        <w:rPr>
          <w:rFonts w:hint="default" w:ascii="Arial" w:hAnsi="Arial" w:cs="Arial"/>
          <w:color w:val="auto"/>
          <w:sz w:val="21"/>
        </w:rPr>
        <w:br w:type="textWrapping"/>
      </w:r>
      <w:r>
        <w:rPr>
          <w:rFonts w:hint="default" w:ascii="Arial" w:hAnsi="Arial" w:cs="Arial"/>
          <w:color w:val="auto"/>
          <w:sz w:val="21"/>
          <w:u w:val="single"/>
        </w:rPr>
        <w:t>Tornozelo Direito:</w:t>
      </w:r>
      <w:r>
        <w:rPr>
          <w:rFonts w:hint="default" w:ascii="Arial" w:hAnsi="Arial" w:cs="Arial"/>
          <w:color w:val="auto"/>
          <w:sz w:val="21"/>
        </w:rPr>
        <w:t xml:space="preserve"> Eletrodo sensor proximal sobre a linha intermaleolar dorsal; Eletrodo injetor distal na base da 3ª articulação metatarsofalângica (distância = 5 cm).</w:t>
      </w:r>
    </w:p>
    <w:p w14:paraId="1D9B22E6">
      <w:pPr>
        <w:pStyle w:val="34"/>
        <w:spacing w:after="60" w:line="276" w:lineRule="auto"/>
        <w:jc w:val="both"/>
        <w:rPr>
          <w:rFonts w:hint="default" w:ascii="Arial" w:hAnsi="Arial" w:cs="Arial"/>
          <w:b w:val="0"/>
          <w:bCs/>
          <w:color w:val="auto"/>
          <w:sz w:val="21"/>
          <w:szCs w:val="21"/>
        </w:rPr>
      </w:pPr>
      <w:r>
        <w:rPr>
          <w:rFonts w:hint="default" w:ascii="Arial" w:hAnsi="Arial" w:cs="Arial"/>
          <w:b/>
          <w:sz w:val="21"/>
          <w:szCs w:val="21"/>
        </w:rPr>
        <w:t xml:space="preserve">6. Disparo: </w:t>
      </w:r>
      <w:r>
        <w:rPr>
          <w:rFonts w:hint="default" w:ascii="Arial" w:hAnsi="Arial" w:cs="Arial"/>
          <w:b w:val="0"/>
          <w:bCs/>
          <w:sz w:val="21"/>
          <w:szCs w:val="21"/>
        </w:rPr>
        <w:t>Conectar as garras condutoras, preencher os dados antropométricos (Estatura, Massa Corporal, Idade, Sexo), selecionar o Nível de Atividade Física (conforme item 4.2) e a equação 7. Sun et al. (2003), disparando a medição de corrente alternada (50 kHz, 800 uA) no software oficial BIOSANNY-X.</w:t>
      </w:r>
    </w:p>
    <w:p w14:paraId="390EBAC1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7. Variáveis Retidas: </w:t>
      </w:r>
      <w:r>
        <w:rPr>
          <w:rFonts w:hint="default" w:ascii="Arial" w:hAnsi="Arial" w:cs="Arial"/>
          <w:color w:val="auto"/>
          <w:sz w:val="21"/>
        </w:rPr>
        <w:t xml:space="preserve"> Resistência (R, ohms), Reatância (Xc, ohms), Ângulo de Fase (AF, graus), Massa Livre de Gordura (kg), Massa Gorda (kg) e Percentual de Gordura Corporal (%G).</w:t>
      </w:r>
    </w:p>
    <w:p w14:paraId="00C27987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8. Exportação Digital: </w:t>
      </w:r>
      <w:r>
        <w:rPr>
          <w:rFonts w:hint="default" w:ascii="Arial" w:hAnsi="Arial" w:cs="Arial"/>
          <w:color w:val="auto"/>
          <w:sz w:val="21"/>
        </w:rPr>
        <w:t xml:space="preserve"> Exportar o relatório oficial em PDF e salvar na pasta dados_brutos como [ID]_sanny.pdf (ex.: P001_sanny.pdf).</w:t>
      </w:r>
    </w:p>
    <w:p w14:paraId="304E6E46">
      <w:pPr>
        <w:spacing w:before="200" w:after="6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3"/>
        </w:rPr>
        <w:t>ETAPA 2 – Força de Preensão Manual (FPM – Saehan/Jamar)</w:t>
      </w:r>
    </w:p>
    <w:p w14:paraId="4C7B8477">
      <w:pPr>
        <w:spacing w:after="8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Equipamento: </w:t>
      </w:r>
      <w:r>
        <w:rPr>
          <w:rFonts w:hint="default" w:ascii="Arial" w:hAnsi="Arial" w:cs="Arial"/>
          <w:i w:val="0"/>
          <w:color w:val="auto"/>
          <w:sz w:val="21"/>
        </w:rPr>
        <w:t>Dinamômetro hidráulico portátil (Saehan Corporation, modelo SH5001, Changwon, Coreia do Sul – modelo calibrado validado e equivalente ao Jamar®).</w:t>
      </w:r>
    </w:p>
    <w:p w14:paraId="22D83A51">
      <w:pPr>
        <w:spacing w:after="8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Fundamentação &amp; Referências: </w:t>
      </w:r>
      <w:r>
        <w:rPr>
          <w:rFonts w:hint="default" w:ascii="Arial" w:hAnsi="Arial" w:cs="Arial"/>
          <w:i w:val="0"/>
          <w:color w:val="auto"/>
          <w:sz w:val="21"/>
        </w:rPr>
        <w:t>Diretrizes da American Society of Hand Therapists (ASHT); Mathiowetz (2002); Roberts et al. (2011); Jaric (2002).</w:t>
      </w:r>
    </w:p>
    <w:p w14:paraId="19F7897C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1. Posicionamento Padronizado: </w:t>
      </w:r>
      <w:r>
        <w:rPr>
          <w:rFonts w:hint="default" w:ascii="Arial" w:hAnsi="Arial" w:cs="Arial"/>
          <w:color w:val="auto"/>
          <w:sz w:val="21"/>
        </w:rPr>
        <w:t xml:space="preserve"> Participante sentado em cadeira sem braços, coluna ereta totalmente apoiada no encosto, pés planos no solo. Ombro aduzido em rotação neutra, cotovelo flexionado rigidamente a 90° junto ao tronco, antebraço em posição neutra (polegar voltado para cima). O antebraço e a mão não devem tocar em nenhuma superfície de apoio.</w:t>
      </w:r>
    </w:p>
    <w:p w14:paraId="3C53F61F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2. Ajuste do Dinamômetro: </w:t>
      </w:r>
      <w:r>
        <w:rPr>
          <w:rFonts w:hint="default" w:ascii="Arial" w:hAnsi="Arial" w:cs="Arial"/>
          <w:color w:val="auto"/>
          <w:sz w:val="21"/>
        </w:rPr>
        <w:t xml:space="preserve"> Manopla móvel ajustada na 2ª posição padrão (~4,7 cm de abertura). Ponteiro de pico analógico zerado antes de cada esforço.</w:t>
      </w:r>
    </w:p>
    <w:p w14:paraId="769FB673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3. Protocolo de Teste: </w:t>
      </w:r>
      <w:r>
        <w:rPr>
          <w:rFonts w:hint="default" w:ascii="Arial" w:hAnsi="Arial" w:cs="Arial"/>
          <w:color w:val="auto"/>
          <w:sz w:val="21"/>
        </w:rPr>
        <w:t xml:space="preserve"> Executar 3 contrações voluntárias máximas (CVM) de 3 a 5 segundos por membro, alternando entre membro Dominante e Não-Dominante.</w:t>
      </w:r>
    </w:p>
    <w:p w14:paraId="656CD434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4. Intervalo de Recuperação: </w:t>
      </w:r>
      <w:r>
        <w:rPr>
          <w:rFonts w:hint="default" w:ascii="Arial" w:hAnsi="Arial" w:cs="Arial"/>
          <w:color w:val="auto"/>
          <w:sz w:val="21"/>
        </w:rPr>
        <w:t xml:space="preserve"> Intervalo obrigatório de 60 segundos de repouso passivo entre as tentativas no mesmo membro.</w:t>
      </w:r>
    </w:p>
    <w:p w14:paraId="459FC627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>5. Comando Verbal Padronizado</w:t>
      </w:r>
    </w:p>
    <w:p w14:paraId="3ED5D976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6. Registro: </w:t>
      </w:r>
      <w:r>
        <w:rPr>
          <w:rFonts w:hint="default" w:ascii="Arial" w:hAnsi="Arial" w:cs="Arial"/>
          <w:color w:val="auto"/>
          <w:sz w:val="21"/>
        </w:rPr>
        <w:t xml:space="preserve"> Registrar os valores de cada tentativa na PLANILHA_COLETA_CAMPO_LACIDH.xlsx. O sistema retém o maior pico de força (kgf) e calcula o Índice de Simetria LSI (%).</w:t>
      </w:r>
    </w:p>
    <w:p w14:paraId="32335FB2">
      <w:pPr>
        <w:spacing w:before="200" w:after="6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3"/>
        </w:rPr>
        <w:t>ETAPA 3 – Dinamometria Isocinética/Isométrica de Punho (Biodex Multi-Joint System PRO)</w:t>
      </w:r>
    </w:p>
    <w:p w14:paraId="786C0697">
      <w:pPr>
        <w:spacing w:after="8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Equipamento: </w:t>
      </w:r>
      <w:r>
        <w:rPr>
          <w:rFonts w:hint="default" w:ascii="Arial" w:hAnsi="Arial" w:cs="Arial"/>
          <w:i w:val="0"/>
          <w:color w:val="auto"/>
          <w:sz w:val="21"/>
        </w:rPr>
        <w:t>Dinamômetro Isocinético/Isométrico Multarticular (Biodex Multi-Joint System PRO, Biodex Medical Systems, Shirley, NY, EUA).</w:t>
      </w:r>
    </w:p>
    <w:p w14:paraId="1609DECC">
      <w:pPr>
        <w:spacing w:after="8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lang w:val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-13335</wp:posOffset>
            </wp:positionH>
            <wp:positionV relativeFrom="paragraph">
              <wp:posOffset>38100</wp:posOffset>
            </wp:positionV>
            <wp:extent cx="2242820" cy="3101975"/>
            <wp:effectExtent l="0" t="0" r="5080" b="9525"/>
            <wp:wrapSquare wrapText="bothSides"/>
            <wp:docPr id="1" name="Imagem 1" descr="WhatsApp Image 2026-09-02 at 15.47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WhatsApp Image 2026-09-02 at 15.47.33"/>
                    <pic:cNvPicPr>
                      <a:picLocks noChangeAspect="1"/>
                    </pic:cNvPicPr>
                  </pic:nvPicPr>
                  <pic:blipFill>
                    <a:blip r:embed="rId6"/>
                    <a:srcRect t="8463" r="9714" b="10001"/>
                    <a:stretch>
                      <a:fillRect/>
                    </a:stretch>
                  </pic:blipFill>
                  <pic:spPr>
                    <a:xfrm>
                      <a:off x="0" y="0"/>
                      <a:ext cx="224282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  <w:b/>
          <w:color w:val="auto"/>
          <w:sz w:val="21"/>
        </w:rPr>
        <w:t xml:space="preserve">Fundamentação &amp; Referências: </w:t>
      </w:r>
      <w:r>
        <w:rPr>
          <w:rFonts w:hint="default" w:ascii="Arial" w:hAnsi="Arial" w:cs="Arial"/>
          <w:i w:val="0"/>
          <w:color w:val="auto"/>
          <w:sz w:val="21"/>
        </w:rPr>
        <w:t>Kerwin &amp; Trewartha (2001); Rohleder &amp; Vogt (2018, 2019); Dvir (2004); Brown (2000); Bishop et al. (2018).</w:t>
      </w:r>
    </w:p>
    <w:p w14:paraId="34F172A9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1. Configuração da Cadeira: </w:t>
      </w:r>
      <w:r>
        <w:rPr>
          <w:rFonts w:hint="default" w:ascii="Arial" w:hAnsi="Arial" w:cs="Arial"/>
          <w:color w:val="auto"/>
          <w:sz w:val="21"/>
        </w:rPr>
        <w:t xml:space="preserve"> Cadeira ajustada com encosto a 85°. O participante é estabilizado rigidamente por meio de cintos cruzados peitorais e cinto pélvico para eliminar compensações do tronco.</w:t>
      </w:r>
    </w:p>
    <w:p w14:paraId="35CCCC36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2. Posicionamento do Membro: </w:t>
      </w:r>
      <w:r>
        <w:rPr>
          <w:rFonts w:hint="default" w:ascii="Arial" w:hAnsi="Arial" w:cs="Arial"/>
          <w:color w:val="auto"/>
          <w:sz w:val="21"/>
        </w:rPr>
        <w:t xml:space="preserve"> Antebraço do membro testado posicionado na calha acolchoada em pronação total, com cotovelo flexionado a 90°. Fixação rígida por cintas inelásticas de velcro para isolar a musculatura do punho, impedindo a ação dos flexores de cotovelo e ombro.</w:t>
      </w:r>
    </w:p>
    <w:p w14:paraId="40E46AC3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3. Alinhamento Articular: </w:t>
      </w:r>
      <w:r>
        <w:rPr>
          <w:rFonts w:hint="default" w:ascii="Arial" w:hAnsi="Arial" w:cs="Arial"/>
          <w:color w:val="auto"/>
          <w:sz w:val="21"/>
        </w:rPr>
        <w:t xml:space="preserve"> O eixo mecânico do dinamômetro é alinhado rigorosamente ao eixo anatômico radiocárpico (linha bissecante entre os processos estiloides do rádio e da ulna, na altura do osso capitato).</w:t>
      </w:r>
    </w:p>
    <w:p w14:paraId="2F49E8E9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4. Ajuste Angular Funcional: </w:t>
      </w:r>
      <w:r>
        <w:rPr>
          <w:rFonts w:hint="default" w:ascii="Arial" w:hAnsi="Arial" w:cs="Arial"/>
          <w:color w:val="auto"/>
          <w:sz w:val="21"/>
        </w:rPr>
        <w:t xml:space="preserve"> A alavanca de esforço (wrist attachment) é travada em modo isométrico no ângulo funcional de 70° de extensão de punho, reproduzindo com alta fidelidade a estratégia de punho (wrist strategy) durante o handstand.</w:t>
      </w:r>
    </w:p>
    <w:p w14:paraId="5B82FE6B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5. Calibração de Gravidade: </w:t>
      </w:r>
      <w:r>
        <w:rPr>
          <w:rFonts w:hint="default" w:ascii="Arial" w:hAnsi="Arial" w:cs="Arial"/>
          <w:color w:val="auto"/>
          <w:sz w:val="21"/>
        </w:rPr>
        <w:t xml:space="preserve"> Executar a calibração automática de correção do peso do membro e da alavanca (Gravity Correction) e definição do zero anatômico no software Biodex Advantage.</w:t>
      </w:r>
    </w:p>
    <w:p w14:paraId="5FCAFE87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6. Protocolo de Teste: </w:t>
      </w:r>
      <w:r>
        <w:rPr>
          <w:rFonts w:hint="default" w:ascii="Arial" w:hAnsi="Arial" w:cs="Arial"/>
          <w:color w:val="auto"/>
          <w:sz w:val="21"/>
        </w:rPr>
        <w:t xml:space="preserve"> 1 contração submáxima de familiarização (~50% do esforço), seguida por 3 CVMs de flexão isométrica de punho com duração de 5 segundos cada, realizadas bilateralmente (Dominante e Não-Dominante).</w:t>
      </w:r>
    </w:p>
    <w:p w14:paraId="4AEE0159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7. Intervalo: </w:t>
      </w:r>
      <w:r>
        <w:rPr>
          <w:rFonts w:hint="default" w:ascii="Arial" w:hAnsi="Arial" w:cs="Arial"/>
          <w:color w:val="auto"/>
          <w:sz w:val="21"/>
        </w:rPr>
        <w:t xml:space="preserve"> 60 segundos de repouso passivo entre as contrações no mesmo membro.</w:t>
      </w:r>
    </w:p>
    <w:p w14:paraId="3E7262EB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>8. Comando Verbal Padronizado</w:t>
      </w:r>
    </w:p>
    <w:p w14:paraId="1CD77393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9. Exportação Digital: </w:t>
      </w:r>
      <w:r>
        <w:rPr>
          <w:rFonts w:hint="default" w:ascii="Arial" w:hAnsi="Arial" w:cs="Arial"/>
          <w:color w:val="auto"/>
          <w:sz w:val="21"/>
        </w:rPr>
        <w:t xml:space="preserve"> Exportar o relatório completo em PDF como [ID]_biodex.pdf (ex.: P001_biodex.pdf).</w:t>
      </w:r>
    </w:p>
    <w:p w14:paraId="521EAB10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10. Intervalo Pós-Teste Obrigatório: </w:t>
      </w:r>
      <w:r>
        <w:rPr>
          <w:rFonts w:hint="default" w:ascii="Arial" w:hAnsi="Arial" w:cs="Arial"/>
          <w:color w:val="auto"/>
          <w:sz w:val="21"/>
        </w:rPr>
        <w:t xml:space="preserve"> 5 minutos de repouso passivo completo antes de iniciar o aquecimento do teste de 1-RM.</w:t>
      </w:r>
    </w:p>
    <w:p w14:paraId="62DA0DC9">
      <w:pPr>
        <w:pStyle w:val="34"/>
        <w:numPr>
          <w:ilvl w:val="0"/>
          <w:numId w:val="0"/>
        </w:numPr>
        <w:spacing w:after="60" w:line="276" w:lineRule="auto"/>
        <w:ind w:leftChars="0"/>
        <w:jc w:val="both"/>
        <w:rPr>
          <w:rFonts w:hint="default" w:ascii="Arial" w:hAnsi="Arial" w:cs="Arial"/>
          <w:color w:val="auto"/>
          <w:lang w:val="pt-BR"/>
        </w:rPr>
      </w:pPr>
    </w:p>
    <w:p w14:paraId="4B70908D">
      <w:pPr>
        <w:spacing w:before="200" w:after="6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3"/>
        </w:rPr>
        <w:t>ETAPA 4 – Teste de 1 Repetição Máxima (1-RM) no Shoulder Press (SP)</w:t>
      </w:r>
    </w:p>
    <w:p w14:paraId="3EA49515">
      <w:pPr>
        <w:spacing w:after="8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Equipamento: </w:t>
      </w:r>
      <w:r>
        <w:rPr>
          <w:rFonts w:hint="default" w:ascii="Arial" w:hAnsi="Arial" w:cs="Arial"/>
          <w:i w:val="0"/>
          <w:color w:val="auto"/>
          <w:sz w:val="21"/>
        </w:rPr>
        <w:t>Barra olímpica oficial (FlexFit®, 20 kg masculina, 15 kg ou 10 kg feminina), anilhas olímpicas calibradas e travas de segurança (collars).</w:t>
      </w:r>
    </w:p>
    <w:p w14:paraId="2DE7CC06">
      <w:pPr>
        <w:spacing w:after="8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Fundamentação &amp; Referências: </w:t>
      </w:r>
      <w:r>
        <w:rPr>
          <w:rFonts w:hint="default" w:ascii="Arial" w:hAnsi="Arial" w:cs="Arial"/>
          <w:i w:val="0"/>
          <w:color w:val="auto"/>
          <w:sz w:val="21"/>
        </w:rPr>
        <w:t>Haff &amp; Triplett (2021); ACSM (2026); Dias et al. (2005); Soriano et al. (2019); Lemos (2024).</w:t>
      </w:r>
    </w:p>
    <w:p w14:paraId="4BB3CE14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1. Posicionamento Inicial: </w:t>
      </w:r>
      <w:r>
        <w:rPr>
          <w:rFonts w:hint="default" w:ascii="Arial" w:hAnsi="Arial" w:cs="Arial"/>
          <w:color w:val="auto"/>
          <w:sz w:val="21"/>
        </w:rPr>
        <w:t xml:space="preserve"> Participante em pé, pés paralelos na largura do quadril, glúteos e abdômen em contração isométrica ativa. Pegada na barra em pronação, ligeiramente além da largura dos ombros. Barra apoiada na clavícula/peitoral superior (posição rack anterior).</w:t>
      </w:r>
    </w:p>
    <w:p w14:paraId="71B686C5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2. Validação da Técnica Estrita: </w:t>
      </w:r>
      <w:r>
        <w:rPr>
          <w:rFonts w:hint="default" w:ascii="Arial" w:hAnsi="Arial" w:cs="Arial"/>
          <w:color w:val="auto"/>
          <w:sz w:val="21"/>
        </w:rPr>
        <w:t xml:space="preserve"> A barra deve ser empurrada verticalmente acima da cabeça até a extensão total dos cotovelos com bloqueio estável. Critérios de repetição inválida: flexão de joelhos (push press), elevação dos calcanhares do solo ou hiperextensão lombar compensatória.</w:t>
      </w:r>
    </w:p>
    <w:p w14:paraId="31584852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3. Protocolo Progressivo de Carga: </w:t>
      </w:r>
      <w:r>
        <w:rPr>
          <w:rFonts w:hint="default" w:ascii="Arial" w:hAnsi="Arial" w:cs="Arial"/>
          <w:color w:val="auto"/>
          <w:sz w:val="21"/>
        </w:rPr>
        <w:t xml:space="preserve"> A progressão de cargas é calculada automaticamente na PLANILHA_COLETA_CAMPO_LACIDH.xlsx:</w:t>
      </w:r>
      <w:r>
        <w:rPr>
          <w:rFonts w:hint="default" w:ascii="Arial" w:hAnsi="Arial" w:cs="Arial"/>
          <w:color w:val="auto"/>
          <w:sz w:val="21"/>
        </w:rPr>
        <w:br w:type="textWrapping"/>
      </w:r>
      <w:r>
        <w:rPr>
          <w:rFonts w:hint="default" w:ascii="Arial" w:hAnsi="Arial" w:cs="Arial"/>
          <w:color w:val="auto"/>
          <w:sz w:val="21"/>
        </w:rPr>
        <w:t>• Aquecimento Específico: 10 repetições apenas com a barra olímpica (20 kg masc / 15 kg fem).</w:t>
      </w:r>
      <w:r>
        <w:rPr>
          <w:rFonts w:hint="default" w:ascii="Arial" w:hAnsi="Arial" w:cs="Arial"/>
          <w:color w:val="auto"/>
          <w:sz w:val="21"/>
        </w:rPr>
        <w:br w:type="textWrapping"/>
      </w:r>
      <w:r>
        <w:rPr>
          <w:rFonts w:hint="default" w:ascii="Arial" w:hAnsi="Arial" w:cs="Arial"/>
          <w:color w:val="auto"/>
          <w:sz w:val="21"/>
        </w:rPr>
        <w:t>• Estágio 1 (50% da 1-RM prévia ou 40% da massa corporal): 1 a 3 repetições para adaptação e ajuste de pegada.</w:t>
      </w:r>
      <w:r>
        <w:rPr>
          <w:rFonts w:hint="default" w:ascii="Arial" w:hAnsi="Arial" w:cs="Arial"/>
          <w:color w:val="auto"/>
          <w:sz w:val="21"/>
        </w:rPr>
        <w:br w:type="textWrapping"/>
      </w:r>
      <w:r>
        <w:rPr>
          <w:rFonts w:hint="default" w:ascii="Arial" w:hAnsi="Arial" w:cs="Arial"/>
          <w:color w:val="auto"/>
          <w:sz w:val="21"/>
        </w:rPr>
        <w:t>• Estágios 2 a 5 (60%, 70%, 80%, 90% e 100% da estimativa): Apenas 1 repetição estrita por estágio, com o objetivo fisiológico de proporcionar Potenciação Pós-Ativação (PAP) sem acúmulo de fadiga periférica nos deltoides e tríceps.</w:t>
      </w:r>
      <w:r>
        <w:rPr>
          <w:rFonts w:hint="default" w:ascii="Arial" w:hAnsi="Arial" w:cs="Arial"/>
          <w:color w:val="auto"/>
          <w:sz w:val="21"/>
        </w:rPr>
        <w:br w:type="textWrapping"/>
      </w:r>
      <w:r>
        <w:rPr>
          <w:rFonts w:hint="default" w:ascii="Arial" w:hAnsi="Arial" w:cs="Arial"/>
          <w:color w:val="auto"/>
          <w:sz w:val="21"/>
        </w:rPr>
        <w:t>• Ajuste Fino: Se falhar em 100%, repouso de 3 min e nova tentativa com redução de 5%; Se completar com facilidade em 100%, acréscimo progressivo de 5% até a carga máxima real.</w:t>
      </w:r>
    </w:p>
    <w:p w14:paraId="5BEE8154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4. Intervalo entre Estágios: </w:t>
      </w:r>
      <w:r>
        <w:rPr>
          <w:rFonts w:hint="default" w:ascii="Arial" w:hAnsi="Arial" w:cs="Arial"/>
          <w:color w:val="auto"/>
          <w:sz w:val="21"/>
        </w:rPr>
        <w:t xml:space="preserve"> 3 minutos de repouso passivo total entre cada tentativa.</w:t>
      </w:r>
    </w:p>
    <w:p w14:paraId="23B08C6F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5. Registro: </w:t>
      </w:r>
      <w:r>
        <w:rPr>
          <w:rFonts w:hint="default" w:ascii="Arial" w:hAnsi="Arial" w:cs="Arial"/>
          <w:color w:val="auto"/>
          <w:sz w:val="21"/>
        </w:rPr>
        <w:t xml:space="preserve"> Carga máxima absoluta validada com técnica estrita (em kg, somando barra + anilhas) digitada na coluna correspondente da planilha.</w:t>
      </w:r>
    </w:p>
    <w:p w14:paraId="1F9B0552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6. Intervalo Pós-Teste Obrigatório: </w:t>
      </w:r>
      <w:r>
        <w:rPr>
          <w:rFonts w:hint="default" w:ascii="Arial" w:hAnsi="Arial" w:cs="Arial"/>
          <w:color w:val="auto"/>
          <w:sz w:val="21"/>
        </w:rPr>
        <w:t xml:space="preserve"> 8 minutos de repouso passivo total cronometrados para permitir a ressíntese plena dos estoques intramusculares de fosfocreatina (PCr) antes do teste final de resistência.</w:t>
      </w:r>
    </w:p>
    <w:p w14:paraId="2E8862E8">
      <w:pPr>
        <w:spacing w:before="200" w:after="6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3"/>
        </w:rPr>
        <w:t>ETAPA 5 – Teste de Resistência em Posição Invertida (Wall-Supported Handstand)</w:t>
      </w:r>
    </w:p>
    <w:p w14:paraId="790A72B3">
      <w:pPr>
        <w:spacing w:after="8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Equipamento: </w:t>
      </w:r>
      <w:r>
        <w:rPr>
          <w:rFonts w:hint="default" w:ascii="Arial" w:hAnsi="Arial" w:cs="Arial"/>
          <w:i w:val="0"/>
          <w:color w:val="auto"/>
          <w:sz w:val="21"/>
        </w:rPr>
        <w:t>Parede lisa vertical livre de obstáculos, fita adesiva métrica demarcatória no solo, cronômetro digital centesimal (Casio®, modelo HS-80TW-BU, Tóquio, Japão).</w:t>
      </w:r>
    </w:p>
    <w:p w14:paraId="7715CFB4">
      <w:pPr>
        <w:spacing w:after="8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Fundamentação &amp; Referências: </w:t>
      </w:r>
      <w:r>
        <w:rPr>
          <w:rFonts w:hint="default" w:ascii="Arial" w:hAnsi="Arial" w:cs="Arial"/>
          <w:i w:val="0"/>
          <w:color w:val="auto"/>
          <w:sz w:val="21"/>
        </w:rPr>
        <w:t>Hedbávný et al. (2013); Sabido et al. (2024); Sands et al. (2016); ACSM (2026).</w:t>
      </w:r>
    </w:p>
    <w:p w14:paraId="555B52C4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1. Demarcação e Entrada: </w:t>
      </w:r>
      <w:r>
        <w:rPr>
          <w:rFonts w:hint="default" w:ascii="Arial" w:hAnsi="Arial" w:cs="Arial"/>
          <w:color w:val="auto"/>
          <w:sz w:val="21"/>
        </w:rPr>
        <w:t xml:space="preserve"> Fita adesiva fixada no solo demarcando exatamente 20 cm de distância da parede. O participante realiza a subida pela parede (wall-walk) posicionando as mãos na largura dos ombros com as pontas dos dedos sobre a fita, assumindo a postura com o ventre voltado para a parede (Chest-to-Wall / Belly-to-Wall).</w:t>
      </w:r>
    </w:p>
    <w:p w14:paraId="1269A02C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2. Fundamentação Biomecânica dos 20 cm: </w:t>
      </w:r>
      <w:r>
        <w:rPr>
          <w:rFonts w:hint="default" w:ascii="Arial" w:hAnsi="Arial" w:cs="Arial"/>
          <w:color w:val="auto"/>
          <w:sz w:val="21"/>
        </w:rPr>
        <w:t xml:space="preserve"> A distância de 20 cm combinada à posição Belly-to-Wall garante um alinhamento angular de 88° a 90° em relação ao solo (&gt;98% do peso sustentado verticalmente pelos braços), impedindo que o participante encoste o peito ou quadril na parede e evitando a compensação em hiperlordose lombar ('postura banana'). Apenas o dorso e as pontas dos dedos dos pés mantêm contato sutil com a parede.</w:t>
      </w:r>
    </w:p>
    <w:p w14:paraId="5D9C7149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3. Execução: </w:t>
      </w:r>
      <w:r>
        <w:rPr>
          <w:rFonts w:hint="default" w:ascii="Arial" w:hAnsi="Arial" w:cs="Arial"/>
          <w:color w:val="auto"/>
          <w:sz w:val="21"/>
        </w:rPr>
        <w:t xml:space="preserve"> O cronômetro é acionado no instante em que o corpo atinge o alinhamento vertical estável. O voluntário sustenta a postura até a exaustão voluntária máxima.</w:t>
      </w:r>
    </w:p>
    <w:p w14:paraId="7627F66F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4. Critérios de Interrupção Imediata: </w:t>
      </w:r>
      <w:r>
        <w:rPr>
          <w:rFonts w:hint="default" w:ascii="Arial" w:hAnsi="Arial" w:cs="Arial"/>
          <w:color w:val="auto"/>
          <w:sz w:val="21"/>
        </w:rPr>
        <w:t xml:space="preserve"> (a) Flexão visível de cotovelos superior a 15°; (b) Perda do contato dos pés com a parede; (c) Colapso escapular com toque do tronco na parede; (d) Término voluntário por fadiga.</w:t>
      </w:r>
    </w:p>
    <w:p w14:paraId="780B3A27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5. Tentativas e Intervalo: </w:t>
      </w:r>
      <w:r>
        <w:rPr>
          <w:rFonts w:hint="default" w:ascii="Arial" w:hAnsi="Arial" w:cs="Arial"/>
          <w:color w:val="auto"/>
          <w:sz w:val="21"/>
        </w:rPr>
        <w:t xml:space="preserve"> Serão realizadas 2 tentativas máximas intercaladas por 5 minutos de recuperação passiva completa. O tempo é registrado em segundos (com centésimos) e o maior valor é retido.</w:t>
      </w:r>
    </w:p>
    <w:p w14:paraId="1F2408BD">
      <w:pPr>
        <w:spacing w:before="280" w:after="8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6"/>
        </w:rPr>
        <w:t>5. EQUAÇÕES DE NORMALIZAÇÃO E ÍNDICES CALCULADOS</w:t>
      </w:r>
    </w:p>
    <w:p w14:paraId="35FF9E71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z w:val="21"/>
        </w:rPr>
        <w:t>1-RM Relativo (kg/kg) = Carga Máxima no SP (kg) / Massa Corporal Total (kg)</w:t>
      </w:r>
    </w:p>
    <w:p w14:paraId="53B34C49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z w:val="21"/>
        </w:rPr>
        <w:t>Pico de Torque Relativo (N.m/kg) = Pico de Torque Máximo no Biodex (N.m) / Massa Corporal (kg)</w:t>
      </w:r>
    </w:p>
    <w:p w14:paraId="6110391F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z w:val="21"/>
        </w:rPr>
        <w:t>Índice de Simetria de Membros no Biodex: LSI_FFP (%) = (Pico Não-Dominante / Pico Dominante) * 100</w:t>
      </w:r>
    </w:p>
    <w:p w14:paraId="5B38B1F3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z w:val="21"/>
        </w:rPr>
        <w:t>Força de Preensão Manual Relativa (kgf/kg) = Maior FPM Global (kgf) / Massa Corporal (kg)</w:t>
      </w:r>
    </w:p>
    <w:p w14:paraId="3442260C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z w:val="21"/>
        </w:rPr>
        <w:t>Índice de Simetria na Preensão: LSI_FPM (%) = (FPM Não-Dominante / FPM Dominante) * 100</w:t>
      </w:r>
    </w:p>
    <w:p w14:paraId="06742E1D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color w:val="auto"/>
          <w:sz w:val="21"/>
        </w:rPr>
        <w:t>Índice de Massa Corporal: IMC (kg/m²) = Massa Corporal (kg) / [Estatura (m)]²</w:t>
      </w:r>
    </w:p>
    <w:p w14:paraId="3F82AB0A">
      <w:pPr>
        <w:spacing w:before="280" w:after="8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6"/>
        </w:rPr>
        <w:t>6. CHECKLIST OPERACIONAL E ROTINA DE PROCESSAMENTO</w:t>
      </w:r>
    </w:p>
    <w:p w14:paraId="6677EC92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1. Registro Digital em Campo: </w:t>
      </w:r>
      <w:r>
        <w:rPr>
          <w:rFonts w:hint="default" w:ascii="Arial" w:hAnsi="Arial" w:cs="Arial"/>
          <w:color w:val="auto"/>
          <w:sz w:val="21"/>
        </w:rPr>
        <w:t xml:space="preserve"> Digitar os dados da coleta diretamente na PLANILHA_COLETA_CAMPO_LACIDH.xlsx (na pasta dados_brutos).</w:t>
      </w:r>
    </w:p>
    <w:p w14:paraId="1CDFAEEC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2. Backup dos Relatórios Digitais: </w:t>
      </w:r>
      <w:r>
        <w:rPr>
          <w:rFonts w:hint="default" w:ascii="Arial" w:hAnsi="Arial" w:cs="Arial"/>
          <w:color w:val="auto"/>
          <w:sz w:val="21"/>
        </w:rPr>
        <w:t xml:space="preserve"> Confirmar o salvamento dos relatórios oficiais exportados como [ID]_sanny.pdf e [ID]_biodex.pdf na pasta dados_brutos.</w:t>
      </w:r>
    </w:p>
    <w:p w14:paraId="738C1A75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1"/>
        </w:rPr>
        <w:t xml:space="preserve">3. Processamento Automático: </w:t>
      </w:r>
      <w:r>
        <w:rPr>
          <w:rFonts w:hint="default" w:ascii="Arial" w:hAnsi="Arial" w:cs="Arial"/>
          <w:color w:val="auto"/>
          <w:sz w:val="21"/>
        </w:rPr>
        <w:t xml:space="preserve"> Executar o script calcular_variaveis_forca_lacidh.py para consolidar automaticamente todas as variáveis na pasta resultados/.</w:t>
      </w:r>
    </w:p>
    <w:p w14:paraId="165DBB8A">
      <w:pPr>
        <w:pStyle w:val="34"/>
        <w:spacing w:after="60" w:line="276" w:lineRule="auto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000000"/>
          <w:sz w:val="21"/>
        </w:rPr>
        <w:t xml:space="preserve">4. Confirmação da Sessão 2: </w:t>
      </w:r>
      <w:r>
        <w:rPr>
          <w:rFonts w:hint="default" w:ascii="Arial" w:hAnsi="Arial" w:cs="Arial"/>
          <w:b w:val="0"/>
          <w:color w:val="000000"/>
          <w:sz w:val="21"/>
        </w:rPr>
        <w:t>Confirmar o comparecimento do participante para a Sessão 2 no LaBioCoM na data/horário previamente agendados no POP 00 (janela obrigatória de 48h a 7 dias).</w:t>
      </w:r>
    </w:p>
    <w:p w14:paraId="061D8561">
      <w:pPr>
        <w:spacing w:before="280" w:after="80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6"/>
        </w:rPr>
        <w:t>7. REFERÊNCIAS BIBLIOGRÁFICAS COMPLETAS</w:t>
      </w:r>
    </w:p>
    <w:p w14:paraId="1F1C758A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AMERICAN COLLEGE OF SPORTS MEDICINE (ACSM). </w:t>
      </w:r>
      <w:r>
        <w:rPr>
          <w:rFonts w:hint="default" w:ascii="Arial" w:hAnsi="Arial" w:cs="Arial"/>
          <w:color w:val="auto"/>
          <w:sz w:val="20"/>
        </w:rPr>
        <w:t>ACSM's Guidelines for Exercise Testing and Prescription. 11th ed. Philadelphia: Wolters Kluwer, 2022/2026.</w:t>
      </w:r>
    </w:p>
    <w:p w14:paraId="139738BA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BISHOP, C. et al. </w:t>
      </w:r>
      <w:r>
        <w:rPr>
          <w:rFonts w:hint="default" w:ascii="Arial" w:hAnsi="Arial" w:cs="Arial"/>
          <w:color w:val="auto"/>
          <w:sz w:val="20"/>
        </w:rPr>
        <w:t>Interlimb asymmetries: are thresholds a reliable metric for distinguishing between injured and non-injured athletes? The Journal of Strength &amp; Conditioning Research, v. 32, n. 8, p. 2301-2309, 2018. DOI: 10.1519/JSC.0000000000002624.</w:t>
      </w:r>
    </w:p>
    <w:p w14:paraId="52259EFB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  <w:sz w:val="20"/>
        </w:rPr>
      </w:pPr>
      <w:r>
        <w:rPr>
          <w:rFonts w:hint="default" w:ascii="Arial" w:hAnsi="Arial" w:cs="Arial"/>
          <w:b/>
          <w:color w:val="auto"/>
          <w:sz w:val="20"/>
        </w:rPr>
        <w:t xml:space="preserve">BROWN, L. E. </w:t>
      </w:r>
      <w:r>
        <w:rPr>
          <w:rFonts w:hint="default" w:ascii="Arial" w:hAnsi="Arial" w:cs="Arial"/>
          <w:color w:val="auto"/>
          <w:sz w:val="20"/>
        </w:rPr>
        <w:t>Isokinetics in Human Performance. Champaign: Human Kinetics, 2000.</w:t>
      </w:r>
    </w:p>
    <w:p w14:paraId="0A2D8C28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  <w:sz w:val="20"/>
        </w:rPr>
      </w:pPr>
      <w:r>
        <w:rPr>
          <w:rFonts w:hint="default" w:ascii="Arial" w:hAnsi="Arial" w:cs="Arial"/>
          <w:b/>
          <w:bCs/>
          <w:color w:val="auto"/>
          <w:sz w:val="20"/>
        </w:rPr>
        <w:t>BIODEX MEDICAL SYSTEMS</w:t>
      </w:r>
      <w:r>
        <w:rPr>
          <w:rFonts w:hint="default" w:ascii="Arial" w:hAnsi="Arial" w:cs="Arial"/>
          <w:color w:val="auto"/>
          <w:sz w:val="20"/>
        </w:rPr>
        <w:t>. Biodex Multi-Joint System - PRO: setup/operation manual (FN: 08-262 Rev A). Shirley, NY: Biodex Medical Systems, Inc., 2011. 98 p.</w:t>
      </w:r>
    </w:p>
    <w:p w14:paraId="5BF975C1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DIAS, R. M. R. et al. </w:t>
      </w:r>
      <w:r>
        <w:rPr>
          <w:rFonts w:hint="default" w:ascii="Arial" w:hAnsi="Arial" w:cs="Arial"/>
          <w:color w:val="auto"/>
          <w:sz w:val="20"/>
        </w:rPr>
        <w:t>Influência do processo de familiarização para avaliação da força muscular em testes de 1-RM. Revista Brasileira de Medicina do Esporte, v. 11, n. 1, p. 34-38, 2005. DOI: 10.1590/S1517-86922005000100004.</w:t>
      </w:r>
    </w:p>
    <w:p w14:paraId="03957C00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DVIR, Z. </w:t>
      </w:r>
      <w:r>
        <w:rPr>
          <w:rFonts w:hint="default" w:ascii="Arial" w:hAnsi="Arial" w:cs="Arial"/>
          <w:color w:val="auto"/>
          <w:sz w:val="20"/>
        </w:rPr>
        <w:t>Isocinética: Avaliações Clínicas e Aplicações Terapêuticas. São Paulo: Manole, 2004.</w:t>
      </w:r>
    </w:p>
    <w:p w14:paraId="1097CF7D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HAFF, G. G.; TRIPLETT, N. T. </w:t>
      </w:r>
      <w:r>
        <w:rPr>
          <w:rFonts w:hint="default" w:ascii="Arial" w:hAnsi="Arial" w:cs="Arial"/>
          <w:color w:val="auto"/>
          <w:sz w:val="20"/>
        </w:rPr>
        <w:t>Essentials of Strength Training and Conditioning. 4th ed. National Strength and Conditioning Association (NSCA). Champaign: Human Kinetics, 2021.</w:t>
      </w:r>
    </w:p>
    <w:p w14:paraId="01639350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HEDBÁVNÝ, P. et al. </w:t>
      </w:r>
      <w:r>
        <w:rPr>
          <w:rFonts w:hint="default" w:ascii="Arial" w:hAnsi="Arial" w:cs="Arial"/>
          <w:color w:val="auto"/>
          <w:sz w:val="20"/>
        </w:rPr>
        <w:t>The relationship between strength abilities and handstand holding time on the floor in artistic gymnastics. Science of Gymnastics Journal, v. 5, n. 3, p. 37-46, 2013.</w:t>
      </w:r>
    </w:p>
    <w:p w14:paraId="2496BC73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HEYWARD, V. H.; STOLARCZYK, L. M. </w:t>
      </w:r>
      <w:r>
        <w:rPr>
          <w:rFonts w:hint="default" w:ascii="Arial" w:hAnsi="Arial" w:cs="Arial"/>
          <w:color w:val="auto"/>
          <w:sz w:val="20"/>
        </w:rPr>
        <w:t>Applied Body Composition Assessment. Champaign: Human Kinetics, 1996.</w:t>
      </w:r>
    </w:p>
    <w:p w14:paraId="2128F97F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JARIC, S. </w:t>
      </w:r>
      <w:r>
        <w:rPr>
          <w:rFonts w:hint="default" w:ascii="Arial" w:hAnsi="Arial" w:cs="Arial"/>
          <w:color w:val="auto"/>
          <w:sz w:val="20"/>
        </w:rPr>
        <w:t>Muscle strength testing: use of normalisation for body size. Sports Medicine, v. 32, n. 10, p. 615-631, 2002. DOI: 10.2165/00007256-200232100-00002.</w:t>
      </w:r>
    </w:p>
    <w:p w14:paraId="0D3620E9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KERWIN, D. G.; TREWARTHA, G. </w:t>
      </w:r>
      <w:r>
        <w:rPr>
          <w:rFonts w:hint="default" w:ascii="Arial" w:hAnsi="Arial" w:cs="Arial"/>
          <w:color w:val="auto"/>
          <w:sz w:val="20"/>
        </w:rPr>
        <w:t>Strategies for maintaining a handstand in the anterior-posterior direction. Sports Biomechanics, v. 1, n. 1, p. 79-96, 2001. DOI: 10.1080/14763140108522788.</w:t>
      </w:r>
    </w:p>
    <w:p w14:paraId="4C9F0489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KYLE, U. G. et al. </w:t>
      </w:r>
      <w:r>
        <w:rPr>
          <w:rFonts w:hint="default" w:ascii="Arial" w:hAnsi="Arial" w:cs="Arial"/>
          <w:color w:val="auto"/>
          <w:sz w:val="20"/>
        </w:rPr>
        <w:t>Bioelectrical impedance analysis—part I: review of principles and methods. Clinical Nutrition, v. 23, n. 5, p. 1226-1243, 2004. DOI: 10.1016/j.clnu.2004.06.004.</w:t>
      </w:r>
    </w:p>
    <w:p w14:paraId="20450AB2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LEMOS, G. D. P. </w:t>
      </w:r>
      <w:r>
        <w:rPr>
          <w:rFonts w:hint="default" w:ascii="Arial" w:hAnsi="Arial" w:cs="Arial"/>
          <w:color w:val="auto"/>
          <w:sz w:val="20"/>
        </w:rPr>
        <w:t>A força máxima no shoulder press relativa à massa corporal é uma medida preditiva do desempenho no strict handstand push-up em praticantes de CrossFit®. Trabalho de Conclusão de Curso (Graduação em Educação Física e Esporte) – Escola de Educação Física e Esporte de Ribeirão Preto, Universidade de São Paulo, Ribeirão Preto, 2024.</w:t>
      </w:r>
    </w:p>
    <w:p w14:paraId="2705389F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LUKASKI, H. C. et al. </w:t>
      </w:r>
      <w:r>
        <w:rPr>
          <w:rFonts w:hint="default" w:ascii="Arial" w:hAnsi="Arial" w:cs="Arial"/>
          <w:color w:val="auto"/>
          <w:sz w:val="20"/>
        </w:rPr>
        <w:t>Validation of tetrapolar bioelectrical impedance method to assess human body composition. Journal of Applied Physiology, v. 60, n. 4, p. 1327-1332, 1986. DOI: 10.1152/jappl.1986.60.4.1327.</w:t>
      </w:r>
    </w:p>
    <w:p w14:paraId="74A67370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MATHIOWETZ, V. </w:t>
      </w:r>
      <w:r>
        <w:rPr>
          <w:rFonts w:hint="default" w:ascii="Arial" w:hAnsi="Arial" w:cs="Arial"/>
          <w:color w:val="auto"/>
          <w:sz w:val="20"/>
        </w:rPr>
        <w:t>Comparison of Rolyan and Jamar dynamometers for measuring grip strength. Occupational Therapy International, v. 9, n. 3, p. 201-209, 2002. DOI: 10.1002/oti.165.</w:t>
      </w:r>
    </w:p>
    <w:p w14:paraId="7DD5F1BA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ROBERTS, H. C. et al. </w:t>
      </w:r>
      <w:r>
        <w:rPr>
          <w:rFonts w:hint="default" w:ascii="Arial" w:hAnsi="Arial" w:cs="Arial"/>
          <w:color w:val="auto"/>
          <w:sz w:val="20"/>
        </w:rPr>
        <w:t>A review of the measurement of grip strength in clinical and epidemiological studies: towards a standardised approach. Age and Ageing, v. 40, n. 4, p. 423-429, 2011. DOI: 10.1093/ageing/afr051.</w:t>
      </w:r>
    </w:p>
    <w:p w14:paraId="5171B201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ROHLEDER, J.; VOGT, T. </w:t>
      </w:r>
      <w:r>
        <w:rPr>
          <w:rFonts w:hint="default" w:ascii="Arial" w:hAnsi="Arial" w:cs="Arial"/>
          <w:color w:val="auto"/>
          <w:sz w:val="20"/>
        </w:rPr>
        <w:t>Wrist strategy in the handstand: An isokinetic and kinematic investigation. Journal of Sports Sciences, v. 36, n. 21, p. 2489-2495, 2018. DOI: 10.1080/02640414.2018.1466986.</w:t>
      </w:r>
    </w:p>
    <w:p w14:paraId="2E139AD2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ROHLEDER, J.; VOGT, T. </w:t>
      </w:r>
      <w:r>
        <w:rPr>
          <w:rFonts w:hint="default" w:ascii="Arial" w:hAnsi="Arial" w:cs="Arial"/>
          <w:color w:val="auto"/>
          <w:sz w:val="20"/>
        </w:rPr>
        <w:t>Neuromuscular and mechanical performance factors in the gymnastic handstand. Science of Gymnastics Journal, v. 11, n. 2, p. 187-198, 2019.</w:t>
      </w:r>
    </w:p>
    <w:p w14:paraId="251A3D01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SABIDO, R. et al. </w:t>
      </w:r>
      <w:r>
        <w:rPr>
          <w:rFonts w:hint="default" w:ascii="Arial" w:hAnsi="Arial" w:cs="Arial"/>
          <w:color w:val="auto"/>
          <w:sz w:val="20"/>
        </w:rPr>
        <w:t>Effects of specialized handstand training on shoulder strength, stability, and endurance in athletic populations. Journal of Sports Science &amp; Medicine, v. 23, n. 2, p. 312-321, 2024.</w:t>
      </w:r>
    </w:p>
    <w:p w14:paraId="4DB54CB8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SANDS, W. A. et al. </w:t>
      </w:r>
      <w:r>
        <w:rPr>
          <w:rFonts w:hint="default" w:ascii="Arial" w:hAnsi="Arial" w:cs="Arial"/>
          <w:color w:val="auto"/>
          <w:sz w:val="20"/>
        </w:rPr>
        <w:t>Static and dynamic posture in gymnastics: A review of balance control and neuromuscular mechanisms. Sports Medicine - Open, v. 2, n. 1, p. 1-14, 2016. DOI: 10.1186/s40798-015-0040-y.</w:t>
      </w:r>
    </w:p>
    <w:p w14:paraId="1841E2CA">
      <w:pPr>
        <w:spacing w:after="120" w:line="276" w:lineRule="auto"/>
        <w:ind w:left="576" w:hanging="576"/>
        <w:jc w:val="both"/>
        <w:rPr>
          <w:rFonts w:hint="default" w:ascii="Arial" w:hAnsi="Arial" w:cs="Arial"/>
          <w:color w:val="auto"/>
        </w:rPr>
      </w:pPr>
      <w:r>
        <w:rPr>
          <w:rFonts w:hint="default" w:ascii="Arial" w:hAnsi="Arial" w:cs="Arial"/>
          <w:b/>
          <w:color w:val="auto"/>
          <w:sz w:val="20"/>
        </w:rPr>
        <w:t xml:space="preserve">SORIANO, M. A. et al. </w:t>
      </w:r>
      <w:r>
        <w:rPr>
          <w:rFonts w:hint="default" w:ascii="Arial" w:hAnsi="Arial" w:cs="Arial"/>
          <w:color w:val="auto"/>
          <w:sz w:val="20"/>
        </w:rPr>
        <w:t>The 1-repetition maximum overhead press test: reliability, validity, and relationship with athletic performance. The Journal of Strength &amp; Conditioning Research, v. 33, n. 5, p. 1245-1252, 2019. DOI: 10.1519/JSC.0000000000002998.</w:t>
      </w:r>
    </w:p>
    <w:p w14:paraId="4BC1B7E0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>SUN, S. S.; CHUMLEA, W. C.; HEYMSFIELD, S. B.; LUKASKI, H. C. et al. Development of bioelectrical impedance analysis prediction equations for body composition with the use of a multicomponent model for use in epidemiologic surveys. The American Journal of Clinical Nutrition, v. 77, n. 2, p. 331–340, 2003. DOI: 10.1093/ajcn/77.2.331.</w:t>
      </w:r>
    </w:p>
    <w:p w14:paraId="376F50F5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>ORGANIZAÇÃO MUNDIAL DA SAÚDE (OMS) / WHO. Diretrizes da OMS para atividade física e comportamento sedentário: num piscar de olhos. Genebra: World Health Organization, 2020.</w:t>
      </w:r>
    </w:p>
    <w:sectPr>
      <w:pgSz w:w="12240" w:h="15840"/>
      <w:pgMar w:top="1411" w:right="1411" w:bottom="1411" w:left="141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0C5D8B"/>
    <w:rsid w:val="0F7B20EC"/>
    <w:rsid w:val="19B8689D"/>
    <w:rsid w:val="34C85D99"/>
    <w:rsid w:val="4BE70714"/>
    <w:rsid w:val="53211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3157</Words>
  <Characters>18226</Characters>
  <Lines>0</Lines>
  <Paragraphs>0</Paragraphs>
  <TotalTime>1199</TotalTime>
  <ScaleCrop>false</ScaleCrop>
  <LinksUpToDate>false</LinksUpToDate>
  <CharactersWithSpaces>21278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Guilherme Lemos</cp:lastModifiedBy>
  <dcterms:modified xsi:type="dcterms:W3CDTF">2026-09-14T20:13:10Z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eyJoZGlkIjoiMThhMzU1YmM3NTljMjE0NWZmODIzMTViY2M4NTA0NWIiLCJ1c2VySWQiOiIxMjM2OTU0MjI3MTM2In0=</vt:lpwstr>
  </property>
  <property fmtid="{D5CDD505-2E9C-101B-9397-08002B2CF9AE}" pid="3" name="KSOProductBuildVer">
    <vt:lpwstr>1046-12.1.0.28032</vt:lpwstr>
  </property>
  <property fmtid="{D5CDD505-2E9C-101B-9397-08002B2CF9AE}" pid="4" name="ICV">
    <vt:lpwstr>80761553E73048E18AA630277531A836_12</vt:lpwstr>
  </property>
</Properties>
</file>