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47F0">
      <w:pPr>
        <w:spacing w:before="280" w:after="4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8"/>
        </w:rPr>
        <w:t>PROCEDIMENTO OPERACIONAL PADRÃO (POP) – SESSÃO 2</w:t>
      </w:r>
    </w:p>
    <w:p w14:paraId="2D469B74">
      <w:pPr>
        <w:spacing w:before="120" w:after="8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CAPTURA CINEMÁTICA 3D (VICON), CINÉTICA (BERTEC) E PIPELINE PYTHON</w:t>
      </w:r>
    </w:p>
    <w:p w14:paraId="00C1F105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Laboratório de Biomecânica e Controle Motor (LaBioCoM) – EEFERP-USP</w:t>
      </w:r>
    </w:p>
    <w:p w14:paraId="4978C176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Projeto de Mestrado:</w:t>
      </w:r>
      <w:r>
        <w:rPr>
          <w:rFonts w:hint="default" w:ascii="Arial" w:hAnsi="Arial" w:cs="Arial"/>
          <w:color w:val="000000"/>
          <w:sz w:val="19"/>
        </w:rPr>
        <w:t xml:space="preserve"> Análise de Fatores Associados ao Desempenho no Handstand e Handstand Walk</w:t>
      </w:r>
    </w:p>
    <w:p w14:paraId="2FA8DFD3">
      <w:pPr>
        <w:spacing w:before="40" w:after="60"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49774785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1. OBJETIVO GERAL DO POP</w:t>
      </w:r>
    </w:p>
    <w:p w14:paraId="47E8B80B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Padronizar minuciosamente todas as etapas operacionais e laboratoriais da </w:t>
      </w:r>
      <w:r>
        <w:rPr>
          <w:rFonts w:hint="default" w:ascii="Arial" w:hAnsi="Arial" w:cs="Arial"/>
          <w:b/>
          <w:color w:val="000000"/>
          <w:sz w:val="19"/>
        </w:rPr>
        <w:t>Sessão 2 (LaBioCoM)</w:t>
      </w:r>
      <w:r>
        <w:rPr>
          <w:rFonts w:hint="default" w:ascii="Arial" w:hAnsi="Arial" w:cs="Arial"/>
          <w:color w:val="000000"/>
          <w:sz w:val="19"/>
        </w:rPr>
        <w:t>:</w:t>
      </w:r>
    </w:p>
    <w:p w14:paraId="050AFC26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Inicialização, estabilização térmica e calibração óptica/cinética do sistema Vicon Nexus e da plataforma Bertec;</w:t>
      </w:r>
    </w:p>
    <w:p w14:paraId="44FCAFE1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Aferição antropométrica manual (9 medidas bilaterais do modelo Plug-in Gait);</w:t>
      </w:r>
    </w:p>
    <w:p w14:paraId="2789370D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Instrumentação com marcadores retrorreflexivos </w:t>
      </w:r>
    </w:p>
    <w:p w14:paraId="5FD9C4D5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Condução do aquecimento neuromuscular padronizado com exercícios específicos para punhos, escápulas, core e inversão;</w:t>
      </w:r>
    </w:p>
    <w:p w14:paraId="13822D8A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Execução dos blocos de equilíbrio estático (</w:t>
      </w:r>
      <w:r>
        <w:rPr>
          <w:rFonts w:hint="default" w:ascii="Arial" w:hAnsi="Arial" w:cs="Arial"/>
          <w:b/>
          <w:color w:val="000000"/>
          <w:sz w:val="19"/>
        </w:rPr>
        <w:t>Handstand Assistido e Livre</w:t>
      </w:r>
      <w:r>
        <w:rPr>
          <w:rFonts w:hint="default" w:ascii="Arial" w:hAnsi="Arial" w:cs="Arial"/>
          <w:color w:val="000000"/>
          <w:sz w:val="19"/>
        </w:rPr>
        <w:t>) e locomoção dinâmica (</w:t>
      </w:r>
      <w:r>
        <w:rPr>
          <w:rFonts w:hint="default" w:ascii="Arial" w:hAnsi="Arial" w:cs="Arial"/>
          <w:b/>
          <w:color w:val="000000"/>
          <w:sz w:val="19"/>
        </w:rPr>
        <w:t>Handstand Walk</w:t>
      </w:r>
      <w:r>
        <w:rPr>
          <w:rFonts w:hint="default" w:ascii="Arial" w:hAnsi="Arial" w:cs="Arial"/>
          <w:color w:val="000000"/>
          <w:sz w:val="19"/>
        </w:rPr>
        <w:t>);</w:t>
      </w:r>
    </w:p>
    <w:p w14:paraId="338BD3D9">
      <w:pPr>
        <w:pStyle w:val="35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Pós-processamento automatizado em Python (filtragem, reconstrução SVD de ombros ocluídos, detecção de eventos e consolidação das variáveis biomecânicas).</w:t>
      </w:r>
    </w:p>
    <w:p w14:paraId="59CAACBB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2. MOMENTO ZERO: CRITÉRIOS PRÉVIOS E PREPARAÇÃO DO PARTICIPANTE</w:t>
      </w:r>
    </w:p>
    <w:p w14:paraId="2F684D28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2.1 Janela Inter-Sessões:</w:t>
      </w:r>
      <w:r>
        <w:rPr>
          <w:rFonts w:hint="default" w:ascii="Arial" w:hAnsi="Arial" w:cs="Arial"/>
          <w:color w:val="000000"/>
          <w:sz w:val="19"/>
        </w:rPr>
        <w:t xml:space="preserve"> Realizada obrigatoriamente entre </w:t>
      </w:r>
      <w:r>
        <w:rPr>
          <w:rFonts w:hint="default" w:ascii="Arial" w:hAnsi="Arial" w:cs="Arial"/>
          <w:b/>
          <w:color w:val="000000"/>
          <w:sz w:val="19"/>
        </w:rPr>
        <w:t>48 horas e 7 dias</w:t>
      </w:r>
      <w:r>
        <w:rPr>
          <w:rFonts w:hint="default" w:ascii="Arial" w:hAnsi="Arial" w:cs="Arial"/>
          <w:color w:val="000000"/>
          <w:sz w:val="19"/>
        </w:rPr>
        <w:t xml:space="preserve"> após a Sessão 1 (LaCiDH), garantindo recuperação muscular plena sem perda de condicionamento.</w:t>
      </w:r>
    </w:p>
    <w:p w14:paraId="162CBC19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2.2 Descanso Prévio &amp; Recuperação:</w:t>
      </w:r>
      <w:r>
        <w:rPr>
          <w:rFonts w:hint="default" w:ascii="Arial" w:hAnsi="Arial" w:cs="Arial"/>
          <w:color w:val="000000"/>
          <w:sz w:val="19"/>
        </w:rPr>
        <w:t xml:space="preserve"> Ausência de treinamento físico vigoroso nas 48 horas antecedentes que induza fadiga residual nos membros superiores, cintura escapular ou tronco.</w:t>
      </w:r>
    </w:p>
    <w:p w14:paraId="70C8A0D3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2.3 Vestimenta Obrigatória &amp; Cabelos:</w:t>
      </w:r>
      <w:r>
        <w:rPr>
          <w:rFonts w:hint="default" w:ascii="Arial" w:hAnsi="Arial" w:cs="Arial"/>
          <w:color w:val="000000"/>
          <w:sz w:val="19"/>
        </w:rPr>
        <w:t xml:space="preserve"> Roupas esportivas de compressão justas (top esportivo / shorts curto de lycra) para permitir a fixação estável dos marcadores sobre os marcos ósseos e mitigar artefatos de tecidos moles (*Soft Tissue Artifacts* - STA). Cabelos longos devem ser rigidamente presos em </w:t>
      </w:r>
      <w:r>
        <w:rPr>
          <w:rFonts w:hint="default" w:ascii="Arial" w:hAnsi="Arial" w:cs="Arial"/>
          <w:b/>
          <w:color w:val="000000"/>
          <w:sz w:val="19"/>
        </w:rPr>
        <w:t>coque alto</w:t>
      </w:r>
      <w:r>
        <w:rPr>
          <w:rFonts w:hint="default" w:ascii="Arial" w:hAnsi="Arial" w:cs="Arial"/>
          <w:color w:val="000000"/>
          <w:sz w:val="19"/>
        </w:rPr>
        <w:t xml:space="preserve"> para desobstruir os marcadores da cabeça e da coluna cervical.</w:t>
      </w:r>
    </w:p>
    <w:p w14:paraId="79BD460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2.4 Preparação da Pele:</w:t>
      </w:r>
      <w:r>
        <w:rPr>
          <w:rFonts w:hint="default" w:ascii="Arial" w:hAnsi="Arial" w:cs="Arial"/>
          <w:color w:val="000000"/>
          <w:sz w:val="19"/>
        </w:rPr>
        <w:t xml:space="preserve"> Palpação dos marcos anatômicos e assepsia prévia com gaze embebida em álcool a 70% para garantir aderência ideal da fita adesiva dupla-face.</w:t>
      </w:r>
    </w:p>
    <w:p w14:paraId="499D51A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3. CRONOGRAMA E FLUXOGRAMA DOS TESTES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429"/>
        <w:gridCol w:w="2401"/>
        <w:gridCol w:w="2393"/>
      </w:tblGrid>
      <w:tr w14:paraId="5619DAD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000000"/>
          </w:tcPr>
          <w:p w14:paraId="63F3744B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Etapa</w:t>
            </w:r>
          </w:p>
        </w:tc>
        <w:tc>
          <w:tcPr>
            <w:tcW w:w="2520" w:type="dxa"/>
            <w:shd w:val="clear" w:color="auto" w:fill="000000"/>
          </w:tcPr>
          <w:p w14:paraId="38A1DB09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Procedimento / Bloco</w:t>
            </w:r>
          </w:p>
        </w:tc>
        <w:tc>
          <w:tcPr>
            <w:tcW w:w="2520" w:type="dxa"/>
            <w:shd w:val="clear" w:color="auto" w:fill="000000"/>
          </w:tcPr>
          <w:p w14:paraId="1183933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Duração / Tentativas</w:t>
            </w:r>
          </w:p>
        </w:tc>
        <w:tc>
          <w:tcPr>
            <w:tcW w:w="2520" w:type="dxa"/>
            <w:shd w:val="clear" w:color="auto" w:fill="000000"/>
          </w:tcPr>
          <w:p w14:paraId="73E2793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Intervalo de Repouso</w:t>
            </w:r>
          </w:p>
        </w:tc>
      </w:tr>
      <w:tr w14:paraId="5B8F5A8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32277A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Setup</w:t>
            </w:r>
          </w:p>
        </w:tc>
        <w:tc>
          <w:tcPr>
            <w:tcW w:w="2520" w:type="dxa"/>
            <w:shd w:val="clear" w:color="auto" w:fill="FAFAFA"/>
          </w:tcPr>
          <w:p w14:paraId="2F3FDD7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Warm-up eletrônico do Vicon + Antropometria manual</w:t>
            </w:r>
          </w:p>
        </w:tc>
        <w:tc>
          <w:tcPr>
            <w:tcW w:w="2520" w:type="dxa"/>
            <w:shd w:val="clear" w:color="auto" w:fill="FAFAFA"/>
          </w:tcPr>
          <w:p w14:paraId="03194D0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30 minutos contínuos</w:t>
            </w:r>
          </w:p>
        </w:tc>
        <w:tc>
          <w:tcPr>
            <w:tcW w:w="2520" w:type="dxa"/>
            <w:shd w:val="clear" w:color="auto" w:fill="FAFAFA"/>
          </w:tcPr>
          <w:p w14:paraId="5372A76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772999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77268D8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Calibração</w:t>
            </w:r>
          </w:p>
        </w:tc>
        <w:tc>
          <w:tcPr>
            <w:tcW w:w="2520" w:type="dxa"/>
          </w:tcPr>
          <w:p w14:paraId="14787FE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Varinha Vicon + Zero Bertec + Ensaio Estático (Cal.c3d)</w:t>
            </w:r>
          </w:p>
        </w:tc>
        <w:tc>
          <w:tcPr>
            <w:tcW w:w="2520" w:type="dxa"/>
          </w:tcPr>
          <w:p w14:paraId="2FEDE48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</w:tcPr>
          <w:p w14:paraId="654AEB6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3B7C668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59EE695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Aquecimento</w:t>
            </w:r>
          </w:p>
        </w:tc>
        <w:tc>
          <w:tcPr>
            <w:tcW w:w="2520" w:type="dxa"/>
            <w:shd w:val="clear" w:color="auto" w:fill="FAFAFA"/>
          </w:tcPr>
          <w:p w14:paraId="5297A2A3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 xml:space="preserve">Mobilidade em pé, prancha alta, pike e ativação na parede </w:t>
            </w:r>
          </w:p>
        </w:tc>
        <w:tc>
          <w:tcPr>
            <w:tcW w:w="2520" w:type="dxa"/>
            <w:shd w:val="clear" w:color="auto" w:fill="FAFAFA"/>
          </w:tcPr>
          <w:p w14:paraId="54FC2D1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4 a 5 minutos</w:t>
            </w:r>
          </w:p>
        </w:tc>
        <w:tc>
          <w:tcPr>
            <w:tcW w:w="2520" w:type="dxa"/>
            <w:shd w:val="clear" w:color="auto" w:fill="FAFAFA"/>
          </w:tcPr>
          <w:p w14:paraId="2E71A4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Imediato ao teste</w:t>
            </w:r>
          </w:p>
        </w:tc>
      </w:tr>
      <w:tr w14:paraId="15CEB09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2F061D9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 Assistido</w:t>
            </w:r>
          </w:p>
        </w:tc>
        <w:tc>
          <w:tcPr>
            <w:tcW w:w="2520" w:type="dxa"/>
          </w:tcPr>
          <w:p w14:paraId="1991EFE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 xml:space="preserve">Subidas guiadas com de </w:t>
            </w:r>
            <w:r>
              <w:rPr>
                <w:rFonts w:hint="default" w:ascii="Arial" w:hAnsi="Arial" w:cs="Arial"/>
                <w:color w:val="000000"/>
                <w:sz w:val="18"/>
                <w:lang w:val="pt-BR"/>
              </w:rPr>
              <w:t>3</w:t>
            </w:r>
            <w:r>
              <w:rPr>
                <w:rFonts w:hint="default" w:ascii="Arial" w:hAnsi="Arial" w:cs="Arial"/>
                <w:color w:val="000000"/>
                <w:sz w:val="18"/>
              </w:rPr>
              <w:t xml:space="preserve"> segundos</w:t>
            </w:r>
          </w:p>
        </w:tc>
        <w:tc>
          <w:tcPr>
            <w:tcW w:w="2520" w:type="dxa"/>
          </w:tcPr>
          <w:p w14:paraId="0392E98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tentativas</w:t>
            </w:r>
          </w:p>
        </w:tc>
        <w:tc>
          <w:tcPr>
            <w:tcW w:w="2520" w:type="dxa"/>
          </w:tcPr>
          <w:p w14:paraId="49C2374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3CB31577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F0C041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7339EE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sentado + Hidratação livre</w:t>
            </w:r>
          </w:p>
        </w:tc>
        <w:tc>
          <w:tcPr>
            <w:tcW w:w="2520" w:type="dxa"/>
            <w:shd w:val="clear" w:color="auto" w:fill="FAFAFA"/>
          </w:tcPr>
          <w:p w14:paraId="7120018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minutos</w:t>
            </w:r>
          </w:p>
        </w:tc>
        <w:tc>
          <w:tcPr>
            <w:tcW w:w="2520" w:type="dxa"/>
            <w:shd w:val="clear" w:color="auto" w:fill="FAFAFA"/>
          </w:tcPr>
          <w:p w14:paraId="5999D1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11EA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3C96A2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 Livre</w:t>
            </w:r>
          </w:p>
        </w:tc>
        <w:tc>
          <w:tcPr>
            <w:tcW w:w="2520" w:type="dxa"/>
          </w:tcPr>
          <w:p w14:paraId="0EC7F85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Subidas autônomas (kick-up) sobre a plataforma</w:t>
            </w:r>
          </w:p>
        </w:tc>
        <w:tc>
          <w:tcPr>
            <w:tcW w:w="2520" w:type="dxa"/>
          </w:tcPr>
          <w:p w14:paraId="6157CE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 tentativas</w:t>
            </w:r>
          </w:p>
        </w:tc>
        <w:tc>
          <w:tcPr>
            <w:tcW w:w="2520" w:type="dxa"/>
          </w:tcPr>
          <w:p w14:paraId="610608F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6492B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488E2E5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Transição</w:t>
            </w:r>
          </w:p>
        </w:tc>
        <w:tc>
          <w:tcPr>
            <w:tcW w:w="2520" w:type="dxa"/>
            <w:shd w:val="clear" w:color="auto" w:fill="FAFAFA"/>
          </w:tcPr>
          <w:p w14:paraId="4370CB3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Repouso passivo completo (recuperação de PCr e sistema vestibular)</w:t>
            </w:r>
          </w:p>
        </w:tc>
        <w:tc>
          <w:tcPr>
            <w:tcW w:w="2520" w:type="dxa"/>
            <w:shd w:val="clear" w:color="auto" w:fill="FAFAFA"/>
          </w:tcPr>
          <w:p w14:paraId="32601A6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10 minutos</w:t>
            </w:r>
          </w:p>
        </w:tc>
        <w:tc>
          <w:tcPr>
            <w:tcW w:w="2520" w:type="dxa"/>
            <w:shd w:val="clear" w:color="auto" w:fill="FAFAFA"/>
          </w:tcPr>
          <w:p w14:paraId="4DCB121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—</w:t>
            </w:r>
          </w:p>
        </w:tc>
      </w:tr>
      <w:tr w14:paraId="5B52821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7C2D2F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HSW Dinâmico</w:t>
            </w:r>
          </w:p>
        </w:tc>
        <w:tc>
          <w:tcPr>
            <w:tcW w:w="2520" w:type="dxa"/>
          </w:tcPr>
          <w:p w14:paraId="55BACA0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Marcha de 4m na pista instrumentada</w:t>
            </w:r>
          </w:p>
        </w:tc>
        <w:tc>
          <w:tcPr>
            <w:tcW w:w="2520" w:type="dxa"/>
          </w:tcPr>
          <w:p w14:paraId="69BE0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5 tentativas válidas</w:t>
            </w:r>
          </w:p>
        </w:tc>
        <w:tc>
          <w:tcPr>
            <w:tcW w:w="2520" w:type="dxa"/>
          </w:tcPr>
          <w:p w14:paraId="4760135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90 segundos entre tent.</w:t>
            </w:r>
          </w:p>
        </w:tc>
      </w:tr>
      <w:tr w14:paraId="5E891E8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AFAFA"/>
          </w:tcPr>
          <w:p w14:paraId="09E21B7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Pós-Coleta</w:t>
            </w:r>
          </w:p>
        </w:tc>
        <w:tc>
          <w:tcPr>
            <w:tcW w:w="2520" w:type="dxa"/>
            <w:shd w:val="clear" w:color="auto" w:fill="FAFAFA"/>
          </w:tcPr>
          <w:p w14:paraId="3B86A3B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Pipeline Python e exportação das matrizes de variáveis</w:t>
            </w:r>
          </w:p>
        </w:tc>
        <w:tc>
          <w:tcPr>
            <w:tcW w:w="2520" w:type="dxa"/>
            <w:shd w:val="clear" w:color="auto" w:fill="FAFAFA"/>
          </w:tcPr>
          <w:p w14:paraId="2212D77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~5 minutos</w:t>
            </w:r>
          </w:p>
        </w:tc>
        <w:tc>
          <w:tcPr>
            <w:tcW w:w="2520" w:type="dxa"/>
            <w:shd w:val="clear" w:color="auto" w:fill="FAFAFA"/>
          </w:tcPr>
          <w:p w14:paraId="65233BF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Conclusão</w:t>
            </w:r>
          </w:p>
        </w:tc>
      </w:tr>
    </w:tbl>
    <w:p w14:paraId="1D1FE4D9">
      <w:pPr>
        <w:jc w:val="both"/>
        <w:rPr>
          <w:rFonts w:hint="default" w:ascii="Arial" w:hAnsi="Arial" w:cs="Arial"/>
        </w:rPr>
      </w:pPr>
    </w:p>
    <w:p w14:paraId="79B6AD92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 CONFIGURAÇÃO DO SISTEMA, ANTROPOMETRIA E MAPA DE MARCADORES</w:t>
      </w:r>
    </w:p>
    <w:p w14:paraId="53D53220">
      <w:pPr>
        <w:spacing w:before="20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4"/>
        </w:rPr>
        <w:t>4.1 Checklist de Inicialização e Estabilização Térmica (Rotina Oficial LaBioCoM)</w:t>
      </w:r>
    </w:p>
    <w:p w14:paraId="2856BE32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evitar falhas de comunicação de rede, sincronismo e deriva térmica (*thermal drift*), siga a sequência rigorosa:</w:t>
      </w:r>
    </w:p>
    <w:p w14:paraId="4C2D1EAC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Ar-Condicionado a 19 °C:</w:t>
      </w:r>
      <w:r>
        <w:rPr>
          <w:rFonts w:hint="default" w:ascii="Arial" w:hAnsi="Arial" w:cs="Arial"/>
          <w:color w:val="000000"/>
          <w:sz w:val="19"/>
        </w:rPr>
        <w:t xml:space="preserve"> O termostato deve ser mantido em 19 °C ininterruptamente para estabilidade eletrônica e óptica das câmeras.</w:t>
      </w:r>
    </w:p>
    <w:p w14:paraId="1B3ED6D2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Unidade MX Giganet:</w:t>
      </w:r>
      <w:r>
        <w:rPr>
          <w:rFonts w:hint="default" w:ascii="Arial" w:hAnsi="Arial" w:cs="Arial"/>
          <w:color w:val="000000"/>
          <w:sz w:val="19"/>
        </w:rPr>
        <w:t xml:space="preserve"> Acionar a chave no painel traseiro (sincronizador central de hardware).</w:t>
      </w:r>
    </w:p>
    <w:p w14:paraId="34970897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Switch de Rede PoE+:</w:t>
      </w:r>
      <w:r>
        <w:rPr>
          <w:rFonts w:hint="default" w:ascii="Arial" w:hAnsi="Arial" w:cs="Arial"/>
          <w:color w:val="000000"/>
          <w:sz w:val="19"/>
        </w:rPr>
        <w:t xml:space="preserve"> Acionar o switch Gigabit Ethernet das câmeras.</w:t>
      </w:r>
    </w:p>
    <w:p w14:paraId="4591E6BE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o Computador de Aquisição:</w:t>
      </w:r>
      <w:r>
        <w:rPr>
          <w:rFonts w:hint="default" w:ascii="Arial" w:hAnsi="Arial" w:cs="Arial"/>
          <w:color w:val="000000"/>
          <w:sz w:val="19"/>
        </w:rPr>
        <w:t xml:space="preserve"> Ligar a CPU dedicada ao Vicon Nexus.</w:t>
      </w:r>
    </w:p>
    <w:p w14:paraId="55CEE6A9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Ligar a TV / Monitor de Retorno:</w:t>
      </w:r>
      <w:r>
        <w:rPr>
          <w:rFonts w:hint="default" w:ascii="Arial" w:hAnsi="Arial" w:cs="Arial"/>
          <w:color w:val="000000"/>
          <w:sz w:val="19"/>
        </w:rPr>
        <w:t xml:space="preserve"> Ligar a televisão e selecionar a entrada </w:t>
      </w:r>
      <w:r>
        <w:rPr>
          <w:rFonts w:hint="default" w:ascii="Arial" w:hAnsi="Arial" w:cs="Arial"/>
          <w:b/>
          <w:color w:val="000000"/>
          <w:sz w:val="19"/>
        </w:rPr>
        <w:t>HDMI 3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44C2D497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Abrir o Vicon Nexus:</w:t>
      </w:r>
      <w:r>
        <w:rPr>
          <w:rFonts w:hint="default" w:ascii="Arial" w:hAnsi="Arial" w:cs="Arial"/>
          <w:color w:val="000000"/>
          <w:sz w:val="19"/>
        </w:rPr>
        <w:t xml:space="preserve"> No painel lateral esquerdo (*System*), confirmar se todas as câmeras (1 Vantage + 8 MX-T40S) apresentam </w:t>
      </w:r>
      <w:r>
        <w:rPr>
          <w:rFonts w:hint="default" w:ascii="Arial" w:hAnsi="Arial" w:cs="Arial"/>
          <w:b/>
          <w:color w:val="000000"/>
          <w:sz w:val="19"/>
        </w:rPr>
        <w:t>círculos verdes</w:t>
      </w:r>
      <w:r>
        <w:rPr>
          <w:rFonts w:hint="default" w:ascii="Arial" w:hAnsi="Arial" w:cs="Arial"/>
          <w:color w:val="000000"/>
          <w:sz w:val="19"/>
        </w:rPr>
        <w:t xml:space="preserve"> operacionais.</w:t>
      </w:r>
    </w:p>
    <w:p w14:paraId="7B94A4D6">
      <w:pPr>
        <w:pStyle w:val="35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Estabilização Térmica Obrigatória (30 minutos):</w:t>
      </w:r>
    </w:p>
    <w:p w14:paraId="7D55F85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As câmeras ópticas exigem 30 minutos após serem energizadas para estabilização de sua temperatura interna de operação. A dilatação micrométrica das lentes faz com que as câmeras reconstruam marcadores em posições oscilantes (*thermal drift*), degradando a precisão submilimétrica.</w:t>
      </w:r>
    </w:p>
    <w:p w14:paraId="1957B323">
      <w:pPr>
        <w:pStyle w:val="34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Ações simultâneas da equipe durante os 30 min:</w:t>
      </w:r>
      <w:r>
        <w:rPr>
          <w:rFonts w:hint="default" w:ascii="Arial" w:hAnsi="Arial" w:cs="Arial"/>
          <w:color w:val="000000"/>
          <w:sz w:val="19"/>
        </w:rPr>
        <w:t xml:space="preserve"> Recepção do voluntário, conferência de prontidão, colocação da roupa de compressão, fixação de cabelo em coque alto, assepsia com álcool a 70% e </w:t>
      </w:r>
      <w:r>
        <w:rPr>
          <w:rFonts w:hint="default" w:ascii="Arial" w:hAnsi="Arial" w:cs="Arial"/>
          <w:b/>
          <w:color w:val="000000"/>
          <w:sz w:val="19"/>
        </w:rPr>
        <w:t>aferição antropométrica manual das 9 medidas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70790CB1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4.2 Calibração Óptica e Cinética</w:t>
      </w:r>
    </w:p>
    <w:p w14:paraId="38397D3A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os 30 minutos de estabilização térmica:</w:t>
      </w:r>
    </w:p>
    <w:p w14:paraId="3D052523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Mascaramento de Reflexos Parasitas (Mask Cameras):</w:t>
      </w:r>
      <w:r>
        <w:rPr>
          <w:rFonts w:hint="default" w:ascii="Arial" w:hAnsi="Arial" w:cs="Arial"/>
          <w:color w:val="000000"/>
          <w:sz w:val="19"/>
        </w:rPr>
        <w:t xml:space="preserve"> Acionar Mask Cameras (All Cameras) por 5 segundos para isolar reflexos espúrios de parafusos e piso.</w:t>
      </w:r>
    </w:p>
    <w:p w14:paraId="7E1BF6D7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Calibração Dinâmica do Volume (Wand Calibration):</w:t>
      </w:r>
    </w:p>
    <w:p w14:paraId="2E786E9C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Movimentar a varinha em T em trajetórias em "8" contínuas cobrindo todo o volume 3D (do chão até a altura máxima dos pés na vertical);</w:t>
      </w:r>
    </w:p>
    <w:p w14:paraId="6721321B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Acumular ~3.500 frames válidos avistados por múltiplas câmeras simultaneamente;</w:t>
      </w:r>
    </w:p>
    <w:p w14:paraId="3861A6D2">
      <w:pPr>
        <w:pStyle w:val="34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 de Aceitação:</w:t>
      </w:r>
      <w:r>
        <w:rPr>
          <w:rFonts w:hint="default" w:ascii="Arial" w:hAnsi="Arial" w:cs="Arial"/>
          <w:color w:val="000000"/>
          <w:sz w:val="19"/>
        </w:rPr>
        <w:t xml:space="preserve"> Erro residual médio de calibração </w:t>
      </w:r>
      <w:r>
        <w:rPr>
          <w:rFonts w:hint="default" w:ascii="Arial" w:hAnsi="Arial" w:cs="Arial"/>
          <w:b/>
          <w:color w:val="000000"/>
          <w:sz w:val="19"/>
        </w:rPr>
        <w:t>&lt; 0,20 mm</w:t>
      </w:r>
      <w:r>
        <w:rPr>
          <w:rFonts w:hint="default" w:ascii="Arial" w:hAnsi="Arial" w:cs="Arial"/>
          <w:color w:val="000000"/>
          <w:sz w:val="19"/>
        </w:rPr>
        <w:t xml:space="preserve"> (limite máximo de tolerância do laboratório &lt; 0,30 mm).</w:t>
      </w:r>
    </w:p>
    <w:p w14:paraId="5A8EFD2E">
      <w:pPr>
        <w:pStyle w:val="34"/>
        <w:numPr>
          <w:ilvl w:val="0"/>
          <w:numId w:val="7"/>
        </w:numPr>
        <w:tabs>
          <w:tab w:val="clear" w:pos="42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Origem Global do Sistema (Set Volume Origin):</w:t>
      </w:r>
    </w:p>
    <w:p w14:paraId="0E3DC7DD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>Posicionar o gabarito em L nivelado sobre a plataforma Bertec;</w:t>
      </w:r>
    </w:p>
    <w:p w14:paraId="16D6C050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lang w:val="pt-BR"/>
        </w:rPr>
        <w:tab/>
      </w:r>
      <w:r>
        <w:rPr>
          <w:rFonts w:hint="default" w:ascii="Arial" w:hAnsi="Arial" w:cs="Arial"/>
          <w:color w:val="000000"/>
          <w:sz w:val="19"/>
        </w:rPr>
        <w:t xml:space="preserve">Convenção oficial dos eixos: </w:t>
      </w:r>
      <w:r>
        <w:rPr>
          <w:rFonts w:hint="default" w:ascii="Arial" w:hAnsi="Arial" w:cs="Arial"/>
          <w:b/>
          <w:color w:val="000000"/>
          <w:sz w:val="19"/>
        </w:rPr>
        <w:t>X = Médio-Lateral</w:t>
      </w:r>
      <w:r>
        <w:rPr>
          <w:rFonts w:hint="default" w:ascii="Arial" w:hAnsi="Arial" w:cs="Arial"/>
          <w:color w:val="000000"/>
          <w:sz w:val="19"/>
        </w:rPr>
        <w:t xml:space="preserve">, </w:t>
      </w:r>
      <w:r>
        <w:rPr>
          <w:rFonts w:hint="default" w:ascii="Arial" w:hAnsi="Arial" w:cs="Arial"/>
          <w:b/>
          <w:color w:val="000000"/>
          <w:sz w:val="19"/>
        </w:rPr>
        <w:t>Y = Ântero-Posterior</w:t>
      </w:r>
      <w:r>
        <w:rPr>
          <w:rFonts w:hint="default" w:ascii="Arial" w:hAnsi="Arial" w:cs="Arial"/>
          <w:color w:val="000000"/>
          <w:sz w:val="19"/>
        </w:rPr>
        <w:t xml:space="preserve"> (sentido da marcha) e </w:t>
      </w:r>
      <w:r>
        <w:rPr>
          <w:rFonts w:hint="default" w:ascii="Arial" w:hAnsi="Arial" w:cs="Arial"/>
          <w:b/>
          <w:color w:val="000000"/>
          <w:sz w:val="19"/>
        </w:rPr>
        <w:t>Z = Vertical absoluto</w:t>
      </w:r>
      <w:r>
        <w:rPr>
          <w:rFonts w:hint="default" w:ascii="Arial" w:hAnsi="Arial" w:cs="Arial"/>
          <w:color w:val="000000"/>
          <w:sz w:val="19"/>
        </w:rPr>
        <w:t xml:space="preserve"> (apontando para cima).</w:t>
      </w:r>
    </w:p>
    <w:p w14:paraId="2E401BB9">
      <w:pPr>
        <w:pStyle w:val="35"/>
        <w:numPr>
          <w:ilvl w:val="0"/>
          <w:numId w:val="7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Zero da Bertec &amp; Sincronização:</w:t>
      </w:r>
      <w:r>
        <w:rPr>
          <w:rFonts w:hint="default" w:ascii="Arial" w:hAnsi="Arial" w:cs="Arial"/>
          <w:color w:val="000000"/>
          <w:sz w:val="19"/>
        </w:rPr>
        <w:t xml:space="preserve"> Zerar os canais analógicos da plataforma com o piso descarregado. Frequências: </w:t>
      </w:r>
      <w:r>
        <w:rPr>
          <w:rFonts w:hint="default" w:ascii="Arial" w:hAnsi="Arial" w:cs="Arial"/>
          <w:b/>
          <w:color w:val="000000"/>
          <w:sz w:val="19"/>
        </w:rPr>
        <w:t>Cinemática a 100 Hz</w:t>
      </w:r>
      <w:r>
        <w:rPr>
          <w:rFonts w:hint="default" w:ascii="Arial" w:hAnsi="Arial" w:cs="Arial"/>
          <w:color w:val="000000"/>
          <w:sz w:val="19"/>
        </w:rPr>
        <w:t xml:space="preserve"> e </w:t>
      </w:r>
      <w:r>
        <w:rPr>
          <w:rFonts w:hint="default" w:ascii="Arial" w:hAnsi="Arial" w:cs="Arial"/>
          <w:b/>
          <w:color w:val="000000"/>
          <w:sz w:val="19"/>
        </w:rPr>
        <w:t>Bertec a 1.000 Hz</w:t>
      </w:r>
      <w:r>
        <w:rPr>
          <w:rFonts w:hint="default" w:ascii="Arial" w:hAnsi="Arial" w:cs="Arial"/>
          <w:color w:val="000000"/>
          <w:sz w:val="19"/>
        </w:rPr>
        <w:t>, sincronizados via hardware.</w:t>
      </w:r>
    </w:p>
    <w:p w14:paraId="73139C4F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4.3 Protocolo de Aferição Antropométrica Manual (9 Medidas Vicon Plug-in Gait)</w:t>
      </w:r>
    </w:p>
    <w:p w14:paraId="6DB22249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Todas as grandezas devem ser aferidas bilateralmente em </w:t>
      </w:r>
      <w:r>
        <w:rPr>
          <w:rFonts w:hint="default" w:ascii="Arial" w:hAnsi="Arial" w:cs="Arial"/>
          <w:b/>
          <w:color w:val="000000"/>
          <w:sz w:val="19"/>
        </w:rPr>
        <w:t>milímetros (mm)</w:t>
      </w:r>
      <w:r>
        <w:rPr>
          <w:rFonts w:hint="default" w:ascii="Arial" w:hAnsi="Arial" w:cs="Arial"/>
          <w:color w:val="000000"/>
          <w:sz w:val="19"/>
        </w:rPr>
        <w:t xml:space="preserve"> com paquímetro antropométrico ou fita métrica inextensível e digitadas na planilha de campo e no formulário de sujeito do Nexus: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278"/>
        <w:gridCol w:w="1847"/>
        <w:gridCol w:w="1659"/>
        <w:gridCol w:w="1696"/>
      </w:tblGrid>
      <w:tr w14:paraId="16AAE5B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4071453C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#</w:t>
            </w:r>
          </w:p>
        </w:tc>
        <w:tc>
          <w:tcPr>
            <w:tcW w:w="2016" w:type="dxa"/>
            <w:shd w:val="clear" w:color="auto" w:fill="000000"/>
          </w:tcPr>
          <w:p w14:paraId="5F01A7D7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Variável na Planilha</w:t>
            </w:r>
          </w:p>
        </w:tc>
        <w:tc>
          <w:tcPr>
            <w:tcW w:w="2016" w:type="dxa"/>
            <w:shd w:val="clear" w:color="auto" w:fill="000000"/>
          </w:tcPr>
          <w:p w14:paraId="14F6046B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Marco Anatômico &amp; Posicionamento</w:t>
            </w:r>
          </w:p>
        </w:tc>
        <w:tc>
          <w:tcPr>
            <w:tcW w:w="2016" w:type="dxa"/>
            <w:shd w:val="clear" w:color="auto" w:fill="000000"/>
          </w:tcPr>
          <w:p w14:paraId="5C9E268C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Instrumento</w:t>
            </w:r>
          </w:p>
        </w:tc>
        <w:tc>
          <w:tcPr>
            <w:tcW w:w="2016" w:type="dxa"/>
            <w:shd w:val="clear" w:color="auto" w:fill="000000"/>
          </w:tcPr>
          <w:p w14:paraId="41294D7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Função no Modelo Cinemático</w:t>
            </w:r>
          </w:p>
        </w:tc>
      </w:tr>
      <w:tr w14:paraId="45B96A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5AF992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31630A0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Ombro_Offset_D/E_mm</w:t>
            </w:r>
          </w:p>
        </w:tc>
        <w:tc>
          <w:tcPr>
            <w:tcW w:w="2016" w:type="dxa"/>
            <w:shd w:val="clear" w:color="auto" w:fill="FAFAFA"/>
          </w:tcPr>
          <w:p w14:paraId="056C3BA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vertical da borda superior do acrômio ao sulco bicipital / tubérculo maior</w:t>
            </w:r>
          </w:p>
        </w:tc>
        <w:tc>
          <w:tcPr>
            <w:tcW w:w="2016" w:type="dxa"/>
            <w:shd w:val="clear" w:color="auto" w:fill="FAFAFA"/>
          </w:tcPr>
          <w:p w14:paraId="3A7C571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245E885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da glenoumeral</w:t>
            </w:r>
          </w:p>
        </w:tc>
      </w:tr>
      <w:tr w14:paraId="2F14041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78506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F7BC66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Cotovelo_Largura_D/E_mm</w:t>
            </w:r>
          </w:p>
        </w:tc>
        <w:tc>
          <w:tcPr>
            <w:tcW w:w="2016" w:type="dxa"/>
          </w:tcPr>
          <w:p w14:paraId="1EA685C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biepicondilar do úmero (comprimir tecidos moles firmemente)</w:t>
            </w:r>
          </w:p>
        </w:tc>
        <w:tc>
          <w:tcPr>
            <w:tcW w:w="2016" w:type="dxa"/>
          </w:tcPr>
          <w:p w14:paraId="48498AB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05ED510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cotovelo</w:t>
            </w:r>
          </w:p>
        </w:tc>
      </w:tr>
      <w:tr w14:paraId="376B8E6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B400F9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3</w:t>
            </w:r>
          </w:p>
        </w:tc>
        <w:tc>
          <w:tcPr>
            <w:tcW w:w="2016" w:type="dxa"/>
            <w:shd w:val="clear" w:color="auto" w:fill="FAFAFA"/>
          </w:tcPr>
          <w:p w14:paraId="5C30B4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Punho_Largura_D/E_mm</w:t>
            </w:r>
          </w:p>
        </w:tc>
        <w:tc>
          <w:tcPr>
            <w:tcW w:w="2016" w:type="dxa"/>
            <w:shd w:val="clear" w:color="auto" w:fill="FAFAFA"/>
          </w:tcPr>
          <w:p w14:paraId="222C36D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entre os processos estilóides do rádio e da ulna</w:t>
            </w:r>
          </w:p>
        </w:tc>
        <w:tc>
          <w:tcPr>
            <w:tcW w:w="2016" w:type="dxa"/>
            <w:shd w:val="clear" w:color="auto" w:fill="FAFAFA"/>
          </w:tcPr>
          <w:p w14:paraId="40C97D9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13D4B2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punho no plano coronal</w:t>
            </w:r>
          </w:p>
        </w:tc>
      </w:tr>
      <w:tr w14:paraId="3B5EE73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B3F33E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</w:tcPr>
          <w:p w14:paraId="42F8475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Mao_Espessura_D/E_mm</w:t>
            </w:r>
          </w:p>
        </w:tc>
        <w:tc>
          <w:tcPr>
            <w:tcW w:w="2016" w:type="dxa"/>
          </w:tcPr>
          <w:p w14:paraId="694EB3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Espessura dorso-palmar na cabeça do 3º metacarpo</w:t>
            </w:r>
          </w:p>
        </w:tc>
        <w:tc>
          <w:tcPr>
            <w:tcW w:w="2016" w:type="dxa"/>
          </w:tcPr>
          <w:p w14:paraId="2CC24E9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2B1643C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Distância da superfície de apoio ao marcador dorsal</w:t>
            </w:r>
          </w:p>
        </w:tc>
      </w:tr>
      <w:tr w14:paraId="3BDE22F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E708A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</w:t>
            </w:r>
          </w:p>
        </w:tc>
        <w:tc>
          <w:tcPr>
            <w:tcW w:w="2016" w:type="dxa"/>
            <w:shd w:val="clear" w:color="auto" w:fill="FAFAFA"/>
          </w:tcPr>
          <w:p w14:paraId="7F44C02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Joelho_Largura_D/E_mm</w:t>
            </w:r>
          </w:p>
        </w:tc>
        <w:tc>
          <w:tcPr>
            <w:tcW w:w="2016" w:type="dxa"/>
            <w:shd w:val="clear" w:color="auto" w:fill="FAFAFA"/>
          </w:tcPr>
          <w:p w14:paraId="36A176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bicondilar femoral (côndilo medial e lateral do fêmur)</w:t>
            </w:r>
          </w:p>
        </w:tc>
        <w:tc>
          <w:tcPr>
            <w:tcW w:w="2016" w:type="dxa"/>
            <w:shd w:val="clear" w:color="auto" w:fill="FAFAFA"/>
          </w:tcPr>
          <w:p w14:paraId="641FC9C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  <w:shd w:val="clear" w:color="auto" w:fill="FAFAFA"/>
          </w:tcPr>
          <w:p w14:paraId="7BA91A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joelho</w:t>
            </w:r>
          </w:p>
        </w:tc>
      </w:tr>
      <w:tr w14:paraId="08287EF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9F6066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6</w:t>
            </w:r>
          </w:p>
        </w:tc>
        <w:tc>
          <w:tcPr>
            <w:tcW w:w="2016" w:type="dxa"/>
          </w:tcPr>
          <w:p w14:paraId="0F1C329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Tornozelo_Largura_D/E_mm</w:t>
            </w:r>
          </w:p>
        </w:tc>
        <w:tc>
          <w:tcPr>
            <w:tcW w:w="2016" w:type="dxa"/>
          </w:tcPr>
          <w:p w14:paraId="576C0A6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Diâmetro bimaleolar (maléolo medial da tíbia ao maléolo lateral da fíbula)</w:t>
            </w:r>
          </w:p>
        </w:tc>
        <w:tc>
          <w:tcPr>
            <w:tcW w:w="2016" w:type="dxa"/>
          </w:tcPr>
          <w:p w14:paraId="460FF40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Paquímetro</w:t>
            </w:r>
          </w:p>
        </w:tc>
        <w:tc>
          <w:tcPr>
            <w:tcW w:w="2016" w:type="dxa"/>
          </w:tcPr>
          <w:p w14:paraId="723F07B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talocrural</w:t>
            </w:r>
          </w:p>
        </w:tc>
      </w:tr>
      <w:tr w14:paraId="3E04781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D967E7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7</w:t>
            </w:r>
          </w:p>
        </w:tc>
        <w:tc>
          <w:tcPr>
            <w:tcW w:w="2016" w:type="dxa"/>
            <w:shd w:val="clear" w:color="auto" w:fill="FAFAFA"/>
          </w:tcPr>
          <w:p w14:paraId="7AEF9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Comp_Real_MMII_EIAS_D/E_mm</w:t>
            </w:r>
          </w:p>
        </w:tc>
        <w:tc>
          <w:tcPr>
            <w:tcW w:w="2016" w:type="dxa"/>
            <w:shd w:val="clear" w:color="auto" w:fill="FAFAFA"/>
          </w:tcPr>
          <w:p w14:paraId="17D0041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 Ilíaca Ântero-Superior (EIAS) até o maléolo medial da tíbia</w:t>
            </w:r>
          </w:p>
        </w:tc>
        <w:tc>
          <w:tcPr>
            <w:tcW w:w="2016" w:type="dxa"/>
            <w:shd w:val="clear" w:color="auto" w:fill="FAFAFA"/>
          </w:tcPr>
          <w:p w14:paraId="7922AE2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7C7F954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inferior (*Leg Length*)</w:t>
            </w:r>
          </w:p>
        </w:tc>
      </w:tr>
      <w:tr w14:paraId="671063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074570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8</w:t>
            </w:r>
          </w:p>
        </w:tc>
        <w:tc>
          <w:tcPr>
            <w:tcW w:w="2016" w:type="dxa"/>
          </w:tcPr>
          <w:p w14:paraId="7B54ADB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Comp_Membro_Trocanter_D/E_mm</w:t>
            </w:r>
          </w:p>
        </w:tc>
        <w:tc>
          <w:tcPr>
            <w:tcW w:w="2016" w:type="dxa"/>
          </w:tcPr>
          <w:p w14:paraId="7A0FAE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Trocânter maior do fêmur até o maléolo lateral da fíbula</w:t>
            </w:r>
          </w:p>
        </w:tc>
        <w:tc>
          <w:tcPr>
            <w:tcW w:w="2016" w:type="dxa"/>
          </w:tcPr>
          <w:p w14:paraId="1230CFA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</w:tcPr>
          <w:p w14:paraId="6445656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Controle e validação anatômica lateral</w:t>
            </w:r>
          </w:p>
        </w:tc>
      </w:tr>
      <w:tr w14:paraId="542EEC0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726E51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9</w:t>
            </w:r>
          </w:p>
        </w:tc>
        <w:tc>
          <w:tcPr>
            <w:tcW w:w="2016" w:type="dxa"/>
            <w:shd w:val="clear" w:color="auto" w:fill="FAFAFA"/>
          </w:tcPr>
          <w:p w14:paraId="5ECAEB2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Comp_Braco_Acromio_Dedo3_D/E_mm</w:t>
            </w:r>
          </w:p>
        </w:tc>
        <w:tc>
          <w:tcPr>
            <w:tcW w:w="2016" w:type="dxa"/>
            <w:shd w:val="clear" w:color="auto" w:fill="FAFAFA"/>
          </w:tcPr>
          <w:p w14:paraId="11BACBE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póstero-lateral do acrômio até a polpa distal do 3º dedo</w:t>
            </w:r>
          </w:p>
        </w:tc>
        <w:tc>
          <w:tcPr>
            <w:tcW w:w="2016" w:type="dxa"/>
            <w:shd w:val="clear" w:color="auto" w:fill="FAFAFA"/>
          </w:tcPr>
          <w:p w14:paraId="7B482C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Fita Métrica</w:t>
            </w:r>
          </w:p>
        </w:tc>
        <w:tc>
          <w:tcPr>
            <w:tcW w:w="2016" w:type="dxa"/>
            <w:shd w:val="clear" w:color="auto" w:fill="FAFAFA"/>
          </w:tcPr>
          <w:p w14:paraId="6BDF074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Escalonamento do membro superior (*Arm Length*)</w:t>
            </w:r>
          </w:p>
        </w:tc>
      </w:tr>
    </w:tbl>
    <w:p w14:paraId="435893A7">
      <w:pPr>
        <w:jc w:val="both"/>
        <w:rPr>
          <w:rFonts w:hint="default" w:ascii="Arial" w:hAnsi="Arial" w:cs="Arial"/>
        </w:rPr>
      </w:pPr>
    </w:p>
    <w:p w14:paraId="14387664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4.4 Posicionamento dos Marcadores Retrorreflexivos (42 Marcadores)</w:t>
      </w:r>
    </w:p>
    <w:p w14:paraId="5F3BCE15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 xml:space="preserve">Utiliza-se o modelo Plug-in Gait modificado com adaptações para a postura invertida, o </w:t>
      </w:r>
      <w:r>
        <w:rPr>
          <w:rFonts w:hint="default" w:ascii="Arial" w:hAnsi="Arial" w:cs="Arial"/>
          <w:b/>
          <w:color w:val="000000"/>
          <w:sz w:val="19"/>
        </w:rPr>
        <w:t>cluster dorsal antioclusão</w:t>
      </w:r>
      <w:r>
        <w:rPr>
          <w:rFonts w:hint="default" w:ascii="Arial" w:hAnsi="Arial" w:cs="Arial"/>
          <w:color w:val="000000"/>
          <w:sz w:val="19"/>
        </w:rPr>
        <w:t xml:space="preserve"> e o </w:t>
      </w:r>
      <w:r>
        <w:rPr>
          <w:rFonts w:hint="default" w:ascii="Arial" w:hAnsi="Arial" w:cs="Arial"/>
          <w:b/>
          <w:color w:val="000000"/>
          <w:sz w:val="19"/>
        </w:rPr>
        <w:t>marcador do avaliador M_PESQ</w:t>
      </w:r>
      <w:r>
        <w:rPr>
          <w:rFonts w:hint="default" w:ascii="Arial" w:hAnsi="Arial" w:cs="Arial"/>
          <w:color w:val="000000"/>
          <w:sz w:val="19"/>
        </w:rPr>
        <w:t>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914"/>
        <w:gridCol w:w="1887"/>
        <w:gridCol w:w="1964"/>
        <w:gridCol w:w="1948"/>
      </w:tblGrid>
      <w:tr w14:paraId="21BF75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59EF1C1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Segmento</w:t>
            </w:r>
          </w:p>
        </w:tc>
        <w:tc>
          <w:tcPr>
            <w:tcW w:w="2016" w:type="dxa"/>
            <w:shd w:val="clear" w:color="auto" w:fill="000000"/>
          </w:tcPr>
          <w:p w14:paraId="686FBFDD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Rótulos (Labels)</w:t>
            </w:r>
          </w:p>
        </w:tc>
        <w:tc>
          <w:tcPr>
            <w:tcW w:w="2016" w:type="dxa"/>
            <w:shd w:val="clear" w:color="auto" w:fill="000000"/>
          </w:tcPr>
          <w:p w14:paraId="7CE3773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Quant.</w:t>
            </w:r>
          </w:p>
        </w:tc>
        <w:tc>
          <w:tcPr>
            <w:tcW w:w="2016" w:type="dxa"/>
            <w:shd w:val="clear" w:color="auto" w:fill="000000"/>
          </w:tcPr>
          <w:p w14:paraId="30115839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Localização Anatômica Exata</w:t>
            </w:r>
          </w:p>
        </w:tc>
        <w:tc>
          <w:tcPr>
            <w:tcW w:w="2016" w:type="dxa"/>
            <w:shd w:val="clear" w:color="auto" w:fill="000000"/>
          </w:tcPr>
          <w:p w14:paraId="4895CCD8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Função Biomecânica / Notas</w:t>
            </w:r>
          </w:p>
        </w:tc>
      </w:tr>
      <w:tr w14:paraId="16B4412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EA7568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Cabeça</w:t>
            </w:r>
          </w:p>
        </w:tc>
        <w:tc>
          <w:tcPr>
            <w:tcW w:w="2016" w:type="dxa"/>
            <w:shd w:val="clear" w:color="auto" w:fill="FAFAFA"/>
          </w:tcPr>
          <w:p w14:paraId="540C213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LFHD, RFHD, LBHD, RBHD</w:t>
            </w:r>
          </w:p>
        </w:tc>
        <w:tc>
          <w:tcPr>
            <w:tcW w:w="2016" w:type="dxa"/>
            <w:shd w:val="clear" w:color="auto" w:fill="FAFAFA"/>
          </w:tcPr>
          <w:p w14:paraId="7312FDE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4</w:t>
            </w:r>
          </w:p>
        </w:tc>
        <w:tc>
          <w:tcPr>
            <w:tcW w:w="2016" w:type="dxa"/>
            <w:shd w:val="clear" w:color="auto" w:fill="FAFAFA"/>
          </w:tcPr>
          <w:p w14:paraId="157BD9C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Têmporas frontais D/E e occipitais D/E em faixa elástica</w:t>
            </w:r>
          </w:p>
        </w:tc>
        <w:tc>
          <w:tcPr>
            <w:tcW w:w="2016" w:type="dxa"/>
            <w:shd w:val="clear" w:color="auto" w:fill="FAFAFA"/>
          </w:tcPr>
          <w:p w14:paraId="690823D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cefálica e ângulo cervical</w:t>
            </w:r>
          </w:p>
        </w:tc>
      </w:tr>
      <w:tr w14:paraId="74E348C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8FD83A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Tronco &amp; Cluster Dorsal</w:t>
            </w:r>
          </w:p>
        </w:tc>
        <w:tc>
          <w:tcPr>
            <w:tcW w:w="2016" w:type="dxa"/>
          </w:tcPr>
          <w:p w14:paraId="2CD3E7E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C7</w:t>
            </w:r>
          </w:p>
        </w:tc>
        <w:tc>
          <w:tcPr>
            <w:tcW w:w="2016" w:type="dxa"/>
          </w:tcPr>
          <w:p w14:paraId="4E56003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23088F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7ª vértebra cervical</w:t>
            </w:r>
          </w:p>
        </w:tc>
        <w:tc>
          <w:tcPr>
            <w:tcW w:w="2016" w:type="dxa"/>
          </w:tcPr>
          <w:p w14:paraId="49A36BF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Segmento torácico e base cervical</w:t>
            </w:r>
          </w:p>
        </w:tc>
      </w:tr>
      <w:tr w14:paraId="0A130A6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5F5771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C5BC41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T10</w:t>
            </w:r>
          </w:p>
        </w:tc>
        <w:tc>
          <w:tcPr>
            <w:tcW w:w="2016" w:type="dxa"/>
            <w:shd w:val="clear" w:color="auto" w:fill="FAFAFA"/>
          </w:tcPr>
          <w:p w14:paraId="2340E0E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7F1A05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espinhoso da 10ª vértebra torácica</w:t>
            </w:r>
          </w:p>
        </w:tc>
        <w:tc>
          <w:tcPr>
            <w:tcW w:w="2016" w:type="dxa"/>
            <w:shd w:val="clear" w:color="auto" w:fill="FAFAFA"/>
          </w:tcPr>
          <w:p w14:paraId="2F56D3A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torácico e cluster dorsal</w:t>
            </w:r>
          </w:p>
        </w:tc>
      </w:tr>
      <w:tr w14:paraId="206BE82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AAFEA8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FE2309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RBAK</w:t>
            </w:r>
          </w:p>
        </w:tc>
        <w:tc>
          <w:tcPr>
            <w:tcW w:w="2016" w:type="dxa"/>
          </w:tcPr>
          <w:p w14:paraId="013B24B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74D6F8E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Ângulo inferior da escápula direita</w:t>
            </w:r>
          </w:p>
        </w:tc>
        <w:tc>
          <w:tcPr>
            <w:tcW w:w="2016" w:type="dxa"/>
          </w:tcPr>
          <w:p w14:paraId="7D8E79F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Assimetria tridimensional do tronco no Plug-in Gait (orientação AP e torção)</w:t>
            </w:r>
          </w:p>
        </w:tc>
      </w:tr>
      <w:tr w14:paraId="7604300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0E6493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5CE276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referencia1</w:t>
            </w:r>
          </w:p>
        </w:tc>
        <w:tc>
          <w:tcPr>
            <w:tcW w:w="2016" w:type="dxa"/>
            <w:shd w:val="clear" w:color="auto" w:fill="FAFAFA"/>
          </w:tcPr>
          <w:p w14:paraId="2818B3F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E92525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esquerda do processo espinhoso de T10</w:t>
            </w:r>
          </w:p>
        </w:tc>
        <w:tc>
          <w:tcPr>
            <w:tcW w:w="2016" w:type="dxa"/>
            <w:shd w:val="clear" w:color="auto" w:fill="FAFAFA"/>
          </w:tcPr>
          <w:p w14:paraId="6BF8B39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Âncora lateral esquerda do cluster dorsal SVD</w:t>
            </w:r>
          </w:p>
        </w:tc>
      </w:tr>
      <w:tr w14:paraId="36EB21E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F08F19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63A321F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referencia2</w:t>
            </w:r>
          </w:p>
        </w:tc>
        <w:tc>
          <w:tcPr>
            <w:tcW w:w="2016" w:type="dxa"/>
          </w:tcPr>
          <w:p w14:paraId="3A9DF62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</w:tcPr>
          <w:p w14:paraId="4090743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5 cm à direita do processo espinhoso de T10</w:t>
            </w:r>
          </w:p>
        </w:tc>
        <w:tc>
          <w:tcPr>
            <w:tcW w:w="2016" w:type="dxa"/>
          </w:tcPr>
          <w:p w14:paraId="79E12CD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Âncora lateral direita do cluster dorsal SVD</w:t>
            </w:r>
          </w:p>
        </w:tc>
      </w:tr>
      <w:tr w14:paraId="6EAB99D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B677DB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7631FF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STRN</w:t>
            </w:r>
          </w:p>
        </w:tc>
        <w:tc>
          <w:tcPr>
            <w:tcW w:w="2016" w:type="dxa"/>
            <w:shd w:val="clear" w:color="auto" w:fill="FAFAFA"/>
          </w:tcPr>
          <w:p w14:paraId="3BF1C9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07B7F84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xifoide do esterno</w:t>
            </w:r>
          </w:p>
        </w:tc>
        <w:tc>
          <w:tcPr>
            <w:tcW w:w="2016" w:type="dxa"/>
            <w:shd w:val="clear" w:color="auto" w:fill="FAFAFA"/>
          </w:tcPr>
          <w:p w14:paraId="1B8EBFF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Referência anterior do tronco (*CLAV foi suprimido p/ evitar artefato respiratório*)</w:t>
            </w:r>
          </w:p>
        </w:tc>
      </w:tr>
      <w:tr w14:paraId="2C42CC6E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93EB81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Superiores</w:t>
            </w:r>
          </w:p>
        </w:tc>
        <w:tc>
          <w:tcPr>
            <w:tcW w:w="2016" w:type="dxa"/>
          </w:tcPr>
          <w:p w14:paraId="39C574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LSHO, RSHO</w:t>
            </w:r>
          </w:p>
        </w:tc>
        <w:tc>
          <w:tcPr>
            <w:tcW w:w="2016" w:type="dxa"/>
          </w:tcPr>
          <w:p w14:paraId="1DE1463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889462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Articulação acromioclavicular (ápice do acrômio)</w:t>
            </w:r>
          </w:p>
        </w:tc>
        <w:tc>
          <w:tcPr>
            <w:tcW w:w="2016" w:type="dxa"/>
          </w:tcPr>
          <w:p w14:paraId="421480B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Reconstruídos via SVD caso ocluídos na inversão</w:t>
            </w:r>
          </w:p>
        </w:tc>
      </w:tr>
      <w:tr w14:paraId="62A9E04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5D49AED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D894BB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LUPA, RUPA</w:t>
            </w:r>
          </w:p>
        </w:tc>
        <w:tc>
          <w:tcPr>
            <w:tcW w:w="2016" w:type="dxa"/>
            <w:shd w:val="clear" w:color="auto" w:fill="FAFAFA"/>
          </w:tcPr>
          <w:p w14:paraId="280CBC3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7CFCF0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braço (terço médio)</w:t>
            </w:r>
          </w:p>
        </w:tc>
        <w:tc>
          <w:tcPr>
            <w:tcW w:w="2016" w:type="dxa"/>
            <w:shd w:val="clear" w:color="auto" w:fill="FAFAFA"/>
          </w:tcPr>
          <w:p w14:paraId="3282004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rotação umeral</w:t>
            </w:r>
          </w:p>
        </w:tc>
      </w:tr>
      <w:tr w14:paraId="46634C93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6ADB46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CDBEF0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LELB, RELB</w:t>
            </w:r>
          </w:p>
        </w:tc>
        <w:tc>
          <w:tcPr>
            <w:tcW w:w="2016" w:type="dxa"/>
          </w:tcPr>
          <w:p w14:paraId="4E13C8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665E3F4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úmero</w:t>
            </w:r>
          </w:p>
        </w:tc>
        <w:tc>
          <w:tcPr>
            <w:tcW w:w="2016" w:type="dxa"/>
          </w:tcPr>
          <w:p w14:paraId="68BB16C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articular do cotovelo</w:t>
            </w:r>
          </w:p>
        </w:tc>
      </w:tr>
      <w:tr w14:paraId="0B3450E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3768B8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760D75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LFRA, RFRA</w:t>
            </w:r>
          </w:p>
        </w:tc>
        <w:tc>
          <w:tcPr>
            <w:tcW w:w="2016" w:type="dxa"/>
            <w:shd w:val="clear" w:color="auto" w:fill="FAFAFA"/>
          </w:tcPr>
          <w:p w14:paraId="6FC5A11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FCDFC1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do antebraço (terço médio)</w:t>
            </w:r>
          </w:p>
        </w:tc>
        <w:tc>
          <w:tcPr>
            <w:tcW w:w="2016" w:type="dxa"/>
            <w:shd w:val="clear" w:color="auto" w:fill="FAFAFA"/>
          </w:tcPr>
          <w:p w14:paraId="5F615A4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antebraço (*ou LFRM/RFRM*)</w:t>
            </w:r>
          </w:p>
        </w:tc>
      </w:tr>
      <w:tr w14:paraId="71F3A0E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4CD436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969111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LWRA, RWRA</w:t>
            </w:r>
          </w:p>
        </w:tc>
        <w:tc>
          <w:tcPr>
            <w:tcW w:w="2016" w:type="dxa"/>
          </w:tcPr>
          <w:p w14:paraId="0782C7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A2DE7E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do rádio</w:t>
            </w:r>
          </w:p>
        </w:tc>
        <w:tc>
          <w:tcPr>
            <w:tcW w:w="2016" w:type="dxa"/>
          </w:tcPr>
          <w:p w14:paraId="594942D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flexo-extensão do punho</w:t>
            </w:r>
          </w:p>
        </w:tc>
      </w:tr>
      <w:tr w14:paraId="0251E62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2B7578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5F70D10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LWRB, RWRB</w:t>
            </w:r>
          </w:p>
        </w:tc>
        <w:tc>
          <w:tcPr>
            <w:tcW w:w="2016" w:type="dxa"/>
            <w:shd w:val="clear" w:color="auto" w:fill="FAFAFA"/>
          </w:tcPr>
          <w:p w14:paraId="573BAAE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1BCEF09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Processo estiloide da ulna</w:t>
            </w:r>
          </w:p>
        </w:tc>
        <w:tc>
          <w:tcPr>
            <w:tcW w:w="2016" w:type="dxa"/>
            <w:shd w:val="clear" w:color="auto" w:fill="FAFAFA"/>
          </w:tcPr>
          <w:p w14:paraId="05E097A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de desvio rádio-ulnar do punho</w:t>
            </w:r>
          </w:p>
        </w:tc>
      </w:tr>
      <w:tr w14:paraId="714AD97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3551E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3B031A4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LFIN, RFIN</w:t>
            </w:r>
          </w:p>
        </w:tc>
        <w:tc>
          <w:tcPr>
            <w:tcW w:w="2016" w:type="dxa"/>
          </w:tcPr>
          <w:p w14:paraId="0311527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FE1EBD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sobre a base do 3º metacarpo</w:t>
            </w:r>
          </w:p>
        </w:tc>
        <w:tc>
          <w:tcPr>
            <w:tcW w:w="2016" w:type="dxa"/>
          </w:tcPr>
          <w:p w14:paraId="44161FA3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Detecção de lift-off e touchdown no solo</w:t>
            </w:r>
          </w:p>
        </w:tc>
      </w:tr>
      <w:tr w14:paraId="78FE50E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0E76917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Pelve</w:t>
            </w:r>
          </w:p>
        </w:tc>
        <w:tc>
          <w:tcPr>
            <w:tcW w:w="2016" w:type="dxa"/>
            <w:shd w:val="clear" w:color="auto" w:fill="FAFAFA"/>
          </w:tcPr>
          <w:p w14:paraId="2CC6D8D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LASI, RASI</w:t>
            </w:r>
          </w:p>
        </w:tc>
        <w:tc>
          <w:tcPr>
            <w:tcW w:w="2016" w:type="dxa"/>
            <w:shd w:val="clear" w:color="auto" w:fill="FAFAFA"/>
          </w:tcPr>
          <w:p w14:paraId="06BF66E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0C81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ântero-superiores</w:t>
            </w:r>
          </w:p>
        </w:tc>
        <w:tc>
          <w:tcPr>
            <w:tcW w:w="2016" w:type="dxa"/>
            <w:shd w:val="clear" w:color="auto" w:fill="FAFAFA"/>
          </w:tcPr>
          <w:p w14:paraId="06CCA38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e inclinação pélvica</w:t>
            </w:r>
          </w:p>
        </w:tc>
      </w:tr>
      <w:tr w14:paraId="0D07F7D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0F635B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5F55878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LPSI, RPSI</w:t>
            </w:r>
          </w:p>
        </w:tc>
        <w:tc>
          <w:tcPr>
            <w:tcW w:w="2016" w:type="dxa"/>
          </w:tcPr>
          <w:p w14:paraId="6489BC5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2200AA4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Espinhas ilíacas póstero-superiores</w:t>
            </w:r>
          </w:p>
        </w:tc>
        <w:tc>
          <w:tcPr>
            <w:tcW w:w="2016" w:type="dxa"/>
          </w:tcPr>
          <w:p w14:paraId="087705D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Centro e nivelamento pélvico</w:t>
            </w:r>
          </w:p>
        </w:tc>
      </w:tr>
      <w:tr w14:paraId="182E07BC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DFE1DC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Membros Inferiores</w:t>
            </w:r>
          </w:p>
        </w:tc>
        <w:tc>
          <w:tcPr>
            <w:tcW w:w="2016" w:type="dxa"/>
            <w:shd w:val="clear" w:color="auto" w:fill="FAFAFA"/>
          </w:tcPr>
          <w:p w14:paraId="170F705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LTHI, RTHI</w:t>
            </w:r>
          </w:p>
        </w:tc>
        <w:tc>
          <w:tcPr>
            <w:tcW w:w="2016" w:type="dxa"/>
            <w:shd w:val="clear" w:color="auto" w:fill="FAFAFA"/>
          </w:tcPr>
          <w:p w14:paraId="17D0637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70AE434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coxa (terço médio)</w:t>
            </w:r>
          </w:p>
        </w:tc>
        <w:tc>
          <w:tcPr>
            <w:tcW w:w="2016" w:type="dxa"/>
            <w:shd w:val="clear" w:color="auto" w:fill="FAFAFA"/>
          </w:tcPr>
          <w:p w14:paraId="19A16D0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do segmento coxa</w:t>
            </w:r>
          </w:p>
        </w:tc>
      </w:tr>
      <w:tr w14:paraId="1C0067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6714C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D192F8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LKNE, RKNE</w:t>
            </w:r>
          </w:p>
        </w:tc>
        <w:tc>
          <w:tcPr>
            <w:tcW w:w="2016" w:type="dxa"/>
          </w:tcPr>
          <w:p w14:paraId="1EA8F90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4429B3EB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Epicôndilos laterais do fêmur</w:t>
            </w:r>
          </w:p>
        </w:tc>
        <w:tc>
          <w:tcPr>
            <w:tcW w:w="2016" w:type="dxa"/>
          </w:tcPr>
          <w:p w14:paraId="190C6969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funcional do joelho</w:t>
            </w:r>
          </w:p>
        </w:tc>
      </w:tr>
      <w:tr w14:paraId="0C13A13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1C4C481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3F68969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LTIB, RTIB</w:t>
            </w:r>
          </w:p>
        </w:tc>
        <w:tc>
          <w:tcPr>
            <w:tcW w:w="2016" w:type="dxa"/>
            <w:shd w:val="clear" w:color="auto" w:fill="FAFAFA"/>
          </w:tcPr>
          <w:p w14:paraId="0CDF99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272D19D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lateral da perna (terço médio)</w:t>
            </w:r>
          </w:p>
        </w:tc>
        <w:tc>
          <w:tcPr>
            <w:tcW w:w="2016" w:type="dxa"/>
            <w:shd w:val="clear" w:color="auto" w:fill="FAFAFA"/>
          </w:tcPr>
          <w:p w14:paraId="7324715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Orientação da tíbia</w:t>
            </w:r>
          </w:p>
        </w:tc>
      </w:tr>
      <w:tr w14:paraId="2E0908CF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D71953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162897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LANK, RANK</w:t>
            </w:r>
          </w:p>
        </w:tc>
        <w:tc>
          <w:tcPr>
            <w:tcW w:w="2016" w:type="dxa"/>
          </w:tcPr>
          <w:p w14:paraId="3E022BD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26941ED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Maléolos laterais da fíbula</w:t>
            </w:r>
          </w:p>
        </w:tc>
        <w:tc>
          <w:tcPr>
            <w:tcW w:w="2016" w:type="dxa"/>
          </w:tcPr>
          <w:p w14:paraId="63DADEB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Eixo articular talocrural</w:t>
            </w:r>
          </w:p>
        </w:tc>
      </w:tr>
      <w:tr w14:paraId="3D103F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220669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  <w:shd w:val="clear" w:color="auto" w:fill="FAFAFA"/>
          </w:tcPr>
          <w:p w14:paraId="037AB0B7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LHEE, RHEE</w:t>
            </w:r>
          </w:p>
        </w:tc>
        <w:tc>
          <w:tcPr>
            <w:tcW w:w="2016" w:type="dxa"/>
            <w:shd w:val="clear" w:color="auto" w:fill="FAFAFA"/>
          </w:tcPr>
          <w:p w14:paraId="29DCD16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  <w:shd w:val="clear" w:color="auto" w:fill="FAFAFA"/>
          </w:tcPr>
          <w:p w14:paraId="3152E12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posterior do calcâneo na altura dos maléolos</w:t>
            </w:r>
          </w:p>
        </w:tc>
        <w:tc>
          <w:tcPr>
            <w:tcW w:w="2016" w:type="dxa"/>
            <w:shd w:val="clear" w:color="auto" w:fill="FAFAFA"/>
          </w:tcPr>
          <w:p w14:paraId="2CAFDDA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Identificação da verticalidade dos calcanhares</w:t>
            </w:r>
          </w:p>
        </w:tc>
      </w:tr>
      <w:tr w14:paraId="64FEA7F4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B8A277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2016" w:type="dxa"/>
          </w:tcPr>
          <w:p w14:paraId="20AFE7A5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LTOE, RTOE</w:t>
            </w:r>
          </w:p>
        </w:tc>
        <w:tc>
          <w:tcPr>
            <w:tcW w:w="2016" w:type="dxa"/>
          </w:tcPr>
          <w:p w14:paraId="1FA9B76C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2</w:t>
            </w:r>
          </w:p>
        </w:tc>
        <w:tc>
          <w:tcPr>
            <w:tcW w:w="2016" w:type="dxa"/>
          </w:tcPr>
          <w:p w14:paraId="79092B5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Face dorsal do pé sobre a cabeça do 2º metatarso</w:t>
            </w:r>
          </w:p>
        </w:tc>
        <w:tc>
          <w:tcPr>
            <w:tcW w:w="2016" w:type="dxa"/>
          </w:tcPr>
          <w:p w14:paraId="177F2DDE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Ponta distal e orientação do pé</w:t>
            </w:r>
          </w:p>
        </w:tc>
      </w:tr>
      <w:tr w14:paraId="05D6710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44C4DA9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Marcador do Avaliador</w:t>
            </w:r>
          </w:p>
        </w:tc>
        <w:tc>
          <w:tcPr>
            <w:tcW w:w="2016" w:type="dxa"/>
            <w:shd w:val="clear" w:color="auto" w:fill="FAFAFA"/>
          </w:tcPr>
          <w:p w14:paraId="651537A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M_PESQ</w:t>
            </w:r>
          </w:p>
        </w:tc>
        <w:tc>
          <w:tcPr>
            <w:tcW w:w="2016" w:type="dxa"/>
            <w:shd w:val="clear" w:color="auto" w:fill="FAFAFA"/>
          </w:tcPr>
          <w:p w14:paraId="66A2589F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1</w:t>
            </w:r>
          </w:p>
        </w:tc>
        <w:tc>
          <w:tcPr>
            <w:tcW w:w="2016" w:type="dxa"/>
            <w:shd w:val="clear" w:color="auto" w:fill="FAFAFA"/>
          </w:tcPr>
          <w:p w14:paraId="5FF2A5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Dorso da mão dominante do pesquisador avaliador</w:t>
            </w:r>
          </w:p>
        </w:tc>
        <w:tc>
          <w:tcPr>
            <w:tcW w:w="2016" w:type="dxa"/>
            <w:shd w:val="clear" w:color="auto" w:fill="FAFAFA"/>
          </w:tcPr>
          <w:p w14:paraId="1FD9BA9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7"/>
              </w:rPr>
              <w:t>Permite ao Python detectar o instante exato de desmame tátil no HS assistido</w:t>
            </w:r>
          </w:p>
        </w:tc>
      </w:tr>
    </w:tbl>
    <w:p w14:paraId="4720A217">
      <w:pPr>
        <w:jc w:val="both"/>
        <w:rPr>
          <w:rFonts w:hint="default" w:ascii="Arial" w:hAnsi="Arial" w:cs="Arial"/>
        </w:rPr>
      </w:pPr>
    </w:p>
    <w:p w14:paraId="3BFDB4C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4.5 Captura Estática de Calibração (`[ID]_cal.c3d`)</w:t>
      </w:r>
    </w:p>
    <w:p w14:paraId="7FC9C8D4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Procedimento:</w:t>
      </w:r>
      <w:r>
        <w:rPr>
          <w:rFonts w:hint="default" w:ascii="Arial" w:hAnsi="Arial" w:cs="Arial"/>
          <w:color w:val="000000"/>
          <w:sz w:val="19"/>
        </w:rPr>
        <w:t xml:space="preserve"> Voluntário no centro da plataforma Bertec na posição anatômica neutra em pé (braços abduzidos a ~30°, pés paralelos na largura do quadril, olhar fixo no horizonte). Gravação de </w:t>
      </w:r>
      <w:r>
        <w:rPr>
          <w:rFonts w:hint="default" w:ascii="Arial" w:hAnsi="Arial" w:cs="Arial"/>
          <w:b/>
          <w:color w:val="000000"/>
          <w:sz w:val="19"/>
        </w:rPr>
        <w:t>3 segundos ininterruptos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51F63792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Obrigatória:</w:t>
      </w:r>
      <w:r>
        <w:rPr>
          <w:rFonts w:hint="default" w:ascii="Arial" w:hAnsi="Arial" w:cs="Arial"/>
          <w:color w:val="000000"/>
          <w:sz w:val="19"/>
        </w:rPr>
        <w:t xml:space="preserve"> [ID]_cal.c3d (ex: P001_cal.c3d).</w:t>
      </w:r>
    </w:p>
    <w:p w14:paraId="4EA6A1C1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Finalidade no Pipeline:</w:t>
      </w:r>
      <w:r>
        <w:rPr>
          <w:rFonts w:hint="default" w:ascii="Arial" w:hAnsi="Arial" w:cs="Arial"/>
          <w:color w:val="000000"/>
          <w:sz w:val="19"/>
        </w:rPr>
        <w:t xml:space="preserve"> Ensaio mestre de referência anatômica a partir do qual o algoritmo SVD extrai as coordenadas relativas dos ombros (LSHO/RSHO) em relação ao cluster dorsal (C7, T10, referencia1, referencia2) para a reconstrução rígida em caso de oclusão.</w:t>
      </w:r>
    </w:p>
    <w:p w14:paraId="367EB7CB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5. PROTOCOLOS DE EXECUÇÃO DOS TESTES</w:t>
      </w:r>
    </w:p>
    <w:p w14:paraId="1E64C9AF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ascii="Arial" w:hAnsi="Arial"/>
          <w:b/>
          <w:sz w:val="21"/>
        </w:rPr>
        <w:t>5.1 Aquecimento Específico Padronizado para Posição Invertida (4 a 5 Minutos – Zero Contato de Tronco no Solo)</w:t>
      </w:r>
    </w:p>
    <w:p w14:paraId="65F5FF76">
      <w:pPr>
        <w:spacing w:before="40" w:after="60" w:line="360" w:lineRule="auto"/>
        <w:ind w:firstLine="720" w:firstLineChars="0"/>
        <w:jc w:val="both"/>
        <w:rPr>
          <w:rFonts w:hint="default" w:ascii="Arial" w:hAnsi="Arial" w:cs="Arial"/>
        </w:rPr>
      </w:pPr>
      <w:r>
        <w:rPr>
          <w:rFonts w:ascii="Arial" w:hAnsi="Arial"/>
          <w:sz w:val="21"/>
        </w:rPr>
        <w:t xml:space="preserve">Executado imediatamente após a captura estática com o participante já instrumentado. 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1939"/>
        <w:gridCol w:w="1915"/>
        <w:gridCol w:w="1944"/>
        <w:gridCol w:w="1935"/>
      </w:tblGrid>
      <w:tr w14:paraId="1C948B65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000000"/>
          </w:tcPr>
          <w:p w14:paraId="384457E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Fase (Tempo)</w:t>
            </w:r>
          </w:p>
        </w:tc>
        <w:tc>
          <w:tcPr>
            <w:tcW w:w="2016" w:type="dxa"/>
            <w:shd w:val="clear" w:color="auto" w:fill="000000"/>
          </w:tcPr>
          <w:p w14:paraId="1672FE35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Exercício Padronizado</w:t>
            </w:r>
          </w:p>
        </w:tc>
        <w:tc>
          <w:tcPr>
            <w:tcW w:w="2016" w:type="dxa"/>
            <w:shd w:val="clear" w:color="auto" w:fill="000000"/>
          </w:tcPr>
          <w:p w14:paraId="2EE60445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Volume / Duração</w:t>
            </w:r>
          </w:p>
        </w:tc>
        <w:tc>
          <w:tcPr>
            <w:tcW w:w="2016" w:type="dxa"/>
            <w:shd w:val="clear" w:color="auto" w:fill="000000"/>
          </w:tcPr>
          <w:p w14:paraId="20CB27C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Foco Biomecânico &amp; Alvo</w:t>
            </w:r>
          </w:p>
        </w:tc>
        <w:tc>
          <w:tcPr>
            <w:tcW w:w="2016" w:type="dxa"/>
            <w:shd w:val="clear" w:color="auto" w:fill="000000"/>
          </w:tcPr>
          <w:p w14:paraId="5F339C81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Técnica de Execução &amp; Pontos de Atenção</w:t>
            </w:r>
          </w:p>
        </w:tc>
      </w:tr>
      <w:tr w14:paraId="20EFC59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6A43D20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1 (0 a 1,5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Punhos e Ombros em Pé</w:t>
            </w:r>
          </w:p>
        </w:tc>
        <w:tc>
          <w:tcPr>
            <w:tcW w:w="2016" w:type="dxa"/>
            <w:shd w:val="clear" w:color="auto" w:fill="FAFAFA"/>
          </w:tcPr>
          <w:p w14:paraId="548F60DF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Circundução de Punhos em Pé</w:t>
            </w:r>
          </w:p>
        </w:tc>
        <w:tc>
          <w:tcPr>
            <w:tcW w:w="2016" w:type="dxa"/>
            <w:shd w:val="clear" w:color="auto" w:fill="FAFAFA"/>
          </w:tcPr>
          <w:p w14:paraId="191A051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minuto (30s cada sentido)</w:t>
            </w:r>
          </w:p>
        </w:tc>
        <w:tc>
          <w:tcPr>
            <w:tcW w:w="2016" w:type="dxa"/>
            <w:shd w:val="clear" w:color="auto" w:fill="FAFAFA"/>
          </w:tcPr>
          <w:p w14:paraId="61E8573F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Lubrificação sinovial articular rádio-cárpica e médio-cárpica</w:t>
            </w:r>
          </w:p>
        </w:tc>
        <w:tc>
          <w:tcPr>
            <w:tcW w:w="2016" w:type="dxa"/>
            <w:shd w:val="clear" w:color="auto" w:fill="FAFAFA"/>
          </w:tcPr>
          <w:p w14:paraId="1808D106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Mãos entrelaçadas em pé, movimentos circulares lentos em amplitude máxima sem desconforto.</w:t>
            </w:r>
          </w:p>
        </w:tc>
      </w:tr>
      <w:tr w14:paraId="22416219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C76BD8F">
            <w:pPr>
              <w:spacing w:before="20" w:after="20" w:line="276" w:lineRule="auto"/>
            </w:pPr>
          </w:p>
        </w:tc>
        <w:tc>
          <w:tcPr>
            <w:tcW w:w="2016" w:type="dxa"/>
          </w:tcPr>
          <w:p w14:paraId="15667A73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Abertura Torácica e de Ombros na Parede (</w:t>
            </w:r>
            <w:r>
              <w:rPr>
                <w:rFonts w:ascii="Arial" w:hAnsi="Arial"/>
                <w:b/>
                <w:i/>
                <w:sz w:val="18"/>
              </w:rPr>
              <w:t>Wall Opener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0C606109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5 respirações profundas (~30s)</w:t>
            </w:r>
          </w:p>
        </w:tc>
        <w:tc>
          <w:tcPr>
            <w:tcW w:w="2016" w:type="dxa"/>
          </w:tcPr>
          <w:p w14:paraId="77EC30CA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Mobilidade em flexão pura de ombro e extensão da coluna torácica</w:t>
            </w:r>
          </w:p>
        </w:tc>
        <w:tc>
          <w:tcPr>
            <w:tcW w:w="2016" w:type="dxa"/>
          </w:tcPr>
          <w:p w14:paraId="4174E69E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Palmas apoiadas na parede na altura dos ombros, pés recuados; afundar suavemente o peito em direção ao chão mantendo braços estendidos.</w:t>
            </w:r>
          </w:p>
        </w:tc>
      </w:tr>
      <w:tr w14:paraId="0D178EBD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3CDB455D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6FD176E8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Sobrecarga Palmar em 4 Apoios (</w:t>
            </w:r>
            <w:r>
              <w:rPr>
                <w:rFonts w:ascii="Arial" w:hAnsi="Arial"/>
                <w:b/>
                <w:i/>
                <w:sz w:val="18"/>
              </w:rPr>
              <w:t>Rocking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Suave)</w:t>
            </w:r>
          </w:p>
        </w:tc>
        <w:tc>
          <w:tcPr>
            <w:tcW w:w="2016" w:type="dxa"/>
            <w:shd w:val="clear" w:color="auto" w:fill="FAFAFA"/>
          </w:tcPr>
          <w:p w14:paraId="425B3E5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10 a 12 repetições dinâmicas</w:t>
            </w:r>
          </w:p>
        </w:tc>
        <w:tc>
          <w:tcPr>
            <w:tcW w:w="2016" w:type="dxa"/>
            <w:shd w:val="clear" w:color="auto" w:fill="FAFAFA"/>
          </w:tcPr>
          <w:p w14:paraId="443A341A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Adaptação funcional dos flexores e tolerância à carga em 70° a 90°</w:t>
            </w:r>
          </w:p>
        </w:tc>
        <w:tc>
          <w:tcPr>
            <w:tcW w:w="2016" w:type="dxa"/>
            <w:shd w:val="clear" w:color="auto" w:fill="FAFAFA"/>
          </w:tcPr>
          <w:p w14:paraId="15EC9257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Apenas joelhos e mãos no solo (tronco suspenso no ar); deslocar o peso para frente sobre os punhos mantendo cotovelos estendidos.</w:t>
            </w:r>
          </w:p>
        </w:tc>
      </w:tr>
      <w:tr w14:paraId="16AE5BC8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8FFE4AC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2 (1,5 a 3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Cintura Escapular &amp; Apoio Unilateral</w:t>
            </w:r>
          </w:p>
        </w:tc>
        <w:tc>
          <w:tcPr>
            <w:tcW w:w="2016" w:type="dxa"/>
          </w:tcPr>
          <w:p w14:paraId="730472B9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Flexões Escapulares em Prancha Alta (</w:t>
            </w:r>
            <w:r>
              <w:rPr>
                <w:rFonts w:ascii="Arial" w:hAnsi="Arial"/>
                <w:b/>
                <w:i/>
                <w:sz w:val="18"/>
              </w:rPr>
              <w:t>Scapular Push-ups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4D13CE46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série de 8 a 10 repetições</w:t>
            </w:r>
          </w:p>
        </w:tc>
        <w:tc>
          <w:tcPr>
            <w:tcW w:w="2016" w:type="dxa"/>
          </w:tcPr>
          <w:p w14:paraId="001D04F8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Ativação do serrátil anterior e rotação superior da escápula</w:t>
            </w:r>
          </w:p>
        </w:tc>
        <w:tc>
          <w:tcPr>
            <w:tcW w:w="2016" w:type="dxa"/>
          </w:tcPr>
          <w:p w14:paraId="65529205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Prancha alta com cotovelos 100% estendidos (apenas mãos e pés no solo, sem encostar o corpo); realizar protração e retração escapular controlada.</w:t>
            </w:r>
          </w:p>
        </w:tc>
      </w:tr>
      <w:tr w14:paraId="7377A21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6DE7EF6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4EC54BA6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Toques no Ombro em V Invertido (</w:t>
            </w:r>
            <w:r>
              <w:rPr>
                <w:rFonts w:ascii="Arial" w:hAnsi="Arial"/>
                <w:b/>
                <w:i/>
                <w:sz w:val="18"/>
              </w:rPr>
              <w:t>Shoulder Taps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em </w:t>
            </w:r>
            <w:r>
              <w:rPr>
                <w:rFonts w:ascii="Arial" w:hAnsi="Arial"/>
                <w:b/>
                <w:i/>
                <w:sz w:val="18"/>
              </w:rPr>
              <w:t>Pike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  <w:shd w:val="clear" w:color="auto" w:fill="FAFAFA"/>
          </w:tcPr>
          <w:p w14:paraId="48E92EB9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10 toques totais (5 cada lado)</w:t>
            </w:r>
          </w:p>
        </w:tc>
        <w:tc>
          <w:tcPr>
            <w:tcW w:w="2016" w:type="dxa"/>
            <w:shd w:val="clear" w:color="auto" w:fill="FAFAFA"/>
          </w:tcPr>
          <w:p w14:paraId="5E7BDF40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Ativação estabilizadora em apoio unimanual transitório (específico para HSW)</w:t>
            </w:r>
          </w:p>
        </w:tc>
        <w:tc>
          <w:tcPr>
            <w:tcW w:w="2016" w:type="dxa"/>
            <w:shd w:val="clear" w:color="auto" w:fill="FAFAFA"/>
          </w:tcPr>
          <w:p w14:paraId="0598F17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Quadril elevado em formato de V invertido com braços alinhados ao tronco; retirar uma mão do solo e tocar o ombro contralateral de forma estável e ritmada.</w:t>
            </w:r>
          </w:p>
        </w:tc>
      </w:tr>
      <w:tr w14:paraId="41EADCE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1B3F49C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Fase 3 (3 a 5 min)</w:t>
            </w:r>
            <w:r>
              <w:rPr>
                <w:rFonts w:ascii="Arial" w:hAnsi="Arial"/>
                <w:sz w:val="18"/>
              </w:rPr>
              <w:br w:type="textWrapping"/>
            </w:r>
            <w:r>
              <w:rPr>
                <w:rFonts w:ascii="Arial" w:hAnsi="Arial"/>
                <w:sz w:val="18"/>
              </w:rPr>
              <w:t>Inversão &amp; Estratégia de Punho</w:t>
            </w:r>
          </w:p>
        </w:tc>
        <w:tc>
          <w:tcPr>
            <w:tcW w:w="2016" w:type="dxa"/>
          </w:tcPr>
          <w:p w14:paraId="43C50A90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Subida Curta de Frente para a Parede (</w:t>
            </w:r>
            <w:r>
              <w:rPr>
                <w:rFonts w:ascii="Arial" w:hAnsi="Arial"/>
                <w:b/>
                <w:i/>
                <w:sz w:val="18"/>
              </w:rPr>
              <w:t>Belly-to-Wall</w:t>
            </w:r>
            <w:r>
              <w:rPr>
                <w:rFonts w:ascii="Arial" w:hAnsi="Arial"/>
                <w:b/>
                <w:i w:val="0"/>
                <w:sz w:val="18"/>
              </w:rPr>
              <w:t>)</w:t>
            </w:r>
          </w:p>
        </w:tc>
        <w:tc>
          <w:tcPr>
            <w:tcW w:w="2016" w:type="dxa"/>
          </w:tcPr>
          <w:p w14:paraId="194A969F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subida de 5 a 8 segundos</w:t>
            </w:r>
          </w:p>
        </w:tc>
        <w:tc>
          <w:tcPr>
            <w:tcW w:w="2016" w:type="dxa"/>
          </w:tcPr>
          <w:p w14:paraId="5528C3CD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Acomodação da pressão intracraniana e bloqueio escapular em inversão</w:t>
            </w:r>
          </w:p>
        </w:tc>
        <w:tc>
          <w:tcPr>
            <w:tcW w:w="2016" w:type="dxa"/>
          </w:tcPr>
          <w:p w14:paraId="5F85AC4D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Subir escalando os pés pela parede até alinhamento próximo (~30-40 cm); empurrar o solo ativamente pelos ombros e descer com controle.</w:t>
            </w:r>
          </w:p>
        </w:tc>
      </w:tr>
      <w:tr w14:paraId="0BD4A382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FAFAFA"/>
          </w:tcPr>
          <w:p w14:paraId="75F4096C">
            <w:pPr>
              <w:spacing w:before="20" w:after="20" w:line="276" w:lineRule="auto"/>
            </w:pPr>
          </w:p>
        </w:tc>
        <w:tc>
          <w:tcPr>
            <w:tcW w:w="2016" w:type="dxa"/>
            <w:shd w:val="clear" w:color="auto" w:fill="FAFAFA"/>
          </w:tcPr>
          <w:p w14:paraId="79B2EF42">
            <w:pPr>
              <w:spacing w:before="20" w:after="20" w:line="276" w:lineRule="auto"/>
            </w:pPr>
            <w:r>
              <w:rPr>
                <w:rFonts w:ascii="Arial" w:hAnsi="Arial"/>
                <w:b/>
                <w:i w:val="0"/>
                <w:sz w:val="18"/>
              </w:rPr>
              <w:t>Subida de Costas com Micro-Solturas (</w:t>
            </w:r>
            <w:r>
              <w:rPr>
                <w:rFonts w:ascii="Arial" w:hAnsi="Arial"/>
                <w:b/>
                <w:i/>
                <w:sz w:val="18"/>
              </w:rPr>
              <w:t>Back-to-Wall</w:t>
            </w:r>
            <w:r>
              <w:rPr>
                <w:rFonts w:ascii="Arial" w:hAnsi="Arial"/>
                <w:b/>
                <w:i w:val="0"/>
                <w:sz w:val="18"/>
              </w:rPr>
              <w:t xml:space="preserve"> com Assistência)</w:t>
            </w:r>
          </w:p>
        </w:tc>
        <w:tc>
          <w:tcPr>
            <w:tcW w:w="2016" w:type="dxa"/>
            <w:shd w:val="clear" w:color="auto" w:fill="FAFAFA"/>
          </w:tcPr>
          <w:p w14:paraId="2138D07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1 subida com 3 micro-solturas (2 a 3s cada)</w:t>
            </w:r>
          </w:p>
        </w:tc>
        <w:tc>
          <w:tcPr>
            <w:tcW w:w="2016" w:type="dxa"/>
            <w:shd w:val="clear" w:color="auto" w:fill="FAFAFA"/>
          </w:tcPr>
          <w:p w14:paraId="13D1D3D4">
            <w:pPr>
              <w:spacing w:before="20" w:after="20" w:line="276" w:lineRule="auto"/>
              <w:rPr>
                <w:rFonts w:hint="default"/>
                <w:lang w:val="pt-BR"/>
              </w:rPr>
            </w:pPr>
            <w:r>
              <w:rPr>
                <w:rFonts w:ascii="Arial" w:hAnsi="Arial"/>
                <w:sz w:val="18"/>
              </w:rPr>
              <w:t>Calibração proprioceptiva da estratégia d</w:t>
            </w:r>
            <w:r>
              <w:rPr>
                <w:rFonts w:hint="default" w:ascii="Arial" w:hAnsi="Arial"/>
                <w:sz w:val="18"/>
                <w:lang w:val="pt-BR"/>
              </w:rPr>
              <w:t>e equilíbrio</w:t>
            </w:r>
          </w:p>
        </w:tc>
        <w:tc>
          <w:tcPr>
            <w:tcW w:w="2016" w:type="dxa"/>
            <w:shd w:val="clear" w:color="auto" w:fill="FAFAFA"/>
          </w:tcPr>
          <w:p w14:paraId="138612C2">
            <w:pPr>
              <w:spacing w:before="20" w:after="20" w:line="276" w:lineRule="auto"/>
            </w:pPr>
            <w:r>
              <w:rPr>
                <w:rFonts w:ascii="Arial" w:hAnsi="Arial"/>
                <w:sz w:val="18"/>
              </w:rPr>
              <w:t>Subir de costas para a parede; o avaliador auxilia o participante a afastar os calcanhares da parede por 2 a 3 segundos (3 vezes consecutivas)</w:t>
            </w:r>
          </w:p>
        </w:tc>
      </w:tr>
    </w:tbl>
    <w:p w14:paraId="6C1C08F3">
      <w:pPr>
        <w:jc w:val="both"/>
        <w:rPr>
          <w:rFonts w:hint="default" w:ascii="Arial" w:hAnsi="Arial" w:cs="Arial"/>
        </w:rPr>
      </w:pPr>
    </w:p>
    <w:p w14:paraId="4949C893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5.2 Handstand Estático (HS) – Plataforma Bertec</w:t>
      </w:r>
    </w:p>
    <w:p w14:paraId="7FD3FB77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 atleta posiciona as duas mãos inteiramente contidas dentro dos limites físicos da plataforma Bertec, utilizando a distância e o ângulo de abertura (*toe-out*) de sua preferência natural.</w:t>
      </w:r>
    </w:p>
    <w:p w14:paraId="05BB00FD">
      <w:pPr>
        <w:spacing w:before="1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0"/>
        </w:rPr>
        <w:t>Bloco 1: Entradas Assistidas (3 Tentativas | 90s Repouso)</w:t>
      </w:r>
    </w:p>
    <w:p w14:paraId="58E6B7E9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Execução:</w:t>
      </w:r>
      <w:r>
        <w:rPr>
          <w:rFonts w:hint="default" w:ascii="Arial" w:hAnsi="Arial" w:cs="Arial"/>
          <w:color w:val="000000"/>
          <w:sz w:val="19"/>
        </w:rPr>
        <w:t xml:space="preserve"> O atleta sobe de forma guiada enquanto o avaliador segura suavemente suas pernas pelo terço distal (canelas/tornozelos).</w:t>
      </w:r>
    </w:p>
    <w:p w14:paraId="577D115D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>Liberação</w:t>
      </w:r>
      <w:r>
        <w:rPr>
          <w:rFonts w:hint="default" w:ascii="Arial" w:hAnsi="Arial" w:cs="Arial"/>
          <w:b/>
          <w:color w:val="000000"/>
          <w:sz w:val="19"/>
        </w:rPr>
        <w:t xml:space="preserve"> Tátil:</w:t>
      </w:r>
      <w:r>
        <w:rPr>
          <w:rFonts w:hint="default" w:ascii="Arial" w:hAnsi="Arial" w:cs="Arial"/>
          <w:color w:val="000000"/>
          <w:sz w:val="19"/>
        </w:rPr>
        <w:t xml:space="preserve"> O avaliador posiciona os calcanhares na vertical absoluta e realiza um</w:t>
      </w:r>
      <w:r>
        <w:rPr>
          <w:rFonts w:hint="default" w:ascii="Arial" w:hAnsi="Arial" w:cs="Arial"/>
          <w:color w:val="000000"/>
          <w:sz w:val="19"/>
          <w:lang w:val="pt-BR"/>
        </w:rPr>
        <w:t>a liberação</w:t>
      </w:r>
      <w:r>
        <w:rPr>
          <w:rFonts w:hint="default" w:ascii="Arial" w:hAnsi="Arial" w:cs="Arial"/>
          <w:b/>
          <w:color w:val="000000"/>
          <w:sz w:val="19"/>
        </w:rPr>
        <w:t xml:space="preserve"> progressiv</w:t>
      </w:r>
      <w:r>
        <w:rPr>
          <w:rFonts w:hint="default" w:ascii="Arial" w:hAnsi="Arial" w:cs="Arial"/>
          <w:b/>
          <w:color w:val="000000"/>
          <w:sz w:val="19"/>
          <w:lang w:val="pt-BR"/>
        </w:rPr>
        <w:t>a</w:t>
      </w:r>
      <w:r>
        <w:rPr>
          <w:rFonts w:hint="default" w:ascii="Arial" w:hAnsi="Arial" w:cs="Arial"/>
          <w:b/>
          <w:color w:val="000000"/>
          <w:sz w:val="19"/>
        </w:rPr>
        <w:t xml:space="preserve"> de contato (*fade-out* tátil) de ~</w:t>
      </w:r>
      <w:r>
        <w:rPr>
          <w:rFonts w:hint="default" w:ascii="Arial" w:hAnsi="Arial" w:cs="Arial"/>
          <w:b/>
          <w:color w:val="000000"/>
          <w:sz w:val="19"/>
          <w:lang w:val="pt-BR"/>
        </w:rPr>
        <w:t>3</w:t>
      </w:r>
      <w:r>
        <w:rPr>
          <w:rFonts w:hint="default" w:ascii="Arial" w:hAnsi="Arial" w:cs="Arial"/>
          <w:b/>
          <w:color w:val="000000"/>
          <w:sz w:val="19"/>
        </w:rPr>
        <w:t xml:space="preserve"> segundos</w:t>
      </w:r>
      <w:r>
        <w:rPr>
          <w:rFonts w:hint="default" w:ascii="Arial" w:hAnsi="Arial" w:cs="Arial"/>
          <w:color w:val="000000"/>
          <w:sz w:val="19"/>
        </w:rPr>
        <w:t>, aliviando a pegada até soltar totalmente as pernas e vocalizar o comando *"SOLTEI"*, recuando as mãos.</w:t>
      </w:r>
    </w:p>
    <w:p w14:paraId="10267F15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Sustentação:</w:t>
      </w:r>
      <w:r>
        <w:rPr>
          <w:rFonts w:hint="default" w:ascii="Arial" w:hAnsi="Arial" w:cs="Arial"/>
          <w:color w:val="000000"/>
          <w:sz w:val="19"/>
        </w:rPr>
        <w:t xml:space="preserve"> O atleta sustenta a parada de mãos até a perda de equilíbrio ou contato dos pés com o solo.</w:t>
      </w:r>
    </w:p>
    <w:p w14:paraId="29A69D08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Validação na Planilha:</w:t>
      </w:r>
      <w:r>
        <w:rPr>
          <w:rFonts w:hint="default" w:ascii="Arial" w:hAnsi="Arial" w:cs="Arial"/>
          <w:color w:val="000000"/>
          <w:sz w:val="19"/>
        </w:rPr>
        <w:t xml:space="preserve"> Preencher OK na coluna HS_Assist_T[1-3]_Status. Caso haja erro na soltura ou desabamento prematuro, marcar Repetir. Se houver alguma ocorrência atípica, registrar na coluna final Observacoes_Gerais_Sessao2.</w:t>
      </w:r>
    </w:p>
    <w:p w14:paraId="233FE708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[ID]_hs01_assistido.c3d, [ID]_hs02_assistido.c3d, [ID]_hs03_assistido.c3d.</w:t>
      </w:r>
    </w:p>
    <w:p w14:paraId="3B3EFB6B">
      <w:pPr>
        <w:numPr>
          <w:numId w:val="0"/>
        </w:numPr>
        <w:spacing w:before="80" w:after="8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Inter-Blocos: Repouso passivo total de 3 minutos sentado com hidratação livre.</w:t>
      </w:r>
    </w:p>
    <w:p w14:paraId="145EDF22">
      <w:pPr>
        <w:spacing w:before="1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0"/>
        </w:rPr>
        <w:t>Bloco 2: Entradas Livres (3 Tentativas | 90s Repouso)</w:t>
      </w:r>
    </w:p>
    <w:p w14:paraId="51565905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Execução:</w:t>
      </w:r>
      <w:r>
        <w:rPr>
          <w:rFonts w:hint="default" w:ascii="Arial" w:hAnsi="Arial" w:cs="Arial"/>
          <w:color w:val="000000"/>
          <w:sz w:val="19"/>
        </w:rPr>
        <w:t xml:space="preserve"> Subida autônoma preferencial (*kick-up*) diretamente sobre a plataforma Bertec, sem nenhum auxílio externo.</w:t>
      </w:r>
    </w:p>
    <w:p w14:paraId="0B50184B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Tentativas de Subida:</w:t>
      </w:r>
      <w:r>
        <w:rPr>
          <w:rFonts w:hint="default" w:ascii="Arial" w:hAnsi="Arial" w:cs="Arial"/>
          <w:color w:val="000000"/>
          <w:sz w:val="19"/>
        </w:rPr>
        <w:t xml:space="preserve"> O atleta tem até </w:t>
      </w:r>
      <w:r>
        <w:rPr>
          <w:rFonts w:hint="default" w:ascii="Arial" w:hAnsi="Arial" w:cs="Arial"/>
          <w:b/>
          <w:color w:val="000000"/>
          <w:sz w:val="19"/>
        </w:rPr>
        <w:t>5 chutes de impulso</w:t>
      </w:r>
      <w:r>
        <w:rPr>
          <w:rFonts w:hint="default" w:ascii="Arial" w:hAnsi="Arial" w:cs="Arial"/>
          <w:color w:val="000000"/>
          <w:sz w:val="19"/>
        </w:rPr>
        <w:t xml:space="preserve"> por tentativa para estabilizar no topo. Se não estabilizar em 5 tentativas, a tentativa é registrada como Falha.</w:t>
      </w:r>
    </w:p>
    <w:p w14:paraId="0CF9D13F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Validação Técnica:</w:t>
      </w:r>
    </w:p>
    <w:p w14:paraId="62A1DFD7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bCs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Válida</w:t>
      </w:r>
      <w:r>
        <w:rPr>
          <w:rFonts w:hint="default" w:ascii="Arial" w:hAnsi="Arial" w:cs="Arial"/>
          <w:b/>
          <w:color w:val="000000"/>
          <w:sz w:val="19"/>
          <w:u w:val="single"/>
        </w:rPr>
        <w:t>:</w:t>
      </w:r>
      <w:r>
        <w:rPr>
          <w:rFonts w:hint="default" w:ascii="Arial" w:hAnsi="Arial" w:cs="Arial"/>
          <w:color w:val="000000"/>
          <w:sz w:val="19"/>
        </w:rPr>
        <w:t xml:space="preserve"> Sustentação autônoma por </w:t>
      </w:r>
      <w:r>
        <w:rPr>
          <w:rFonts w:hint="default" w:ascii="Arial" w:hAnsi="Arial" w:cs="Arial"/>
          <w:b/>
          <w:color w:val="000000"/>
          <w:sz w:val="19"/>
        </w:rPr>
        <w:t>pelo menos 3,0 segundos contínuos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192ECE83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Falha:</w:t>
      </w:r>
      <w:r>
        <w:rPr>
          <w:rFonts w:hint="default" w:ascii="Arial" w:hAnsi="Arial" w:cs="Arial"/>
          <w:color w:val="000000"/>
          <w:sz w:val="19"/>
        </w:rPr>
        <w:t xml:space="preserve"> Queda antes de 3,0 segundos.</w:t>
      </w:r>
    </w:p>
    <w:p w14:paraId="7F74F8F0">
      <w:pPr>
        <w:pStyle w:val="35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[ID]_hs01_livre.c3d, [ID]_hs02_livre.c3d, [ID]_hs03_livre.c3d.</w:t>
      </w:r>
    </w:p>
    <w:p w14:paraId="7BD22C16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5.3 Handstand Walk (HSW) – Locomoção Dinâmica</w:t>
      </w:r>
    </w:p>
    <w:p w14:paraId="62725CA5">
      <w:pPr>
        <w:spacing w:before="80" w:after="80" w:line="360" w:lineRule="auto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i/>
          <w:color w:val="000000"/>
          <w:sz w:val="19"/>
        </w:rPr>
        <w:t>Intervalo Pré-Teste Obrigatório: Repouso passivo total de 10 minutos sentado, garantindo dissipação completa de metabólitos, restauração dos estoques de fosfocreatina (PCr) e recuperação vestibular plena.</w:t>
      </w:r>
    </w:p>
    <w:p w14:paraId="1DC6D057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Dimensões da Pista Útil:</w:t>
      </w:r>
      <w:r>
        <w:rPr>
          <w:rFonts w:hint="default" w:ascii="Arial" w:hAnsi="Arial" w:cs="Arial"/>
          <w:color w:val="000000"/>
          <w:sz w:val="19"/>
        </w:rPr>
        <w:t xml:space="preserve"> Corredor de </w:t>
      </w:r>
      <w:r>
        <w:rPr>
          <w:rFonts w:hint="default" w:ascii="Arial" w:hAnsi="Arial" w:cs="Arial"/>
          <w:b/>
          <w:color w:val="000000"/>
          <w:sz w:val="19"/>
        </w:rPr>
        <w:t>4,0 metros de comprimento linear útil</w:t>
      </w:r>
      <w:r>
        <w:rPr>
          <w:rFonts w:hint="default" w:ascii="Arial" w:hAnsi="Arial" w:cs="Arial"/>
          <w:color w:val="000000"/>
          <w:sz w:val="19"/>
        </w:rPr>
        <w:t xml:space="preserve"> por </w:t>
      </w:r>
      <w:r>
        <w:rPr>
          <w:rFonts w:hint="default" w:ascii="Arial" w:hAnsi="Arial" w:cs="Arial"/>
          <w:b/>
          <w:color w:val="000000"/>
          <w:sz w:val="19"/>
        </w:rPr>
        <w:t>1,0 metro de largura</w:t>
      </w:r>
      <w:r>
        <w:rPr>
          <w:rFonts w:hint="default" w:ascii="Arial" w:hAnsi="Arial" w:cs="Arial"/>
          <w:color w:val="000000"/>
          <w:sz w:val="19"/>
        </w:rPr>
        <w:t>, demarcado com fitas discretas no solo.</w:t>
      </w:r>
    </w:p>
    <w:p w14:paraId="269D4207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Caixa de Partida (*Start Box*):</w:t>
      </w:r>
      <w:r>
        <w:rPr>
          <w:rFonts w:hint="default" w:ascii="Arial" w:hAnsi="Arial" w:cs="Arial"/>
          <w:color w:val="000000"/>
          <w:sz w:val="19"/>
        </w:rPr>
        <w:t xml:space="preserve"> Retângulo de </w:t>
      </w:r>
      <w:r>
        <w:rPr>
          <w:rFonts w:hint="default" w:ascii="Arial" w:hAnsi="Arial" w:cs="Arial"/>
          <w:b/>
          <w:color w:val="000000"/>
          <w:sz w:val="19"/>
        </w:rPr>
        <w:t>60 cm de largura (X) por 35 cm de profundidade (Y)</w:t>
      </w:r>
      <w:r>
        <w:rPr>
          <w:rFonts w:hint="default" w:ascii="Arial" w:hAnsi="Arial" w:cs="Arial"/>
          <w:color w:val="000000"/>
          <w:sz w:val="19"/>
        </w:rPr>
        <w:t xml:space="preserve"> demarcado com fita adesiva fosca no solo. A borda anterior da caixa coincide rigorosamente com o </w:t>
      </w:r>
      <w:r>
        <w:rPr>
          <w:rFonts w:hint="default" w:ascii="Arial" w:hAnsi="Arial" w:cs="Arial"/>
          <w:b/>
          <w:color w:val="000000"/>
          <w:sz w:val="19"/>
        </w:rPr>
        <w:t>Marco Zero (Y = 0)</w:t>
      </w:r>
      <w:r>
        <w:rPr>
          <w:rFonts w:hint="default" w:ascii="Arial" w:hAnsi="Arial" w:cs="Arial"/>
          <w:color w:val="000000"/>
          <w:sz w:val="19"/>
        </w:rPr>
        <w:t xml:space="preserve"> do volume global.</w:t>
      </w:r>
    </w:p>
    <w:p w14:paraId="2BDAF1A1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Modos de Entrada Padronizados:</w:t>
      </w:r>
    </w:p>
    <w:p w14:paraId="33120CEF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none"/>
          <w:lang w:val="pt-BR"/>
        </w:rPr>
        <w:tab/>
      </w:r>
      <w:r>
        <w:rPr>
          <w:rFonts w:hint="default" w:ascii="Arial" w:hAnsi="Arial" w:cs="Arial"/>
          <w:color w:val="000000"/>
          <w:sz w:val="19"/>
          <w:u w:val="single"/>
        </w:rPr>
        <w:t xml:space="preserve">De cima: </w:t>
      </w:r>
      <w:r>
        <w:rPr>
          <w:rFonts w:hint="default" w:ascii="Arial" w:hAnsi="Arial" w:cs="Arial"/>
          <w:color w:val="000000"/>
          <w:sz w:val="19"/>
        </w:rPr>
        <w:t>Passo à frente, mãos dentro da caixa e subida contínua;</w:t>
      </w:r>
    </w:p>
    <w:p w14:paraId="41DFB1AA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none"/>
          <w:lang w:val="pt-BR"/>
        </w:rPr>
        <w:tab/>
      </w:r>
      <w:r>
        <w:rPr>
          <w:rFonts w:hint="default" w:ascii="Arial" w:hAnsi="Arial" w:cs="Arial"/>
          <w:color w:val="000000"/>
          <w:sz w:val="19"/>
          <w:u w:val="single"/>
        </w:rPr>
        <w:t>Mãos no solo:</w:t>
      </w:r>
      <w:r>
        <w:rPr>
          <w:rFonts w:hint="default" w:ascii="Arial" w:hAnsi="Arial" w:cs="Arial"/>
          <w:color w:val="000000"/>
          <w:sz w:val="19"/>
          <w:u w:val="single"/>
          <w:lang w:val="pt-BR"/>
        </w:rPr>
        <w:t xml:space="preserve"> </w:t>
      </w:r>
      <w:r>
        <w:rPr>
          <w:rFonts w:hint="default" w:ascii="Arial" w:hAnsi="Arial" w:cs="Arial"/>
          <w:color w:val="000000"/>
          <w:sz w:val="19"/>
        </w:rPr>
        <w:t>Posição agachada/ajoelhada com as mãos já apoiadas dentro da caixa antes do chute;</w:t>
      </w:r>
    </w:p>
    <w:p w14:paraId="557E0426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Regra Mandatória de Consistência Intra-Sujeito:</w:t>
      </w:r>
      <w:r>
        <w:rPr>
          <w:rFonts w:hint="default" w:ascii="Arial" w:hAnsi="Arial" w:cs="Arial"/>
          <w:color w:val="000000"/>
          <w:sz w:val="19"/>
        </w:rPr>
        <w:t xml:space="preserve"> A modalidade de entrada definida na 1ª tentativa deve ser mantida estritamente em todas as 5 tentativas válidas. Proibido alternar técnicas entre tentativas. Registrar o modo na coluna HSW_Modo_Inicio (1 = De cima, 2 = Mãos chão, 3 = Stop&amp;Go).</w:t>
      </w:r>
    </w:p>
    <w:p w14:paraId="55C59978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Início Cinemático da Marcha ($t_0$ no Python):</w:t>
      </w:r>
      <w:r>
        <w:rPr>
          <w:rFonts w:hint="default" w:ascii="Arial" w:hAnsi="Arial" w:cs="Arial"/>
          <w:color w:val="000000"/>
          <w:sz w:val="19"/>
        </w:rPr>
        <w:t xml:space="preserve"> O primeiro deslocamento não é a subida, mas sim o 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primeiro descolamento manual (</w:t>
      </w:r>
      <w:r>
        <w:rPr>
          <w:rFonts w:hint="default" w:ascii="Arial" w:hAnsi="Arial" w:cs="Arial"/>
          <w:b w:val="0"/>
          <w:bCs/>
          <w:i/>
          <w:iCs/>
          <w:color w:val="000000"/>
          <w:sz w:val="19"/>
          <w:u w:val="single"/>
        </w:rPr>
        <w:t>First Hand Lift-off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)</w:t>
      </w:r>
      <w:r>
        <w:rPr>
          <w:rFonts w:hint="default" w:ascii="Arial" w:hAnsi="Arial" w:cs="Arial"/>
          <w:color w:val="000000"/>
          <w:sz w:val="19"/>
        </w:rPr>
        <w:t>, identificado pelo Python quando o punho (RWRA/LWRA ou RFIN/LFIN) atinge elevação vertical Z &gt; 120 mm</w:t>
      </w:r>
      <w:r>
        <w:rPr>
          <w:rFonts w:hint="default" w:ascii="Arial" w:hAnsi="Arial" w:cs="Arial"/>
          <w:color w:val="000000"/>
          <w:sz w:val="19"/>
          <w:lang w:val="pt-BR"/>
        </w:rPr>
        <w:t>.</w:t>
      </w:r>
    </w:p>
    <w:p w14:paraId="09027E7E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Critérios de Validação da Marcha:</w:t>
      </w:r>
    </w:p>
    <w:p w14:paraId="294E6A39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Válida:</w:t>
      </w:r>
      <w:r>
        <w:rPr>
          <w:rFonts w:hint="default" w:ascii="Arial" w:hAnsi="Arial" w:cs="Arial"/>
          <w:color w:val="000000"/>
          <w:sz w:val="19"/>
        </w:rPr>
        <w:t xml:space="preserve"> Apoio das mãos inteiramente dentro da </w:t>
      </w:r>
      <w:r>
        <w:rPr>
          <w:rFonts w:hint="default" w:ascii="Arial" w:hAnsi="Arial" w:cs="Arial"/>
          <w:i/>
          <w:iCs/>
          <w:color w:val="000000"/>
          <w:sz w:val="19"/>
        </w:rPr>
        <w:t>Start Box</w:t>
      </w:r>
      <w:r>
        <w:rPr>
          <w:rFonts w:hint="default" w:ascii="Arial" w:hAnsi="Arial" w:cs="Arial"/>
          <w:color w:val="000000"/>
          <w:sz w:val="19"/>
        </w:rPr>
        <w:t xml:space="preserve"> e percurso contínuo de 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pelo menos </w:t>
      </w:r>
      <w:r>
        <w:rPr>
          <w:rFonts w:hint="default" w:ascii="Arial" w:hAnsi="Arial" w:cs="Arial"/>
          <w:b w:val="0"/>
          <w:bCs/>
          <w:color w:val="000000"/>
          <w:sz w:val="19"/>
          <w:lang w:val="pt-BR"/>
        </w:rPr>
        <w:t>3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 </w:t>
      </w:r>
      <w:r>
        <w:rPr>
          <w:rFonts w:hint="default" w:ascii="Arial" w:hAnsi="Arial" w:cs="Arial"/>
          <w:color w:val="000000"/>
          <w:sz w:val="19"/>
        </w:rPr>
        <w:t>passos manuais alternados antes de qualquer queda.</w:t>
      </w:r>
    </w:p>
    <w:p w14:paraId="59725A88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  <w:lang w:val="pt-BR"/>
        </w:rPr>
        <w:tab/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Tentativa Nula (Repetir após 90s):</w:t>
      </w:r>
      <w:r>
        <w:rPr>
          <w:rFonts w:hint="default" w:ascii="Arial" w:hAnsi="Arial" w:cs="Arial"/>
          <w:color w:val="000000"/>
          <w:sz w:val="19"/>
        </w:rPr>
        <w:t xml:space="preserve"> Queda</w:t>
      </w:r>
      <w:r>
        <w:rPr>
          <w:rFonts w:hint="default" w:ascii="Arial" w:hAnsi="Arial" w:cs="Arial"/>
          <w:color w:val="000000"/>
          <w:sz w:val="19"/>
          <w:lang w:val="pt-BR"/>
        </w:rPr>
        <w:t>/volta dos pés ao solo</w:t>
      </w:r>
      <w:r>
        <w:rPr>
          <w:rFonts w:hint="default" w:ascii="Arial" w:hAnsi="Arial" w:cs="Arial"/>
          <w:color w:val="000000"/>
          <w:sz w:val="19"/>
        </w:rPr>
        <w:t>; colapso imediato dos cotovelos; apoio inicial das mãos sobre ou além da linha frontal do retângulo; saída lateral do corredor de 1 metro.</w:t>
      </w:r>
    </w:p>
    <w:p w14:paraId="28A4951B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Volume de Tentativas:</w:t>
      </w:r>
      <w:r>
        <w:rPr>
          <w:rFonts w:hint="default" w:ascii="Arial" w:hAnsi="Arial" w:cs="Arial"/>
          <w:color w:val="000000"/>
          <w:sz w:val="19"/>
        </w:rPr>
        <w:t xml:space="preserve"> Atingir </w:t>
      </w:r>
      <w:r>
        <w:rPr>
          <w:rFonts w:hint="default" w:ascii="Arial" w:hAnsi="Arial" w:cs="Arial"/>
          <w:b w:val="0"/>
          <w:bCs/>
          <w:color w:val="000000"/>
          <w:sz w:val="19"/>
          <w:u w:val="single"/>
        </w:rPr>
        <w:t>5 tentativas válidas</w:t>
      </w:r>
      <w:r>
        <w:rPr>
          <w:rFonts w:hint="default" w:ascii="Arial" w:hAnsi="Arial" w:cs="Arial"/>
          <w:color w:val="000000"/>
          <w:sz w:val="19"/>
        </w:rPr>
        <w:t xml:space="preserve"> (intervalo de 90s entre tentativas; limite teto de 7 tentativas totais para evitar fadiga aguda).</w:t>
      </w:r>
    </w:p>
    <w:p w14:paraId="5EF8ABAB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Nomenclatura no Nexus:</w:t>
      </w:r>
      <w:r>
        <w:rPr>
          <w:rFonts w:hint="default" w:ascii="Arial" w:hAnsi="Arial" w:cs="Arial"/>
          <w:color w:val="000000"/>
          <w:sz w:val="19"/>
        </w:rPr>
        <w:t xml:space="preserve"> [ID]_hsw01.c3d, [ID]_hsw02.c3d, [ID]_hsw03.c3d, [ID]_hsw04.c3d, [ID]_hsw05.c3d.</w:t>
      </w:r>
    </w:p>
    <w:p w14:paraId="5CBEE7A6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6. DIRETRIZES NO VICON NEXUS: OPERADOR VS. PYTHON</w:t>
      </w:r>
    </w:p>
    <w:p w14:paraId="47B5ACD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Para não perder tempo durante a sessão experimental rotulando manualmente milhares de frames, a divisão de tarefas entre o software proprietário e o pipeline em Python foi rigorosamente otimizada: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auto" w:sz="0" w:space="0"/>
          <w:bottom w:val="single" w:color="000000" w:sz="6" w:space="0"/>
          <w:right w:val="none" w:color="auto" w:sz="0" w:space="0"/>
          <w:insideH w:val="single" w:color="D1D5DB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0"/>
        <w:gridCol w:w="4824"/>
      </w:tblGrid>
      <w:tr w14:paraId="17D47F06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000000"/>
          </w:tcPr>
          <w:p w14:paraId="1ED55FC0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O que você FAZ no Vicon Nexus (Rápido)</w:t>
            </w:r>
          </w:p>
        </w:tc>
        <w:tc>
          <w:tcPr>
            <w:tcW w:w="5040" w:type="dxa"/>
            <w:shd w:val="clear" w:color="auto" w:fill="000000"/>
          </w:tcPr>
          <w:p w14:paraId="79E926BA">
            <w:pPr>
              <w:spacing w:before="40" w:after="4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FFFFFF"/>
                <w:sz w:val="19"/>
              </w:rPr>
              <w:t>O que o PYTHON faz Sozinho (Automatizado)</w:t>
            </w:r>
          </w:p>
        </w:tc>
      </w:tr>
      <w:tr w14:paraId="0D736FCB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1C482890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1. No ensaio estático (Cal.c3d), executar Reconstruct and Label e garantir que pelo menos 1 frame tenha todos os marcadores rotulados (prioridade: cluster dorsal C7, T10, referencia1, referencia2, RBAK e os ombros LSHO/RSHO).</w:t>
            </w:r>
          </w:p>
        </w:tc>
        <w:tc>
          <w:tcPr>
            <w:tcW w:w="5040" w:type="dxa"/>
            <w:shd w:val="clear" w:color="auto" w:fill="FAFAFA"/>
          </w:tcPr>
          <w:p w14:paraId="6EBB3AD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1. Gap Filling automático: O Python interpola lacunas via splines PCHIP e remove saltos espúrios (&gt;60 mm) sem intervenção manual.</w:t>
            </w:r>
          </w:p>
        </w:tc>
      </w:tr>
      <w:tr w14:paraId="37AA3531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494FE38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2. Nos ensaios dinâmicos (hs e hsw), disparar o Auto-Labeling e conferir rapidamente se o cluster dorsal, o M_PESQ (nas assistidas) e as extremidades estão com nomes atribuídos.</w:t>
            </w:r>
          </w:p>
        </w:tc>
        <w:tc>
          <w:tcPr>
            <w:tcW w:w="5040" w:type="dxa"/>
          </w:tcPr>
          <w:p w14:paraId="27F2BC16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2. Reconstrução Rígida SVD: Se os ombros (LSHO/RSHO) forem ocluídos pela cabeça/braços, o algoritmo de Kabsch recalcula a posição 3D exata a partir do cluster dorsal.</w:t>
            </w:r>
          </w:p>
        </w:tc>
      </w:tr>
      <w:tr w14:paraId="629CA1B0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AFAFA"/>
          </w:tcPr>
          <w:p w14:paraId="607A1D04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Salvar o ensaio (Save Trial) e exportar os arquivos brutos .c3d.</w:t>
            </w:r>
          </w:p>
        </w:tc>
        <w:tc>
          <w:tcPr>
            <w:tcW w:w="5040" w:type="dxa"/>
            <w:shd w:val="clear" w:color="auto" w:fill="FAFAFA"/>
          </w:tcPr>
          <w:p w14:paraId="2069B291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3. Filtragem Digital: Aplica filtro Butterworth passa-baixa 4ª ordem zero-lag (6 Hz cinemática e 20 Hz cinética).</w:t>
            </w:r>
          </w:p>
        </w:tc>
      </w:tr>
      <w:tr w14:paraId="329B5A0A">
        <w:tblPrEx>
          <w:tblBorders>
            <w:top w:val="single" w:color="000000" w:sz="6" w:space="0"/>
            <w:left w:val="none" w:color="auto" w:sz="0" w:space="0"/>
            <w:bottom w:val="single" w:color="000000" w:sz="6" w:space="0"/>
            <w:right w:val="none" w:color="auto" w:sz="0" w:space="0"/>
            <w:insideH w:val="single" w:color="D1D5DB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1768CF5A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</w:p>
        </w:tc>
        <w:tc>
          <w:tcPr>
            <w:tcW w:w="5040" w:type="dxa"/>
          </w:tcPr>
          <w:p w14:paraId="15C63882">
            <w:pPr>
              <w:spacing w:before="20" w:after="20" w:line="276" w:lineRule="auto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000000"/>
                <w:sz w:val="18"/>
              </w:rPr>
              <w:t>4. Detecção de Eventos: Localiza algoritmicamente a soltura do avaliador (dist_pesq &gt; 250 mm) e passadas no HSW.</w:t>
            </w:r>
          </w:p>
        </w:tc>
      </w:tr>
    </w:tbl>
    <w:p w14:paraId="4A7CDB96">
      <w:pPr>
        <w:jc w:val="both"/>
        <w:rPr>
          <w:rFonts w:hint="default" w:ascii="Arial" w:hAnsi="Arial" w:cs="Arial"/>
        </w:rPr>
      </w:pPr>
    </w:p>
    <w:p w14:paraId="7E7A281A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Modelo VSK Pré-Configurado:</w:t>
      </w:r>
      <w:r>
        <w:rPr>
          <w:rFonts w:hint="default" w:ascii="Arial" w:hAnsi="Arial" w:cs="Arial"/>
          <w:color w:val="000000"/>
          <w:sz w:val="19"/>
        </w:rPr>
        <w:t xml:space="preserve"> Carregue previamente no Nexus o arquivo de modelo do sujeito (.vsk) contendo os marcadores adicionais (referencia1, referencia2, RBAK e M_PESQ). Assim, o Auto-Labeling rotula os marcadores extras automaticamente logo após a captura.</w:t>
      </w:r>
    </w:p>
    <w:p w14:paraId="3DFF031A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7. PIPELINE AUTOMATIZADO EM PYTHON: LIMPEZA, SVD E EXTRAÇÃO</w:t>
      </w:r>
    </w:p>
    <w:p w14:paraId="532C9822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Após o encerramento da coleta, o pós-processamento é executado em lote via terminal:</w:t>
      </w:r>
    </w:p>
    <w:p w14:paraId="22DB8AD7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1: Transferir os Arquivos C3D Brutos</w:t>
      </w:r>
    </w:p>
    <w:p w14:paraId="603E9463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Mover todos os arquivos .c3d gerados no Nexus (Cal.c3d, hs01 a hs03 assistido, hs01 a hs03 livre, e hsw01 a hsw05) para a pasta:</w:t>
      </w:r>
    </w:p>
    <w:p w14:paraId="01B5CA0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OFICIAL/02_SESSAO_LABIOCOM_CINEMATICA/dados_brutos_c3d/</w:t>
      </w:r>
    </w:p>
    <w:p w14:paraId="0AC6606A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2: Executar o Pipeline Master</w:t>
      </w:r>
    </w:p>
    <w:p w14:paraId="587BC504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No terminal PowerShell, execute:</w:t>
      </w:r>
      <w:r>
        <w:rPr>
          <w:rFonts w:hint="default" w:ascii="Arial" w:hAnsi="Arial" w:cs="Arial"/>
          <w:color w:val="000000"/>
          <w:sz w:val="19"/>
          <w:lang w:val="pt-BR"/>
        </w:rPr>
        <w:t xml:space="preserve"> </w:t>
      </w:r>
      <w:r>
        <w:rPr>
          <w:rFonts w:hint="default" w:ascii="Arial" w:hAnsi="Arial" w:cs="Arial"/>
          <w:color w:val="000000"/>
          <w:sz w:val="17"/>
        </w:rPr>
        <w:t>cd "C:\Users\Gui\Documents\MESTRADO_HANDSTAND\coleta\PILOTO OFICIAL\02_SESSAO_LABIOCOM_CINEMATICA\pipeline_processamento"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executar_pipeline_labiocom.py</w:t>
      </w:r>
    </w:p>
    <w:p w14:paraId="37C14C30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3: Módulos Executados em Segundo Plano</w:t>
      </w:r>
    </w:p>
    <w:p w14:paraId="6BAF24A8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Reconstrução SVD &amp; Limpeza (pipeline_limpeza_automatica.py):</w:t>
      </w:r>
    </w:p>
    <w:p w14:paraId="59B0A4AD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Lê Cal.c3d, calcula a geometria rígida do cluster dorsal (C7, T10, referencia1, referencia2) e recupera os ombros por SVD/Kabsch.</w:t>
      </w:r>
    </w:p>
    <w:p w14:paraId="18277647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Elimina spikes (&gt;60 mm), preenche lacunas via PCHIP e aplica filtro Butterworth (6 Hz cinemática, 20 Hz Bertec).</w:t>
      </w:r>
    </w:p>
    <w:p w14:paraId="21AF50B6">
      <w:pPr>
        <w:pStyle w:val="34"/>
        <w:numPr>
          <w:ilvl w:val="0"/>
          <w:numId w:val="8"/>
        </w:numPr>
        <w:tabs>
          <w:tab w:val="clear" w:pos="420"/>
          <w:tab w:val="clear" w:pos="360"/>
        </w:tabs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Salva os arquivos tratados em dados_limpos_c3d/*_limpo.c3d.</w:t>
      </w:r>
    </w:p>
    <w:p w14:paraId="67673EF4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Extração de Handstand Estático (analisar_hs_oficial.py):</w:t>
      </w:r>
    </w:p>
    <w:p w14:paraId="2040F6DC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Detecta o início estável pelo afastamento do M_PESQ (&gt;250 mm) nas assistidas ou elevação das pernas nas livres.</w:t>
      </w:r>
    </w:p>
    <w:p w14:paraId="7E16260F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  <w:b w:val="0"/>
          <w:bCs/>
        </w:rPr>
      </w:pPr>
      <w:r>
        <w:rPr>
          <w:rFonts w:hint="default" w:ascii="Arial" w:hAnsi="Arial" w:cs="Arial"/>
          <w:color w:val="000000"/>
          <w:sz w:val="19"/>
          <w:u w:val="single"/>
        </w:rPr>
        <w:t>Extrai:</w:t>
      </w:r>
      <w:r>
        <w:rPr>
          <w:rFonts w:hint="default" w:ascii="Arial" w:hAnsi="Arial" w:cs="Arial"/>
          <w:color w:val="000000"/>
          <w:sz w:val="19"/>
        </w:rPr>
        <w:t xml:space="preserve"> </w:t>
      </w:r>
      <w:r>
        <w:rPr>
          <w:rFonts w:hint="default" w:ascii="Arial" w:hAnsi="Arial" w:cs="Arial"/>
          <w:b w:val="0"/>
          <w:bCs/>
          <w:color w:val="000000"/>
          <w:sz w:val="19"/>
        </w:rPr>
        <w:t>Tempo de Sustentação (s), Distância CoP-CoM (mm), Velocidade do CoP (mm/s), Entropia Aproximada (ApEn), Verticalidade 3D</w:t>
      </w:r>
      <w:r>
        <w:rPr>
          <w:rFonts w:hint="default" w:ascii="Arial" w:hAnsi="Arial" w:cs="Arial"/>
          <w:b w:val="0"/>
          <w:bCs/>
          <w:color w:val="000000"/>
          <w:sz w:val="19"/>
          <w:lang w:val="pt-BR"/>
        </w:rPr>
        <w:t xml:space="preserve"> (graus)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, Extensão Cervical (graus), Largura da Base de Apoio (mm), </w:t>
      </w:r>
      <w:r>
        <w:rPr>
          <w:rFonts w:hint="default" w:ascii="Arial" w:hAnsi="Arial" w:cs="Arial"/>
          <w:b w:val="0"/>
          <w:bCs/>
          <w:i/>
          <w:iCs/>
          <w:color w:val="000000"/>
          <w:sz w:val="19"/>
        </w:rPr>
        <w:t>Toe-out</w:t>
      </w:r>
      <w:r>
        <w:rPr>
          <w:rFonts w:hint="default" w:ascii="Arial" w:hAnsi="Arial" w:cs="Arial"/>
          <w:b w:val="0"/>
          <w:bCs/>
          <w:color w:val="000000"/>
          <w:sz w:val="19"/>
        </w:rPr>
        <w:t xml:space="preserve"> das Mãos (graus), Altura do CoM (mm) e Comprimento de Membros (mm).</w:t>
      </w:r>
    </w:p>
    <w:p w14:paraId="736D509F">
      <w:pPr>
        <w:pStyle w:val="35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Extração de Handstand Walk (analisar_hsw_oficial.py):</w:t>
      </w:r>
    </w:p>
    <w:p w14:paraId="274C76F3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Localiza toques e descolamentos manuais por cinemática dos punhos e dedos (LFIN/RFIN).</w:t>
      </w:r>
    </w:p>
    <w:p w14:paraId="79F1C864">
      <w:pPr>
        <w:pStyle w:val="34"/>
        <w:numPr>
          <w:ilvl w:val="0"/>
          <w:numId w:val="8"/>
        </w:numPr>
        <w:spacing w:before="20" w:after="40" w:line="360" w:lineRule="auto"/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  <w:u w:val="single"/>
          <w:lang w:val="pt-BR"/>
        </w:rPr>
        <w:t>E</w:t>
      </w:r>
      <w:r>
        <w:rPr>
          <w:rFonts w:hint="default" w:ascii="Arial" w:hAnsi="Arial" w:cs="Arial"/>
          <w:color w:val="000000"/>
          <w:sz w:val="19"/>
          <w:u w:val="single"/>
        </w:rPr>
        <w:t>xtrai:</w:t>
      </w:r>
      <w:r>
        <w:rPr>
          <w:rFonts w:hint="default" w:ascii="Arial" w:hAnsi="Arial" w:cs="Arial"/>
          <w:color w:val="000000"/>
          <w:sz w:val="19"/>
        </w:rPr>
        <w:t xml:space="preserve"> </w:t>
      </w:r>
      <w:r>
        <w:rPr>
          <w:rFonts w:hint="default" w:ascii="Arial" w:hAnsi="Arial" w:cs="Arial"/>
          <w:b w:val="0"/>
          <w:bCs/>
          <w:color w:val="000000"/>
          <w:sz w:val="19"/>
        </w:rPr>
        <w:t>Distância Percorrida (m), Duração da Marcha (s), Velocidade Média (mm/s), Cadência (passos/s), Comprimento de Passada (mm), Variabilidade Espaço-Temporal (CV %), Fração de Duplo vs. Simples Suporte, Oscilação Médio-Lateral do CoM (mm), Verticalidade Dinâmica (graus) e Extensão Cervical (graus).</w:t>
      </w:r>
    </w:p>
    <w:p w14:paraId="6E5819C1">
      <w:pPr>
        <w:spacing w:before="16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1"/>
        </w:rPr>
        <w:t>Passo 4: Matriz de Saída</w:t>
      </w:r>
    </w:p>
    <w:p w14:paraId="37E8E70F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Os resultados consolidados tentativa por tentativa são salvos em:</w:t>
      </w:r>
    </w:p>
    <w:p w14:paraId="1F041B9E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coleta/PILOTO OFICIAL/02_SESSAO_LABIOCOM_CINEMATICA/resultados/variaveis_labiocom_por_tentativa.csv</w:t>
      </w:r>
    </w:p>
    <w:p w14:paraId="01795175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8. CONSOLIDAÇÃO FINAL DO DATASET (SPSS READY)</w:t>
      </w:r>
    </w:p>
    <w:p w14:paraId="16543E56">
      <w:pPr>
        <w:spacing w:before="40" w:after="6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9"/>
        </w:rPr>
        <w:t>Ao final de ambas as sessões (LaCiDH e LaBioCoM), o script consolidador integra todos os dados dos participantes (Questionário Online + Força e Composição LaCiDH + Cinemática e Cinética LaBioCoM):</w:t>
      </w:r>
    </w:p>
    <w:p w14:paraId="097B374F">
      <w:pPr>
        <w:spacing w:before="60" w:after="60" w:line="360" w:lineRule="auto"/>
        <w:ind w:left="288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color w:val="000000"/>
          <w:sz w:val="17"/>
        </w:rPr>
        <w:t>cd "C:\Users\Gui\Documents\MESTRADO_HANDSTAND\coleta\PILOTO OFICIAL\03_CONSOLIDACAO_DATASET\scripts"</w:t>
      </w:r>
      <w:r>
        <w:rPr>
          <w:rFonts w:hint="default" w:ascii="Arial" w:hAnsi="Arial" w:cs="Arial"/>
          <w:color w:val="000000"/>
          <w:sz w:val="17"/>
        </w:rPr>
        <w:br w:type="textWrapping"/>
      </w:r>
      <w:r>
        <w:rPr>
          <w:rFonts w:hint="default" w:ascii="Arial" w:hAnsi="Arial" w:cs="Arial"/>
          <w:color w:val="000000"/>
          <w:sz w:val="17"/>
        </w:rPr>
        <w:t>python consolidar_dataset_mestrado.py</w:t>
      </w:r>
    </w:p>
    <w:p w14:paraId="3FBEACDC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Arquivo Gerado:</w:t>
      </w:r>
      <w:r>
        <w:rPr>
          <w:rFonts w:hint="default" w:ascii="Arial" w:hAnsi="Arial" w:cs="Arial"/>
          <w:color w:val="000000"/>
          <w:sz w:val="19"/>
        </w:rPr>
        <w:t xml:space="preserve"> coleta/PILOTO OFICIAL/03_CONSOLIDACAO_DATASET/dataset_final/dataset_mestrado_completo_SPSS.csv.</w:t>
      </w:r>
    </w:p>
    <w:p w14:paraId="7CA86A95">
      <w:pPr>
        <w:pStyle w:val="34"/>
        <w:numPr>
          <w:numId w:val="0"/>
        </w:numPr>
        <w:spacing w:before="20" w:after="40" w:line="360" w:lineRule="auto"/>
        <w:ind w:leftChars="0"/>
        <w:jc w:val="both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  <w:b/>
          <w:color w:val="000000"/>
          <w:sz w:val="19"/>
        </w:rPr>
        <w:t>Pronto para Estatística:</w:t>
      </w:r>
      <w:r>
        <w:rPr>
          <w:rFonts w:hint="default" w:ascii="Arial" w:hAnsi="Arial" w:cs="Arial"/>
          <w:color w:val="000000"/>
          <w:sz w:val="19"/>
        </w:rPr>
        <w:t xml:space="preserve"> Planilha parametrizada com variáveis numéricas agregadas (médias de HS assistido, taxas de sucesso no HS livre e medianas no HSW dinâmico) pronta para importação direta no SPSS para alimentação dos </w:t>
      </w:r>
      <w:r>
        <w:rPr>
          <w:rFonts w:hint="default" w:ascii="Arial" w:hAnsi="Arial" w:cs="Arial"/>
          <w:b/>
          <w:color w:val="000000"/>
          <w:sz w:val="19"/>
        </w:rPr>
        <w:t>Modelos 1 a 6 de Regressão</w:t>
      </w:r>
      <w:r>
        <w:rPr>
          <w:rFonts w:hint="default" w:ascii="Arial" w:hAnsi="Arial" w:cs="Arial"/>
          <w:color w:val="000000"/>
          <w:sz w:val="19"/>
        </w:rPr>
        <w:t>.</w:t>
      </w:r>
    </w:p>
    <w:p w14:paraId="3DEDBB29">
      <w:pPr>
        <w:spacing w:before="280" w:after="8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26"/>
        </w:rPr>
        <w:t>9. REFERÊNCIAS BIBLIOGRÁFICAS</w:t>
      </w:r>
    </w:p>
    <w:p w14:paraId="463D962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BORG, F. G.; LAXÅBACK, G.</w:t>
      </w:r>
      <w:r>
        <w:rPr>
          <w:rFonts w:hint="default" w:ascii="Arial" w:hAnsi="Arial" w:cs="Arial"/>
          <w:color w:val="000000"/>
          <w:sz w:val="19"/>
        </w:rPr>
        <w:t xml:space="preserve"> Entropy of balance—some recent results. *Journal of NeuroEngineering and Rehabilitation*, v. 7, n. 1, p. 38, 2010.</w:t>
      </w:r>
    </w:p>
    <w:p w14:paraId="4CF56B1B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CAVANAUGH, J. T. et al.</w:t>
      </w:r>
      <w:r>
        <w:rPr>
          <w:rFonts w:hint="default" w:ascii="Arial" w:hAnsi="Arial" w:cs="Arial"/>
          <w:color w:val="000000"/>
          <w:sz w:val="19"/>
        </w:rPr>
        <w:t xml:space="preserve"> Detecting altered postural control after cerebral concussion in athletes with normal postural stability. *British Journal of Sports Medicine*, v. 39, n. 11, p. 805-811, 2005.</w:t>
      </w:r>
    </w:p>
    <w:p w14:paraId="7919709D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CHALLIS, J. H.</w:t>
      </w:r>
      <w:r>
        <w:rPr>
          <w:rFonts w:hint="default" w:ascii="Arial" w:hAnsi="Arial" w:cs="Arial"/>
          <w:color w:val="000000"/>
          <w:sz w:val="19"/>
        </w:rPr>
        <w:t xml:space="preserve"> A procedure for determining rigid body transformation parameters. *Journal of Biomechanics*, v. 28, n. 6, p. 733-737, 1995.</w:t>
      </w:r>
    </w:p>
    <w:p w14:paraId="34131F86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DAVIS, R. B. et al.</w:t>
      </w:r>
      <w:r>
        <w:rPr>
          <w:rFonts w:hint="default" w:ascii="Arial" w:hAnsi="Arial" w:cs="Arial"/>
          <w:color w:val="000000"/>
          <w:sz w:val="19"/>
        </w:rPr>
        <w:t xml:space="preserve"> A clinical gait analysis method. *Human Movement Science*, v. 10, n. 5, p. 575-587, 1991.</w:t>
      </w:r>
    </w:p>
    <w:p w14:paraId="22105FEE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DONKER, S. F. et al.</w:t>
      </w:r>
      <w:r>
        <w:rPr>
          <w:rFonts w:hint="default" w:ascii="Arial" w:hAnsi="Arial" w:cs="Arial"/>
          <w:color w:val="000000"/>
          <w:sz w:val="19"/>
        </w:rPr>
        <w:t xml:space="preserve"> Regularity of center-of-pressure trajectories reflects the degree of attention invested in postural control. *Experimental Brain Research*, v. 181, n. 1, p. 1-11, 2007.</w:t>
      </w:r>
    </w:p>
    <w:p w14:paraId="4A3D4203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FELLIN, R. E. et al.</w:t>
      </w:r>
      <w:r>
        <w:rPr>
          <w:rFonts w:hint="default" w:ascii="Arial" w:hAnsi="Arial" w:cs="Arial"/>
          <w:color w:val="000000"/>
          <w:sz w:val="19"/>
        </w:rPr>
        <w:t xml:space="preserve"> Comparison of methods for kinematic identification of footstrike and toe-off during overground and treadmill running. *Journal of Science and Medicine in Sport*, v. 13, n. 6, p. 646-650, 2010.</w:t>
      </w:r>
    </w:p>
    <w:p w14:paraId="4F2D019A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KABSCH, W.</w:t>
      </w:r>
      <w:r>
        <w:rPr>
          <w:rFonts w:hint="default" w:ascii="Arial" w:hAnsi="Arial" w:cs="Arial"/>
          <w:color w:val="000000"/>
          <w:sz w:val="19"/>
        </w:rPr>
        <w:t xml:space="preserve"> A solution for the best rotation to relate two sets of vectors. *Acta Crystallographica Section A*, v. 32, n. 5, p. 922-923, 1976.</w:t>
      </w:r>
    </w:p>
    <w:p w14:paraId="09231B0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KERWIN, D. G.; TREWARTHA, G.</w:t>
      </w:r>
      <w:r>
        <w:rPr>
          <w:rFonts w:hint="default" w:ascii="Arial" w:hAnsi="Arial" w:cs="Arial"/>
          <w:color w:val="000000"/>
          <w:sz w:val="19"/>
        </w:rPr>
        <w:t xml:space="preserve"> Strategies for maintaining a handstand in the anterior-posterior direction. *Medicine and Science in Sports and Exercise*, v. 33, n. 7, p. 1182-1188, 2001.</w:t>
      </w:r>
    </w:p>
    <w:p w14:paraId="78411FE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PINCUS, S. M.</w:t>
      </w:r>
      <w:r>
        <w:rPr>
          <w:rFonts w:hint="default" w:ascii="Arial" w:hAnsi="Arial" w:cs="Arial"/>
          <w:color w:val="000000"/>
          <w:sz w:val="19"/>
        </w:rPr>
        <w:t xml:space="preserve"> Approximate entropy as a measure of system complexity. *Proceedings of the National Academy of Sciences*, v. 88, n. 6, p. 2297-2301, 1991.</w:t>
      </w:r>
    </w:p>
    <w:p w14:paraId="34CB53C5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PRYHODA, M. et al.</w:t>
      </w:r>
      <w:r>
        <w:rPr>
          <w:rFonts w:hint="default" w:ascii="Arial" w:hAnsi="Arial" w:cs="Arial"/>
          <w:color w:val="000000"/>
          <w:sz w:val="19"/>
        </w:rPr>
        <w:t xml:space="preserve"> Task Specific and General Patterns of Joint Motion Variability in Upright- and Hand-Standing Postures. *Entropy*, v. 24, n. 7, p. 909, 2022.</w:t>
      </w:r>
    </w:p>
    <w:p w14:paraId="5DC3B196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RAMDANI, S. et al.</w:t>
      </w:r>
      <w:r>
        <w:rPr>
          <w:rFonts w:hint="default" w:ascii="Arial" w:hAnsi="Arial" w:cs="Arial"/>
          <w:color w:val="000000"/>
          <w:sz w:val="19"/>
        </w:rPr>
        <w:t xml:space="preserve"> On the use of sample entropy to analyze human postural sway data. *Medical Engineering &amp; Physics*, v. 31, n. 8, p. 1023-1031, 2009.</w:t>
      </w:r>
    </w:p>
    <w:p w14:paraId="126221B9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ROERDINK, M. et al.</w:t>
      </w:r>
      <w:r>
        <w:rPr>
          <w:rFonts w:hint="default" w:ascii="Arial" w:hAnsi="Arial" w:cs="Arial"/>
          <w:color w:val="000000"/>
          <w:sz w:val="19"/>
        </w:rPr>
        <w:t xml:space="preserve"> Dynamical structure of center-of-pressure trajectories in patients recovering from stroke. *Experimental Brain Research*, v. 174, n. 2, p. 256-266, 2006.</w:t>
      </w:r>
    </w:p>
    <w:p w14:paraId="5C5B08A7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STERGIOU, N.</w:t>
      </w:r>
      <w:r>
        <w:rPr>
          <w:rFonts w:hint="default" w:ascii="Arial" w:hAnsi="Arial" w:cs="Arial"/>
          <w:color w:val="000000"/>
          <w:sz w:val="19"/>
        </w:rPr>
        <w:t xml:space="preserve"> *Nonlinear Analysis for Human Movement Variability*. Boca Raton: CRC Press / Taylor &amp; Francis, 2016.</w:t>
      </w:r>
    </w:p>
    <w:p w14:paraId="396C929D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WINTER, D. A.</w:t>
      </w:r>
      <w:r>
        <w:rPr>
          <w:rFonts w:hint="default" w:ascii="Arial" w:hAnsi="Arial" w:cs="Arial"/>
          <w:color w:val="000000"/>
          <w:sz w:val="19"/>
        </w:rPr>
        <w:t xml:space="preserve"> *Biomechanics and Motor Control of Human Movement*. 4th ed. Hoboken: John Wiley &amp; Sons, 2009.</w:t>
      </w:r>
    </w:p>
    <w:p w14:paraId="60776275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WYATT, H. E. et al.</w:t>
      </w:r>
      <w:r>
        <w:rPr>
          <w:rFonts w:hint="default" w:ascii="Arial" w:hAnsi="Arial" w:cs="Arial"/>
          <w:color w:val="000000"/>
          <w:sz w:val="19"/>
        </w:rPr>
        <w:t xml:space="preserve"> Bidirectional causal control in the dynamics of handstand balance. *Scientific Reports*, v. 11, n. 1, p. 405, 2021.</w:t>
      </w:r>
    </w:p>
    <w:p w14:paraId="24F51C8B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YENTES, J. M. et al.</w:t>
      </w:r>
      <w:r>
        <w:rPr>
          <w:rFonts w:hint="default" w:ascii="Arial" w:hAnsi="Arial" w:cs="Arial"/>
          <w:color w:val="000000"/>
          <w:sz w:val="19"/>
        </w:rPr>
        <w:t xml:space="preserve"> The appropriate use of approximate entropy and sample entropy with short data sets in human locomotion. *Annals of Biomedical Engineering*, v. 41, n. 2, p. 349-365, 2013.</w:t>
      </w:r>
    </w:p>
    <w:p w14:paraId="3FEA3B9C">
      <w:pPr>
        <w:pStyle w:val="34"/>
        <w:spacing w:before="20" w:after="4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ZENI, J. A. et al.</w:t>
      </w:r>
      <w:r>
        <w:rPr>
          <w:rFonts w:hint="default" w:ascii="Arial" w:hAnsi="Arial" w:cs="Arial"/>
          <w:color w:val="000000"/>
          <w:sz w:val="19"/>
        </w:rPr>
        <w:t xml:space="preserve"> Two simple methods for determining gait events during treadmill and overground walking using kinematic data. *Gait &amp; Posture*, v. 27, n. 4, p. 710-714, 2008.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481CE"/>
    <w:multiLevelType w:val="singleLevel"/>
    <w:tmpl w:val="958481C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0CDAF43"/>
    <w:multiLevelType w:val="singleLevel"/>
    <w:tmpl w:val="B0CDAF4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7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7097E"/>
    <w:rsid w:val="121A73FA"/>
    <w:rsid w:val="19761DF7"/>
    <w:rsid w:val="377B469F"/>
    <w:rsid w:val="4254513C"/>
    <w:rsid w:val="4D8A5664"/>
    <w:rsid w:val="53426F62"/>
    <w:rsid w:val="70EE27D2"/>
    <w:rsid w:val="732E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3577</Words>
  <Characters>20754</Characters>
  <Lines>0</Lines>
  <Paragraphs>0</Paragraphs>
  <TotalTime>3506</TotalTime>
  <ScaleCrop>false</ScaleCrop>
  <LinksUpToDate>false</LinksUpToDate>
  <CharactersWithSpaces>23957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2026-09-15T15:12:25Z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1046-12.1.0.28485</vt:lpwstr>
  </property>
  <property fmtid="{D5CDD505-2E9C-101B-9397-08002B2CF9AE}" pid="4" name="ICV">
    <vt:lpwstr>2FAAFA65B39E436E9BBC1C5BD56B273C_12</vt:lpwstr>
  </property>
</Properties>
</file>