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47857"/>
          <w:sz w:val="17"/>
        </w:rPr>
        <w:t>UNIVERSIDADE DE SÃO PAULO — EEFERP-USP</w:t>
        <w:br/>
        <w:t>Escola de Educação Física e Esporte de Ribeirão Preto</w:t>
        <w:br/>
        <w:t>Laboratório de Cineantropometria e Desempenho Humano (LaCiDH) | Laboratório de Biomecânica e Controle Motor (LaBioCoM)</w:t>
      </w:r>
    </w:p>
    <w:p>
      <w:pPr>
        <w:jc w:val="center"/>
      </w:pPr>
      <w:r>
        <w:rPr>
          <w:rFonts w:ascii="Arial" w:hAnsi="Arial"/>
          <w:b/>
          <w:color w:val="064E3B"/>
          <w:sz w:val="28"/>
        </w:rPr>
        <w:t>RELATÓRIO INDIVIDUAL DE DESEMPENHO E COMPOSIÇÃO CORPORAL</w:t>
      </w:r>
    </w:p>
    <w:p>
      <w:pPr>
        <w:jc w:val="center"/>
      </w:pPr>
      <w:r>
        <w:rPr>
          <w:rFonts w:ascii="Arial" w:hAnsi="Arial"/>
          <w:color w:val="64748B"/>
          <w:sz w:val="18"/>
        </w:rPr>
        <w:t>Projeto de Pesquisa: Análise de Fatores Associados ao Desempenho no Handstand e Handstand Walk</w:t>
        <w:br/>
        <w:t>Mestrando: Guilherme de Paula Lemos | Orientador: Prof. Dr. Matheus Machado Gomes</w:t>
      </w:r>
    </w:p>
    <w:p>
      <w:pPr>
        <w:spacing w:after="40"/>
      </w:pP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80" w:type="dxa"/>
              <w:bottom w:w="80" w:type="dxa"/>
              <w:left w:w="120" w:type="dxa"/>
              <w:right w:w="120" w:type="dxa"/>
            </w:tcMar>
            <w:vAlign w:val="center"/>
          </w:tcPr>
          <w:p>
            <w:pPr>
              <w:spacing w:after="20" w:before="20"/>
            </w:pPr>
            <w:r>
              <w:rPr>
                <w:b/>
                <w:color w:val="047857"/>
                <w:sz w:val="16"/>
              </w:rPr>
              <w:t>PARTICIPANTE</w:t>
              <w:br/>
            </w:r>
            <w:r>
              <w:rPr>
                <w:b/>
                <w:color w:val="1E293B"/>
                <w:sz w:val="19"/>
              </w:rPr>
              <w:t>Gustavo H. Donato da Costa</w:t>
            </w:r>
          </w:p>
        </w:tc>
        <w:tc>
          <w:tcPr>
            <w:tcW w:type="dxa" w:w="2520"/>
            <w:shd w:fill="F8FAFC"/>
            <w:tcMar>
              <w:top w:w="80" w:type="dxa"/>
              <w:bottom w:w="80" w:type="dxa"/>
              <w:left w:w="120" w:type="dxa"/>
              <w:right w:w="120" w:type="dxa"/>
            </w:tcMar>
            <w:vAlign w:val="center"/>
          </w:tcPr>
          <w:p>
            <w:pPr>
              <w:spacing w:after="20" w:before="20"/>
            </w:pPr>
            <w:r>
              <w:rPr>
                <w:b/>
                <w:color w:val="047857"/>
                <w:sz w:val="16"/>
              </w:rPr>
              <w:t>CÓDIGO / ID</w:t>
              <w:br/>
            </w:r>
            <w:r>
              <w:rPr>
                <w:b/>
                <w:color w:val="1E293B"/>
                <w:sz w:val="19"/>
              </w:rPr>
              <w:t>P001 (Atleta Piloto)</w:t>
            </w:r>
          </w:p>
        </w:tc>
        <w:tc>
          <w:tcPr>
            <w:tcW w:type="dxa" w:w="2520"/>
            <w:shd w:fill="F8FAFC"/>
            <w:tcMar>
              <w:top w:w="80" w:type="dxa"/>
              <w:bottom w:w="80" w:type="dxa"/>
              <w:left w:w="120" w:type="dxa"/>
              <w:right w:w="120" w:type="dxa"/>
            </w:tcMar>
            <w:vAlign w:val="center"/>
          </w:tcPr>
          <w:p>
            <w:pPr>
              <w:spacing w:after="20" w:before="20"/>
            </w:pPr>
            <w:r>
              <w:rPr>
                <w:b/>
                <w:color w:val="047857"/>
                <w:sz w:val="16"/>
              </w:rPr>
              <w:t>IDADE / SEXO</w:t>
              <w:br/>
            </w:r>
            <w:r>
              <w:rPr>
                <w:b/>
                <w:color w:val="1E293B"/>
                <w:sz w:val="19"/>
              </w:rPr>
              <w:t>20 anos | Masculino</w:t>
            </w:r>
          </w:p>
        </w:tc>
        <w:tc>
          <w:tcPr>
            <w:tcW w:type="dxa" w:w="2520"/>
            <w:shd w:fill="F8FAFC"/>
            <w:tcMar>
              <w:top w:w="80" w:type="dxa"/>
              <w:bottom w:w="80" w:type="dxa"/>
              <w:left w:w="120" w:type="dxa"/>
              <w:right w:w="120" w:type="dxa"/>
            </w:tcMar>
            <w:vAlign w:val="center"/>
          </w:tcPr>
          <w:p>
            <w:pPr>
              <w:spacing w:after="20" w:before="20"/>
            </w:pPr>
            <w:r>
              <w:rPr>
                <w:b/>
                <w:color w:val="047857"/>
                <w:sz w:val="16"/>
              </w:rPr>
              <w:t>DATA COLETA (S1)</w:t>
              <w:br/>
            </w:r>
            <w:r>
              <w:rPr>
                <w:b/>
                <w:color w:val="1E293B"/>
                <w:sz w:val="19"/>
              </w:rPr>
              <w:t>02/09/2026 (LaCiDH)</w:t>
            </w:r>
          </w:p>
        </w:tc>
      </w:tr>
      <w:tr>
        <w:tc>
          <w:tcPr>
            <w:tcW w:type="dxa" w:w="2520"/>
            <w:shd w:fill="F8FAFC"/>
            <w:tcMar>
              <w:top w:w="80" w:type="dxa"/>
              <w:bottom w:w="80" w:type="dxa"/>
              <w:left w:w="120" w:type="dxa"/>
              <w:right w:w="120" w:type="dxa"/>
            </w:tcMar>
            <w:vAlign w:val="center"/>
          </w:tcPr>
          <w:p>
            <w:pPr>
              <w:spacing w:after="20" w:before="20"/>
            </w:pPr>
            <w:r>
              <w:rPr>
                <w:b/>
                <w:color w:val="047857"/>
                <w:sz w:val="16"/>
              </w:rPr>
              <w:t>MODALIDADES</w:t>
              <w:br/>
            </w:r>
            <w:r>
              <w:rPr>
                <w:b/>
                <w:color w:val="1E293B"/>
                <w:sz w:val="19"/>
              </w:rPr>
              <w:t>Calistenia / Handbalancing</w:t>
            </w:r>
          </w:p>
        </w:tc>
        <w:tc>
          <w:tcPr>
            <w:tcW w:type="dxa" w:w="2520"/>
            <w:shd w:fill="F8FAFC"/>
            <w:tcMar>
              <w:top w:w="80" w:type="dxa"/>
              <w:bottom w:w="80" w:type="dxa"/>
              <w:left w:w="120" w:type="dxa"/>
              <w:right w:w="120" w:type="dxa"/>
            </w:tcMar>
            <w:vAlign w:val="center"/>
          </w:tcPr>
          <w:p>
            <w:pPr>
              <w:spacing w:after="20" w:before="20"/>
            </w:pPr>
            <w:r>
              <w:rPr>
                <w:b/>
                <w:color w:val="047857"/>
                <w:sz w:val="16"/>
              </w:rPr>
              <w:t>TEMPO PRÁTICA</w:t>
              <w:br/>
            </w:r>
            <w:r>
              <w:rPr>
                <w:b/>
                <w:color w:val="1E293B"/>
                <w:sz w:val="19"/>
              </w:rPr>
              <w:t>24 meses (18m específico)</w:t>
            </w:r>
          </w:p>
        </w:tc>
        <w:tc>
          <w:tcPr>
            <w:tcW w:type="dxa" w:w="2520"/>
            <w:shd w:fill="F8FAFC"/>
            <w:tcMar>
              <w:top w:w="80" w:type="dxa"/>
              <w:bottom w:w="80" w:type="dxa"/>
              <w:left w:w="120" w:type="dxa"/>
              <w:right w:w="120" w:type="dxa"/>
            </w:tcMar>
            <w:vAlign w:val="center"/>
          </w:tcPr>
          <w:p>
            <w:pPr>
              <w:spacing w:after="20" w:before="20"/>
            </w:pPr>
            <w:r>
              <w:rPr>
                <w:b/>
                <w:color w:val="047857"/>
                <w:sz w:val="16"/>
              </w:rPr>
              <w:t>MEMBRO DOMINANTE</w:t>
              <w:br/>
            </w:r>
            <w:r>
              <w:rPr>
                <w:b/>
                <w:color w:val="1E293B"/>
                <w:sz w:val="19"/>
              </w:rPr>
              <w:t>Destro (Direito)</w:t>
            </w:r>
          </w:p>
        </w:tc>
        <w:tc>
          <w:tcPr>
            <w:tcW w:type="dxa" w:w="2520"/>
            <w:shd w:fill="F8FAFC"/>
            <w:tcMar>
              <w:top w:w="80" w:type="dxa"/>
              <w:bottom w:w="80" w:type="dxa"/>
              <w:left w:w="120" w:type="dxa"/>
              <w:right w:w="120" w:type="dxa"/>
            </w:tcMar>
            <w:vAlign w:val="center"/>
          </w:tcPr>
          <w:p>
            <w:pPr>
              <w:spacing w:after="20" w:before="20"/>
            </w:pPr>
            <w:r>
              <w:rPr>
                <w:b/>
                <w:color w:val="047857"/>
                <w:sz w:val="16"/>
              </w:rPr>
              <w:t>STATUS SESSÃO 2</w:t>
              <w:br/>
            </w:r>
            <w:r>
              <w:rPr>
                <w:b/>
                <w:color w:val="1E293B"/>
                <w:sz w:val="19"/>
              </w:rPr>
              <w:t>Confirmada (09/09 08h)</w:t>
            </w:r>
          </w:p>
        </w:tc>
      </w:tr>
    </w:tbl>
    <w:p>
      <w:pPr>
        <w:spacing w:after="80"/>
      </w:pPr>
    </w:p>
    <w:p>
      <w:pPr>
        <w:spacing w:after="120"/>
      </w:pPr>
      <w:r>
        <w:rPr>
          <w:b/>
          <w:color w:val="064E3B"/>
        </w:rPr>
        <w:t>Olá, Gustavo!</w:t>
        <w:br/>
      </w:r>
      <w:r>
        <w:rPr>
          <w:color w:val="1E293B"/>
        </w:rPr>
        <w:t>Agradecemos imensamente a sua dedicação na primeira sessão da nossa pesquisa de mestrado na EEFERP-USP. Este relatório apresenta a devolutiva individual dos testes realizados no LaCiDH, organizados rigorosamente na sequência cronológica da sua coleta: 1) Bioimpedância Elétrica, 2) Força de Preensão Manual, 3) Dinamometria Isométrica dos Flexores de Punho (Biodex), 4) 1-RM no Shoulder Press e 5) Resistência na Parada de Mão na Parede. Cada indicador é contextualizado com base na literatura científica internacional [1-14], evidenciando como essas capacidades físicas se relacionam potencialmente com as demandas de estabilidade e controle no Handstand!</w:t>
      </w:r>
    </w:p>
    <w:p>
      <w:pPr>
        <w:pStyle w:val="Heading2"/>
      </w:pPr>
      <w:r>
        <w:rPr>
          <w:color w:val="064E3B"/>
          <w:sz w:val="24"/>
        </w:rPr>
        <w:t>1. Composição Corporal (Bioimpedância Elétrica Sanny® BIA1011-AF)</w:t>
      </w:r>
    </w:p>
    <w:tbl>
      <w:tblPr>
        <w:tblW w:type="auto" w:w="0"/>
        <w:jc w:val="center"/>
        <w:tblLook w:firstColumn="1" w:firstRow="1" w:lastColumn="0" w:lastRow="0" w:noHBand="0" w:noVBand="1" w:val="04A0"/>
      </w:tblPr>
      <w:tblGrid>
        <w:gridCol w:w="3360"/>
        <w:gridCol w:w="3360"/>
        <w:gridCol w:w="3360"/>
      </w:tblGrid>
      <w:tr>
        <w:tc>
          <w:tcPr>
            <w:tcW w:type="dxa" w:w="3360"/>
            <w:shd w:fill="047857"/>
            <w:tcMar>
              <w:top w:w="100" w:type="dxa"/>
              <w:bottom w:w="100" w:type="dxa"/>
              <w:left w:w="140" w:type="dxa"/>
              <w:right w:w="140" w:type="dxa"/>
            </w:tcMar>
            <w:vAlign w:val="center"/>
          </w:tcPr>
          <w:p>
            <w:pPr>
              <w:jc w:val="left"/>
            </w:pPr>
            <w:r>
              <w:rPr>
                <w:b/>
                <w:color w:val="FFFFFF"/>
                <w:sz w:val="18"/>
              </w:rPr>
              <w:t>Variável Avaliada</w:t>
            </w:r>
          </w:p>
        </w:tc>
        <w:tc>
          <w:tcPr>
            <w:tcW w:type="dxa" w:w="3360"/>
            <w:shd w:fill="047857"/>
            <w:tcMar>
              <w:top w:w="100" w:type="dxa"/>
              <w:bottom w:w="100" w:type="dxa"/>
              <w:left w:w="140" w:type="dxa"/>
              <w:right w:w="140" w:type="dxa"/>
            </w:tcMar>
            <w:vAlign w:val="center"/>
          </w:tcPr>
          <w:p>
            <w:pPr>
              <w:jc w:val="center"/>
            </w:pPr>
            <w:r>
              <w:rPr>
                <w:b/>
                <w:color w:val="FFFFFF"/>
                <w:sz w:val="18"/>
              </w:rPr>
              <w:t>Seu Resultado</w:t>
            </w:r>
          </w:p>
        </w:tc>
        <w:tc>
          <w:tcPr>
            <w:tcW w:type="dxa" w:w="3360"/>
            <w:shd w:fill="047857"/>
            <w:tcMar>
              <w:top w:w="100" w:type="dxa"/>
              <w:bottom w:w="100" w:type="dxa"/>
              <w:left w:w="140" w:type="dxa"/>
              <w:right w:w="140" w:type="dxa"/>
            </w:tcMar>
            <w:vAlign w:val="center"/>
          </w:tcPr>
          <w:p>
            <w:pPr>
              <w:jc w:val="left"/>
            </w:pPr>
            <w:r>
              <w:rPr>
                <w:b/>
                <w:color w:val="FFFFFF"/>
                <w:sz w:val="18"/>
              </w:rPr>
              <w:t>Interpretação &amp; Valores Normativos</w:t>
            </w:r>
          </w:p>
        </w:tc>
      </w:tr>
      <w:tr>
        <w:tc>
          <w:tcPr>
            <w:tcW w:type="dxa" w:w="3360"/>
            <w:tcMar>
              <w:top w:w="90" w:type="dxa"/>
              <w:bottom w:w="90" w:type="dxa"/>
              <w:left w:w="140" w:type="dxa"/>
              <w:right w:w="140" w:type="dxa"/>
            </w:tcMar>
            <w:vAlign w:val="center"/>
            <w:shd w:fill="F0FDF4"/>
          </w:tcPr>
          <w:p>
            <w:pPr>
              <w:spacing w:after="20" w:before="20"/>
              <w:jc w:val="left"/>
            </w:pPr>
            <w:r>
              <w:rPr>
                <w:color w:val="1E293B"/>
                <w:sz w:val="17"/>
              </w:rPr>
              <w:t>Massa Corporal &amp; Estatura</w:t>
            </w:r>
          </w:p>
        </w:tc>
        <w:tc>
          <w:tcPr>
            <w:tcW w:type="dxa" w:w="3360"/>
            <w:tcMar>
              <w:top w:w="90" w:type="dxa"/>
              <w:bottom w:w="90" w:type="dxa"/>
              <w:left w:w="140" w:type="dxa"/>
              <w:right w:w="140" w:type="dxa"/>
            </w:tcMar>
            <w:vAlign w:val="center"/>
            <w:shd w:fill="F0FDF4"/>
          </w:tcPr>
          <w:p>
            <w:pPr>
              <w:spacing w:after="20" w:before="20"/>
              <w:jc w:val="center"/>
            </w:pPr>
            <w:r>
              <w:rPr>
                <w:b/>
                <w:color w:val="064E3B"/>
                <w:sz w:val="17"/>
              </w:rPr>
              <w:t>65,25 kg | 171,0 cm</w:t>
            </w:r>
          </w:p>
        </w:tc>
        <w:tc>
          <w:tcPr>
            <w:tcW w:type="dxa" w:w="3360"/>
            <w:tcMar>
              <w:top w:w="90" w:type="dxa"/>
              <w:bottom w:w="90" w:type="dxa"/>
              <w:left w:w="140" w:type="dxa"/>
              <w:right w:w="140" w:type="dxa"/>
            </w:tcMar>
            <w:vAlign w:val="center"/>
            <w:shd w:fill="F0FDF4"/>
          </w:tcPr>
          <w:p>
            <w:pPr>
              <w:spacing w:after="20" w:before="20"/>
              <w:jc w:val="left"/>
            </w:pPr>
            <w:r>
              <w:rPr>
                <w:color w:val="1E293B"/>
                <w:sz w:val="17"/>
              </w:rPr>
              <w:t>IMC = 22,31 kg/m² (Eutrofia / Padrão Saudável [3])</w:t>
            </w:r>
          </w:p>
        </w:tc>
      </w:tr>
      <w:tr>
        <w:tc>
          <w:tcPr>
            <w:tcW w:type="dxa" w:w="3360"/>
            <w:tcMar>
              <w:top w:w="90" w:type="dxa"/>
              <w:bottom w:w="90" w:type="dxa"/>
              <w:left w:w="140" w:type="dxa"/>
              <w:right w:w="140" w:type="dxa"/>
            </w:tcMar>
            <w:vAlign w:val="center"/>
            <w:shd w:fill="FFFFFF"/>
          </w:tcPr>
          <w:p>
            <w:pPr>
              <w:spacing w:after="20" w:before="20"/>
              <w:jc w:val="left"/>
            </w:pPr>
            <w:r>
              <w:rPr>
                <w:color w:val="1E293B"/>
                <w:sz w:val="17"/>
              </w:rPr>
              <w:t>Percentual de Gordura (%GC) [1,3]</w:t>
            </w:r>
          </w:p>
        </w:tc>
        <w:tc>
          <w:tcPr>
            <w:tcW w:type="dxa" w:w="3360"/>
            <w:tcMar>
              <w:top w:w="90" w:type="dxa"/>
              <w:bottom w:w="90" w:type="dxa"/>
              <w:left w:w="140" w:type="dxa"/>
              <w:right w:w="140" w:type="dxa"/>
            </w:tcMar>
            <w:vAlign w:val="center"/>
            <w:shd w:fill="FFFFFF"/>
          </w:tcPr>
          <w:p>
            <w:pPr>
              <w:spacing w:after="20" w:before="20"/>
              <w:jc w:val="center"/>
            </w:pPr>
            <w:r>
              <w:rPr>
                <w:b/>
                <w:color w:val="064E3B"/>
                <w:sz w:val="17"/>
              </w:rPr>
              <w:t>13,88%</w:t>
            </w:r>
          </w:p>
        </w:tc>
        <w:tc>
          <w:tcPr>
            <w:tcW w:type="dxa" w:w="3360"/>
            <w:tcMar>
              <w:top w:w="90" w:type="dxa"/>
              <w:bottom w:w="90" w:type="dxa"/>
              <w:left w:w="140" w:type="dxa"/>
              <w:right w:w="140" w:type="dxa"/>
            </w:tcMar>
            <w:vAlign w:val="center"/>
            <w:shd w:fill="FFFFFF"/>
          </w:tcPr>
          <w:p>
            <w:pPr>
              <w:spacing w:after="20" w:before="20"/>
              <w:jc w:val="left"/>
            </w:pPr>
            <w:r>
              <w:rPr>
                <w:color w:val="1E293B"/>
                <w:sz w:val="17"/>
              </w:rPr>
              <w:t>Excelente! Faixa atlética ideal masculina jovem (10% a 15%)</w:t>
            </w:r>
          </w:p>
        </w:tc>
      </w:tr>
      <w:tr>
        <w:tc>
          <w:tcPr>
            <w:tcW w:type="dxa" w:w="3360"/>
            <w:tcMar>
              <w:top w:w="90" w:type="dxa"/>
              <w:bottom w:w="90" w:type="dxa"/>
              <w:left w:w="140" w:type="dxa"/>
              <w:right w:w="140" w:type="dxa"/>
            </w:tcMar>
            <w:vAlign w:val="center"/>
            <w:shd w:fill="F0FDF4"/>
          </w:tcPr>
          <w:p>
            <w:pPr>
              <w:spacing w:after="20" w:before="20"/>
              <w:jc w:val="left"/>
            </w:pPr>
            <w:r>
              <w:rPr>
                <w:color w:val="1E293B"/>
                <w:sz w:val="17"/>
              </w:rPr>
              <w:t>Massa Livre de Gordura (MLG) [1]</w:t>
            </w:r>
          </w:p>
        </w:tc>
        <w:tc>
          <w:tcPr>
            <w:tcW w:type="dxa" w:w="3360"/>
            <w:tcMar>
              <w:top w:w="90" w:type="dxa"/>
              <w:bottom w:w="90" w:type="dxa"/>
              <w:left w:w="140" w:type="dxa"/>
              <w:right w:w="140" w:type="dxa"/>
            </w:tcMar>
            <w:vAlign w:val="center"/>
            <w:shd w:fill="F0FDF4"/>
          </w:tcPr>
          <w:p>
            <w:pPr>
              <w:spacing w:after="20" w:before="20"/>
              <w:jc w:val="center"/>
            </w:pPr>
            <w:r>
              <w:rPr>
                <w:b/>
                <w:color w:val="064E3B"/>
                <w:sz w:val="17"/>
              </w:rPr>
              <w:t>56,15 kg (86,1%)</w:t>
            </w:r>
          </w:p>
        </w:tc>
        <w:tc>
          <w:tcPr>
            <w:tcW w:type="dxa" w:w="3360"/>
            <w:tcMar>
              <w:top w:w="90" w:type="dxa"/>
              <w:bottom w:w="90" w:type="dxa"/>
              <w:left w:w="140" w:type="dxa"/>
              <w:right w:w="140" w:type="dxa"/>
            </w:tcMar>
            <w:vAlign w:val="center"/>
            <w:shd w:fill="F0FDF4"/>
          </w:tcPr>
          <w:p>
            <w:pPr>
              <w:spacing w:after="20" w:before="20"/>
              <w:jc w:val="left"/>
            </w:pPr>
            <w:r>
              <w:rPr>
                <w:color w:val="1E293B"/>
                <w:sz w:val="17"/>
              </w:rPr>
              <w:t>Predomínio expressivo de massa magra ativa</w:t>
            </w:r>
          </w:p>
        </w:tc>
      </w:tr>
      <w:tr>
        <w:tc>
          <w:tcPr>
            <w:tcW w:type="dxa" w:w="3360"/>
            <w:tcMar>
              <w:top w:w="90" w:type="dxa"/>
              <w:bottom w:w="90" w:type="dxa"/>
              <w:left w:w="140" w:type="dxa"/>
              <w:right w:w="140" w:type="dxa"/>
            </w:tcMar>
            <w:vAlign w:val="center"/>
            <w:shd w:fill="FFFFFF"/>
          </w:tcPr>
          <w:p>
            <w:pPr>
              <w:spacing w:after="20" w:before="20"/>
              <w:jc w:val="left"/>
            </w:pPr>
            <w:r>
              <w:rPr>
                <w:color w:val="1E293B"/>
                <w:sz w:val="17"/>
              </w:rPr>
              <w:t>Massa Muscular Esquelética [2]</w:t>
            </w:r>
          </w:p>
        </w:tc>
        <w:tc>
          <w:tcPr>
            <w:tcW w:type="dxa" w:w="3360"/>
            <w:tcMar>
              <w:top w:w="90" w:type="dxa"/>
              <w:bottom w:w="90" w:type="dxa"/>
              <w:left w:w="140" w:type="dxa"/>
              <w:right w:w="140" w:type="dxa"/>
            </w:tcMar>
            <w:vAlign w:val="center"/>
            <w:shd w:fill="FFFFFF"/>
          </w:tcPr>
          <w:p>
            <w:pPr>
              <w:spacing w:after="20" w:before="20"/>
              <w:jc w:val="center"/>
            </w:pPr>
            <w:r>
              <w:rPr>
                <w:b/>
                <w:color w:val="064E3B"/>
                <w:sz w:val="17"/>
              </w:rPr>
              <w:t>31,06 kg</w:t>
            </w:r>
          </w:p>
        </w:tc>
        <w:tc>
          <w:tcPr>
            <w:tcW w:type="dxa" w:w="3360"/>
            <w:tcMar>
              <w:top w:w="90" w:type="dxa"/>
              <w:bottom w:w="90" w:type="dxa"/>
              <w:left w:w="140" w:type="dxa"/>
              <w:right w:w="140" w:type="dxa"/>
            </w:tcMar>
            <w:vAlign w:val="center"/>
            <w:shd w:fill="FFFFFF"/>
          </w:tcPr>
          <w:p>
            <w:pPr>
              <w:spacing w:after="20" w:before="20"/>
              <w:jc w:val="left"/>
            </w:pPr>
            <w:r>
              <w:rPr>
                <w:color w:val="1E293B"/>
                <w:sz w:val="17"/>
              </w:rPr>
              <w:t>Excelente suporte muscular para sustentar o peso invertido</w:t>
            </w:r>
          </w:p>
        </w:tc>
      </w:tr>
      <w:tr>
        <w:tc>
          <w:tcPr>
            <w:tcW w:type="dxa" w:w="3360"/>
            <w:tcMar>
              <w:top w:w="90" w:type="dxa"/>
              <w:bottom w:w="90" w:type="dxa"/>
              <w:left w:w="140" w:type="dxa"/>
              <w:right w:w="140" w:type="dxa"/>
            </w:tcMar>
            <w:vAlign w:val="center"/>
            <w:shd w:fill="F0FDF4"/>
          </w:tcPr>
          <w:p>
            <w:pPr>
              <w:spacing w:after="20" w:before="20"/>
              <w:jc w:val="left"/>
            </w:pPr>
            <w:r>
              <w:rPr>
                <w:color w:val="1E293B"/>
                <w:sz w:val="17"/>
              </w:rPr>
              <w:t>Água Corporal Total (ACT) [1]</w:t>
            </w:r>
          </w:p>
        </w:tc>
        <w:tc>
          <w:tcPr>
            <w:tcW w:type="dxa" w:w="3360"/>
            <w:tcMar>
              <w:top w:w="90" w:type="dxa"/>
              <w:bottom w:w="90" w:type="dxa"/>
              <w:left w:w="140" w:type="dxa"/>
              <w:right w:w="140" w:type="dxa"/>
            </w:tcMar>
            <w:vAlign w:val="center"/>
            <w:shd w:fill="F0FDF4"/>
          </w:tcPr>
          <w:p>
            <w:pPr>
              <w:spacing w:after="20" w:before="20"/>
              <w:jc w:val="center"/>
            </w:pPr>
            <w:r>
              <w:rPr>
                <w:b/>
                <w:color w:val="064E3B"/>
                <w:sz w:val="17"/>
              </w:rPr>
              <w:t>39,05 L (59,89%)</w:t>
            </w:r>
          </w:p>
        </w:tc>
        <w:tc>
          <w:tcPr>
            <w:tcW w:type="dxa" w:w="3360"/>
            <w:tcMar>
              <w:top w:w="90" w:type="dxa"/>
              <w:bottom w:w="90" w:type="dxa"/>
              <w:left w:w="140" w:type="dxa"/>
              <w:right w:w="140" w:type="dxa"/>
            </w:tcMar>
            <w:vAlign w:val="center"/>
            <w:shd w:fill="F0FDF4"/>
          </w:tcPr>
          <w:p>
            <w:pPr>
              <w:spacing w:after="20" w:before="20"/>
              <w:jc w:val="left"/>
            </w:pPr>
            <w:r>
              <w:rPr>
                <w:color w:val="1E293B"/>
                <w:sz w:val="17"/>
              </w:rPr>
              <w:t>Nível ótimo de hidratação intra e extracelular</w:t>
            </w:r>
          </w:p>
        </w:tc>
      </w:tr>
      <w:tr>
        <w:tc>
          <w:tcPr>
            <w:tcW w:type="dxa" w:w="3360"/>
            <w:tcMar>
              <w:top w:w="90" w:type="dxa"/>
              <w:bottom w:w="90" w:type="dxa"/>
              <w:left w:w="140" w:type="dxa"/>
              <w:right w:w="140" w:type="dxa"/>
            </w:tcMar>
            <w:vAlign w:val="center"/>
            <w:shd w:fill="FFFFFF"/>
          </w:tcPr>
          <w:p>
            <w:pPr>
              <w:spacing w:after="20" w:before="20"/>
              <w:jc w:val="left"/>
            </w:pPr>
            <w:r>
              <w:rPr>
                <w:color w:val="1E293B"/>
                <w:sz w:val="17"/>
              </w:rPr>
              <w:t>Ângulo de Fase (PhA) [4,5]</w:t>
            </w:r>
          </w:p>
        </w:tc>
        <w:tc>
          <w:tcPr>
            <w:tcW w:type="dxa" w:w="3360"/>
            <w:tcMar>
              <w:top w:w="90" w:type="dxa"/>
              <w:bottom w:w="90" w:type="dxa"/>
              <w:left w:w="140" w:type="dxa"/>
              <w:right w:w="140" w:type="dxa"/>
            </w:tcMar>
            <w:vAlign w:val="center"/>
            <w:shd w:fill="FFFFFF"/>
          </w:tcPr>
          <w:p>
            <w:pPr>
              <w:spacing w:after="20" w:before="20"/>
              <w:jc w:val="center"/>
            </w:pPr>
            <w:r>
              <w:rPr>
                <w:b/>
                <w:color w:val="064E3B"/>
                <w:sz w:val="17"/>
              </w:rPr>
              <w:t>8,98°</w:t>
            </w:r>
          </w:p>
        </w:tc>
        <w:tc>
          <w:tcPr>
            <w:tcW w:type="dxa" w:w="3360"/>
            <w:tcMar>
              <w:top w:w="90" w:type="dxa"/>
              <w:bottom w:w="90" w:type="dxa"/>
              <w:left w:w="140" w:type="dxa"/>
              <w:right w:w="140" w:type="dxa"/>
            </w:tcMar>
            <w:vAlign w:val="center"/>
            <w:shd w:fill="FFFFFF"/>
          </w:tcPr>
          <w:p>
            <w:pPr>
              <w:spacing w:after="20" w:before="20"/>
              <w:jc w:val="left"/>
            </w:pPr>
            <w:r>
              <w:rPr>
                <w:color w:val="1E293B"/>
                <w:sz w:val="17"/>
              </w:rPr>
              <w:t>DESTAQUE: Excepcional! Reflete altíssima integridade celular</w:t>
            </w:r>
          </w:p>
        </w:tc>
      </w:tr>
    </w:tbl>
    <w:p>
      <w:pPr>
        <w:spacing w:before="120" w:after="120"/>
      </w:pPr>
      <w:r>
        <w:rPr>
          <w:color w:val="1E293B"/>
          <w:sz w:val="18"/>
        </w:rPr>
        <w:t>💡 Destaque da Bioimpedância: Seu Ângulo de Fase (8,98°) [4,5]</w:t>
        <w:br/>
        <w:t>O Ângulo de Fase (PhA) é um biomarcador derivado da relação entre resistência e reatância, indicativo da integridade e capacitância das membranas celulares. Em homens jovens e saudáveis, os valores médios reportados na literatura situam-se tipicamente entre 6,5° e 7,8° [4]. O seu resultado de 8,98° demonstra excelente integridade tecidual e estado de hidratação celular compatível com atletas adaptados a rotinas exigentes de treinamento.</w:t>
      </w:r>
    </w:p>
    <w:p>
      <w:pPr>
        <w:pStyle w:val="Heading2"/>
      </w:pPr>
      <w:r>
        <w:rPr>
          <w:color w:val="064E3B"/>
          <w:sz w:val="24"/>
        </w:rPr>
        <w:t>2. Perfil Neuromuscular e Força Específica (LaCiDH)</w:t>
      </w:r>
    </w:p>
    <w:p>
      <w:pPr>
        <w:pStyle w:val="Heading3"/>
      </w:pPr>
      <w:r>
        <w:rPr>
          <w:color w:val="064E3B"/>
          <w:sz w:val="22"/>
        </w:rPr>
        <w:t>2.1 Força Distal: Preensão Manual e Flexores de Punho (Biodex)</w:t>
      </w:r>
    </w:p>
    <w:tbl>
      <w:tblPr>
        <w:tblW w:type="auto" w:w="0"/>
        <w:jc w:val="center"/>
        <w:tblLook w:firstColumn="1" w:firstRow="1" w:lastColumn="0" w:lastRow="0" w:noHBand="0" w:noVBand="1" w:val="04A0"/>
      </w:tblPr>
      <w:tblGrid>
        <w:gridCol w:w="3360"/>
        <w:gridCol w:w="3360"/>
        <w:gridCol w:w="3360"/>
      </w:tblGrid>
      <w:tr>
        <w:tc>
          <w:tcPr>
            <w:tcW w:type="dxa" w:w="3360"/>
            <w:shd w:fill="064E3B"/>
            <w:tcMar>
              <w:top w:w="90" w:type="dxa"/>
              <w:bottom w:w="90" w:type="dxa"/>
              <w:left w:w="130" w:type="dxa"/>
              <w:right w:w="130" w:type="dxa"/>
            </w:tcMar>
            <w:vAlign w:val="center"/>
          </w:tcPr>
          <w:p>
            <w:pPr>
              <w:jc w:val="left"/>
            </w:pPr>
            <w:r>
              <w:rPr>
                <w:b/>
                <w:color w:val="FFFFFF"/>
                <w:sz w:val="18"/>
              </w:rPr>
              <w:t>Teste (Ordem de Execução)</w:t>
            </w:r>
          </w:p>
        </w:tc>
        <w:tc>
          <w:tcPr>
            <w:tcW w:type="dxa" w:w="3360"/>
            <w:shd w:fill="064E3B"/>
            <w:tcMar>
              <w:top w:w="90" w:type="dxa"/>
              <w:bottom w:w="90" w:type="dxa"/>
              <w:left w:w="130" w:type="dxa"/>
              <w:right w:w="130" w:type="dxa"/>
            </w:tcMar>
            <w:vAlign w:val="center"/>
          </w:tcPr>
          <w:p>
            <w:pPr>
              <w:jc w:val="center"/>
            </w:pPr>
            <w:r>
              <w:rPr>
                <w:b/>
                <w:color w:val="FFFFFF"/>
                <w:sz w:val="18"/>
              </w:rPr>
              <w:t>Seu Desempenho</w:t>
            </w:r>
          </w:p>
        </w:tc>
        <w:tc>
          <w:tcPr>
            <w:tcW w:type="dxa" w:w="3360"/>
            <w:shd w:fill="064E3B"/>
            <w:tcMar>
              <w:top w:w="90" w:type="dxa"/>
              <w:bottom w:w="90" w:type="dxa"/>
              <w:left w:w="130" w:type="dxa"/>
              <w:right w:w="130" w:type="dxa"/>
            </w:tcMar>
            <w:vAlign w:val="center"/>
          </w:tcPr>
          <w:p>
            <w:pPr>
              <w:jc w:val="left"/>
            </w:pPr>
            <w:r>
              <w:rPr>
                <w:b/>
                <w:color w:val="FFFFFF"/>
                <w:sz w:val="18"/>
              </w:rPr>
              <w:t>Interpretação e Relevância Biomecânica</w:t>
            </w:r>
          </w:p>
        </w:tc>
      </w:tr>
      <w:tr>
        <w:tc>
          <w:tcPr>
            <w:tcW w:type="dxa" w:w="3360"/>
            <w:tcMar>
              <w:top w:w="80" w:type="dxa"/>
              <w:bottom w:w="80" w:type="dxa"/>
              <w:left w:w="130" w:type="dxa"/>
              <w:right w:w="130" w:type="dxa"/>
            </w:tcMar>
            <w:vAlign w:val="center"/>
            <w:shd w:fill="F0FDF4"/>
          </w:tcPr>
          <w:p>
            <w:pPr>
              <w:spacing w:after="20" w:before="20"/>
              <w:jc w:val="left"/>
            </w:pPr>
            <w:r>
              <w:rPr>
                <w:color w:val="1E293B"/>
                <w:sz w:val="17"/>
              </w:rPr>
              <w:t>1º Teste: Força de Preensão Manual (FPM) [8,9]</w:t>
              <w:br/>
              <w:t>Dinamômetro Hidráulico Saehan</w:t>
            </w:r>
          </w:p>
        </w:tc>
        <w:tc>
          <w:tcPr>
            <w:tcW w:type="dxa" w:w="3360"/>
            <w:tcMar>
              <w:top w:w="80" w:type="dxa"/>
              <w:bottom w:w="80" w:type="dxa"/>
              <w:left w:w="130" w:type="dxa"/>
              <w:right w:w="130" w:type="dxa"/>
            </w:tcMar>
            <w:vAlign w:val="center"/>
            <w:shd w:fill="F0FDF4"/>
          </w:tcPr>
          <w:p>
            <w:pPr>
              <w:spacing w:after="20" w:before="20"/>
              <w:jc w:val="center"/>
            </w:pPr>
            <w:r>
              <w:rPr>
                <w:b/>
                <w:color w:val="064E3B"/>
                <w:sz w:val="17"/>
              </w:rPr>
              <w:t>Mão Direita (Dom): 46,0 kgf</w:t>
              <w:br/>
              <w:t>Mão Esquerda (Não-Dom): 52,0 kgf</w:t>
              <w:br/>
              <w:t>Relativa: 0,80 kgf/kg | LSI: 113,0% (Não-Dom mais forte)</w:t>
            </w:r>
          </w:p>
        </w:tc>
        <w:tc>
          <w:tcPr>
            <w:tcW w:type="dxa" w:w="3360"/>
            <w:tcMar>
              <w:top w:w="80" w:type="dxa"/>
              <w:bottom w:w="80" w:type="dxa"/>
              <w:left w:w="130" w:type="dxa"/>
              <w:right w:w="130" w:type="dxa"/>
            </w:tcMar>
            <w:vAlign w:val="center"/>
            <w:shd w:fill="F0FDF4"/>
          </w:tcPr>
          <w:p>
            <w:pPr>
              <w:spacing w:after="20" w:before="20"/>
              <w:jc w:val="left"/>
            </w:pPr>
            <w:r>
              <w:rPr>
                <w:color w:val="1E293B"/>
                <w:sz w:val="17"/>
              </w:rPr>
              <w:t>Superior à média de homens jovens saudáveis (~42 kgf [9]). Na parada de mão, mãos fortes atuam como a interface mecânica de contato e ancoragem palmar no solo [6,14].</w:t>
            </w:r>
          </w:p>
        </w:tc>
      </w:tr>
      <w:tr>
        <w:tc>
          <w:tcPr>
            <w:tcW w:type="dxa" w:w="3360"/>
            <w:tcMar>
              <w:top w:w="80" w:type="dxa"/>
              <w:bottom w:w="80" w:type="dxa"/>
              <w:left w:w="130" w:type="dxa"/>
              <w:right w:w="130" w:type="dxa"/>
            </w:tcMar>
            <w:vAlign w:val="center"/>
            <w:shd w:fill="FFFFFF"/>
          </w:tcPr>
          <w:p>
            <w:pPr>
              <w:spacing w:after="20" w:before="20"/>
              <w:jc w:val="left"/>
            </w:pPr>
            <w:r>
              <w:rPr>
                <w:color w:val="1E293B"/>
                <w:sz w:val="17"/>
              </w:rPr>
              <w:t>2º Teste: Dinamometria Isométrica dos Flexores de Punho [6,7]</w:t>
              <w:br/>
              <w:t>Dinamômetro Biodex Multi-Joint 4 PRO (70° Ext.)</w:t>
            </w:r>
          </w:p>
        </w:tc>
        <w:tc>
          <w:tcPr>
            <w:tcW w:type="dxa" w:w="3360"/>
            <w:tcMar>
              <w:top w:w="80" w:type="dxa"/>
              <w:bottom w:w="80" w:type="dxa"/>
              <w:left w:w="130" w:type="dxa"/>
              <w:right w:w="130" w:type="dxa"/>
            </w:tcMar>
            <w:vAlign w:val="center"/>
            <w:shd w:fill="FFFFFF"/>
          </w:tcPr>
          <w:p>
            <w:pPr>
              <w:spacing w:after="20" w:before="20"/>
              <w:jc w:val="center"/>
            </w:pPr>
            <w:r>
              <w:rPr>
                <w:b/>
                <w:color w:val="064E3B"/>
                <w:sz w:val="17"/>
              </w:rPr>
              <w:t>Pico D (Dom): 18,5 N·m (CV: 16,6%)</w:t>
              <w:br/>
              <w:t>Pico E (Não-Dom): 20,5 N·m (CV: 2,0%)</w:t>
              <w:br/>
              <w:t>Média Bilateral: 19,5 N·m (0,299 N·m/kg)</w:t>
              <w:br/>
              <w:t>Pico Máx: 0,314 N·m/kg | LSI: 110,8% (Não-Dom mais forte)</w:t>
            </w:r>
          </w:p>
        </w:tc>
        <w:tc>
          <w:tcPr>
            <w:tcW w:type="dxa" w:w="3360"/>
            <w:tcMar>
              <w:top w:w="80" w:type="dxa"/>
              <w:bottom w:w="80" w:type="dxa"/>
              <w:left w:w="130" w:type="dxa"/>
              <w:right w:w="130" w:type="dxa"/>
            </w:tcMar>
            <w:vAlign w:val="center"/>
            <w:shd w:fill="FFFFFF"/>
          </w:tcPr>
          <w:p>
            <w:pPr>
              <w:spacing w:after="20" w:before="20"/>
              <w:jc w:val="left"/>
            </w:pPr>
            <w:r>
              <w:rPr>
                <w:color w:val="1E293B"/>
                <w:sz w:val="17"/>
              </w:rPr>
              <w:t>Avaliado na angulação funcional de 70° de extensão do Handstand [6,7]. Excelente simetria entre punhos (LSI: 110,8%; diferença de apenas 10,8%, com discreto predomínio do membro não-dominante [esquerdo &gt; direito]), fundamental para a 'Wrist Strategy' e apoio no solo.</w:t>
            </w:r>
          </w:p>
        </w:tc>
      </w:tr>
    </w:tbl>
    <w:p>
      <w:pPr>
        <w:spacing w:after="40"/>
      </w:pPr>
    </w:p>
    <w:p>
      <w:pPr>
        <w:spacing w:before="40" w:after="80"/>
      </w:pPr>
      <w:r>
        <w:rPr>
          <w:color w:val="1E293B"/>
          <w:sz w:val="17"/>
        </w:rPr>
        <w:t>No modelo biomecânico de pêndulo invertido do Handstand, os flexores de punho e a musculatura palmar desempenham no equilíbrio de cabeça para baixo a mesma função que a panturrilha e os pés exercem na postura ereta bípede ('Wrist Strategy') [6,7]. Essa musculatura atua como o verdadeiro 'freio de mão' da parada de mão. Da mesma forma que cravamos as pontas dos pés no solo para conter uma oscilação para a frente, no Handstand são as pontas dos dedos e a palma que esmagam o chão quando o corpo passa da vertical (o temido 'overbalance'). Essa pressão gera um torque corretivo instantâneo que empurra o corpo de volta para o prumo. Ter punhos e mãos fortes proporciona uma ampla margem de segurança para salvar o equilíbrio com pequenos ajustes nas mãos, evitando quebrar a linha dos ombros ou arquear a lombar (a clássica postura em 'banana') [6,7].</w:t>
      </w:r>
    </w:p>
    <w:p>
      <w:pPr>
        <w:spacing w:after="120"/>
      </w:pPr>
      <w:r>
        <w:rPr>
          <w:color w:val="1E293B"/>
          <w:sz w:val="17"/>
        </w:rPr>
        <w:t>Para garantir essa sustentação palmar, a avaliação de Força de Preensão Manual (FPM) acusou pico de 52,0 kgf no membro não-dominante (esquerdo) e 46,0 kgf no membro dominante (direito) (relação relativa de 0,80 kgf/kg), superando com folga a média de homens jovens saudáveis (~42 kgf [8,9]). O Índice de Simetria dos Membros na preensão (LSI: 113,0%, diferença de 13,0% a favor da mão esquerda) situa-se dentro da faixa de equilíbrio fisiológico (&lt;15%) preconizada na literatura neuromuscular [15]. Enquanto em destros não treinados a mão dominante costuma ser discretamente superior (~10%), atletas de calistenia e ginástica frequentemente equilibram ou invertem essa relação devido às exigências bilaterais de sustentação do peso corporal. Na prática, essa simetria de preensão assegura rigidez uniforme no carpo em ambos os lados [13,14], impedindo o colapso unilateral da base palmar sob o peso invertido. Ademais, no Handstand Walk, uma pegada bilateralmente equivalente sugere capacidade homogênea de absorção de impacto no contato sucessivo de cada mão contra o solo ('hand strike'), mitigando oscilações rotacionais do tronco e prevenindo sobrecargas articulares assimétricas.</w:t>
        <w:br/>
        <w:br/>
        <w:t>Já no Biodex System 4 PRO, o torque isométrico dos flexores de punho foi avaliado a 70° de extensão, posição selecionada por sua especificidade biomecânica ao mimetizar a dorsiflexão funcional da mão contra o solo no Handstand [6,7]. O voluntário alcançou torque médio bilateral de 19,5 N·m (0,299 N·m/kg) (com pico de 20,5 N·m [0,314 N·m/kg] no membro não-dominante [esquerdo] e 18,5 N·m [0,284 N·m/kg] no membro dominante [direito]), quantificando a capacidade específica de geração de torque no ângulo funcional de atuação do freio palmar ('Wrist Strategy') [6,7]. O Índice de Simetria dos Membros nos punhos (LSI: 110,8%, diferença de apenas 10,8% a favor do lado esquerdo) também atesta excelente simetria intermembros (&lt;15%) [15]. Em analogia à locomoção e marcha humana [15,16], essa simetria de torque angular é determinante no Handstand Walk: ao caminhar com as mãos, punhos equilibrados tendem a favorecer passadas mais estáveis, com tempos de contato homogêneos e controle direcional consistente, auxiliando a prevenir desvios de trajetória e compensações escapulares unilaterais.</w:t>
      </w:r>
    </w:p>
    <w:p>
      <w:pPr>
        <w:spacing w:after="40"/>
      </w:pPr>
    </w:p>
    <w:p>
      <w:pPr>
        <w:pStyle w:val="Heading3"/>
      </w:pPr>
      <w:r>
        <w:rPr>
          <w:color w:val="064E3B"/>
          <w:sz w:val="22"/>
        </w:rPr>
        <w:t>2.2 Força Proximal e Resistência: Shoulder Press e Parada de Mão na Parede</w:t>
      </w:r>
    </w:p>
    <w:tbl>
      <w:tblPr>
        <w:tblW w:type="auto" w:w="0"/>
        <w:jc w:val="center"/>
        <w:tblLook w:firstColumn="1" w:firstRow="1" w:lastColumn="0" w:lastRow="0" w:noHBand="0" w:noVBand="1" w:val="04A0"/>
      </w:tblPr>
      <w:tblGrid>
        <w:gridCol w:w="3360"/>
        <w:gridCol w:w="3360"/>
        <w:gridCol w:w="3360"/>
      </w:tblGrid>
      <w:tr>
        <w:tc>
          <w:tcPr>
            <w:tcW w:type="dxa" w:w="3360"/>
            <w:shd w:fill="064E3B"/>
            <w:tcMar>
              <w:top w:w="90" w:type="dxa"/>
              <w:bottom w:w="90" w:type="dxa"/>
              <w:left w:w="130" w:type="dxa"/>
              <w:right w:w="130" w:type="dxa"/>
            </w:tcMar>
            <w:vAlign w:val="center"/>
          </w:tcPr>
          <w:p>
            <w:pPr>
              <w:jc w:val="left"/>
            </w:pPr>
            <w:r>
              <w:rPr>
                <w:b/>
                <w:color w:val="FFFFFF"/>
                <w:sz w:val="18"/>
              </w:rPr>
              <w:t>Teste (Ordem de Execução)</w:t>
            </w:r>
          </w:p>
        </w:tc>
        <w:tc>
          <w:tcPr>
            <w:tcW w:type="dxa" w:w="3360"/>
            <w:shd w:fill="064E3B"/>
            <w:tcMar>
              <w:top w:w="90" w:type="dxa"/>
              <w:bottom w:w="90" w:type="dxa"/>
              <w:left w:w="130" w:type="dxa"/>
              <w:right w:w="130" w:type="dxa"/>
            </w:tcMar>
            <w:vAlign w:val="center"/>
          </w:tcPr>
          <w:p>
            <w:pPr>
              <w:jc w:val="center"/>
            </w:pPr>
            <w:r>
              <w:rPr>
                <w:b/>
                <w:color w:val="FFFFFF"/>
                <w:sz w:val="18"/>
              </w:rPr>
              <w:t>Seu Desempenho</w:t>
            </w:r>
          </w:p>
        </w:tc>
        <w:tc>
          <w:tcPr>
            <w:tcW w:type="dxa" w:w="3360"/>
            <w:shd w:fill="064E3B"/>
            <w:tcMar>
              <w:top w:w="90" w:type="dxa"/>
              <w:bottom w:w="90" w:type="dxa"/>
              <w:left w:w="130" w:type="dxa"/>
              <w:right w:w="130" w:type="dxa"/>
            </w:tcMar>
            <w:vAlign w:val="center"/>
          </w:tcPr>
          <w:p>
            <w:pPr>
              <w:jc w:val="left"/>
            </w:pPr>
            <w:r>
              <w:rPr>
                <w:b/>
                <w:color w:val="FFFFFF"/>
                <w:sz w:val="18"/>
              </w:rPr>
              <w:t>Interpretação e Relevância Biomecânica</w:t>
            </w:r>
          </w:p>
        </w:tc>
      </w:tr>
      <w:tr>
        <w:tc>
          <w:tcPr>
            <w:tcW w:type="dxa" w:w="3360"/>
            <w:tcMar>
              <w:top w:w="80" w:type="dxa"/>
              <w:bottom w:w="80" w:type="dxa"/>
              <w:left w:w="130" w:type="dxa"/>
              <w:right w:w="130" w:type="dxa"/>
            </w:tcMar>
            <w:vAlign w:val="center"/>
            <w:shd w:fill="F0FDF4"/>
          </w:tcPr>
          <w:p>
            <w:pPr>
              <w:spacing w:after="20" w:before="20"/>
              <w:jc w:val="left"/>
            </w:pPr>
            <w:r>
              <w:rPr>
                <w:color w:val="1E293B"/>
                <w:sz w:val="17"/>
              </w:rPr>
              <w:t>3º Teste: 1-RM no Shoulder Press (SP) [10]</w:t>
              <w:br/>
              <w:t>Barra Olímpica Estrita (Overhead Press)</w:t>
            </w:r>
          </w:p>
        </w:tc>
        <w:tc>
          <w:tcPr>
            <w:tcW w:type="dxa" w:w="3360"/>
            <w:tcMar>
              <w:top w:w="80" w:type="dxa"/>
              <w:bottom w:w="80" w:type="dxa"/>
              <w:left w:w="130" w:type="dxa"/>
              <w:right w:w="130" w:type="dxa"/>
            </w:tcMar>
            <w:vAlign w:val="center"/>
            <w:shd w:fill="F0FDF4"/>
          </w:tcPr>
          <w:p>
            <w:pPr>
              <w:spacing w:after="20" w:before="20"/>
              <w:jc w:val="center"/>
            </w:pPr>
            <w:r>
              <w:rPr>
                <w:b/>
                <w:color w:val="064E3B"/>
                <w:sz w:val="17"/>
              </w:rPr>
              <w:t>56,0 kg</w:t>
              <w:br/>
              <w:t>(85,8% da massa corporal)</w:t>
            </w:r>
          </w:p>
        </w:tc>
        <w:tc>
          <w:tcPr>
            <w:tcW w:type="dxa" w:w="3360"/>
            <w:tcMar>
              <w:top w:w="80" w:type="dxa"/>
              <w:bottom w:w="80" w:type="dxa"/>
              <w:left w:w="130" w:type="dxa"/>
              <w:right w:w="130" w:type="dxa"/>
            </w:tcMar>
            <w:vAlign w:val="center"/>
            <w:shd w:fill="F0FDF4"/>
          </w:tcPr>
          <w:p>
            <w:pPr>
              <w:spacing w:after="20" w:before="20"/>
              <w:jc w:val="left"/>
            </w:pPr>
            <w:r>
              <w:rPr>
                <w:color w:val="1E293B"/>
                <w:sz w:val="17"/>
              </w:rPr>
              <w:t>Excelente capacidade de empurrada vertical estrita, refletindo força máxima elevada em deltóides, tríceps e fixadores escapulares (serrátil anterior e trapézio) [10].</w:t>
            </w:r>
          </w:p>
        </w:tc>
      </w:tr>
      <w:tr>
        <w:tc>
          <w:tcPr>
            <w:tcW w:type="dxa" w:w="3360"/>
            <w:tcMar>
              <w:top w:w="80" w:type="dxa"/>
              <w:bottom w:w="80" w:type="dxa"/>
              <w:left w:w="130" w:type="dxa"/>
              <w:right w:w="130" w:type="dxa"/>
            </w:tcMar>
            <w:vAlign w:val="center"/>
            <w:shd w:fill="FFFFFF"/>
          </w:tcPr>
          <w:p>
            <w:pPr>
              <w:spacing w:after="20" w:before="20"/>
              <w:jc w:val="left"/>
            </w:pPr>
            <w:r>
              <w:rPr>
                <w:color w:val="1E293B"/>
                <w:sz w:val="17"/>
              </w:rPr>
              <w:t>4º Teste: Resistência Belly-to-Wall Handstand [6,7]</w:t>
              <w:br/>
              <w:t>Parada de Mão Isométrica na Parede (20 cm)</w:t>
            </w:r>
          </w:p>
        </w:tc>
        <w:tc>
          <w:tcPr>
            <w:tcW w:type="dxa" w:w="3360"/>
            <w:tcMar>
              <w:top w:w="80" w:type="dxa"/>
              <w:bottom w:w="80" w:type="dxa"/>
              <w:left w:w="130" w:type="dxa"/>
              <w:right w:w="130" w:type="dxa"/>
            </w:tcMar>
            <w:vAlign w:val="center"/>
            <w:shd w:fill="FFFFFF"/>
          </w:tcPr>
          <w:p>
            <w:pPr>
              <w:spacing w:after="20" w:before="20"/>
              <w:jc w:val="center"/>
            </w:pPr>
            <w:r>
              <w:rPr>
                <w:b/>
                <w:color w:val="064E3B"/>
                <w:sz w:val="17"/>
              </w:rPr>
              <w:t>64,0 segundos</w:t>
              <w:br/>
              <w:t>(T1: 60s | T2: 64s)</w:t>
            </w:r>
          </w:p>
        </w:tc>
        <w:tc>
          <w:tcPr>
            <w:tcW w:type="dxa" w:w="3360"/>
            <w:tcMar>
              <w:top w:w="80" w:type="dxa"/>
              <w:bottom w:w="80" w:type="dxa"/>
              <w:left w:w="130" w:type="dxa"/>
              <w:right w:w="130" w:type="dxa"/>
            </w:tcMar>
            <w:vAlign w:val="center"/>
            <w:shd w:fill="FFFFFF"/>
          </w:tcPr>
          <w:p>
            <w:pPr>
              <w:spacing w:after="20" w:before="20"/>
              <w:jc w:val="left"/>
            </w:pPr>
            <w:r>
              <w:rPr>
                <w:color w:val="1E293B"/>
                <w:sz w:val="17"/>
              </w:rPr>
              <w:t>Capacidade de sustentação contínua superior a 1 minuto sob alinhamento estrito, sugerindo ótima tolerância à fadiga isométrica da cintura escapular e do core sob gravidade [6,11].</w:t>
            </w:r>
          </w:p>
        </w:tc>
      </w:tr>
    </w:tbl>
    <w:p>
      <w:pPr>
        <w:spacing w:after="40"/>
      </w:pPr>
    </w:p>
    <w:p>
      <w:pPr>
        <w:spacing w:after="120"/>
      </w:pPr>
      <w:r>
        <w:rPr>
          <w:color w:val="1E293B"/>
          <w:sz w:val="17"/>
        </w:rPr>
        <w:t>Erguer 56,0 kg (quase 86% da sua massa corporal) em desenvolvimento estrito no Shoulder Press demonstra elevado nível de força máxima de empurrada vertical, exigindo ativação expressiva de deltóides e tríceps em conjunto com a elevação e rotação superior das escápulas (serrátil anterior e trapézio) [10]. Na prática do Handstand, essa força potencializa a capacidade de 'empurrar o chão para longe', travando ativamente a cintura escapular para que o tronco não afunde nos ombros sob a ação da gravidade [6,10].</w:t>
        <w:br/>
        <w:br/>
        <w:t>Por sua vez, a sustentação de 64 segundos na parada de mão na parede (Belly-to-Wall a 20 cm) comprova excelente resistência isométrica à fadiga dos músculos estabilizadores proximais e do core sob alinhamento estrito [6,11]. No treinamento prático, dada a especificidade estática do teste, essa resistência sugere sobretudo uma elevada capacidade para sustentar a postura no Handstand estático e retardar a degradação técnica ao longo de séries sucessivas, podendo também fornecer uma base de suporte para tarefas invertidas mais dinâmicas como o Handstand Walk.</w:t>
      </w:r>
    </w:p>
    <w:p>
      <w:pPr>
        <w:pStyle w:val="Heading2"/>
      </w:pPr>
      <w:r>
        <w:rPr>
          <w:color w:val="064E3B"/>
          <w:sz w:val="24"/>
        </w:rPr>
        <w:t>3. Próxima Etapa: Sessão 2 no LaBioCoM (Vicon &amp; Bertec)</w:t>
      </w:r>
    </w:p>
    <w:p>
      <w:pPr>
        <w:spacing w:after="120"/>
      </w:pPr>
      <w:r>
        <w:rPr>
          <w:color w:val="1E293B"/>
        </w:rPr>
        <w:t>Sua segunda sessão está confirmada para Quarta-feira, 09/09/2026 das 08:00 às 09:00 no LaBioCoM. Nessa etapa avaliaremos a cinemática e a cinética do Handstand e do Handstand Walk:</w:t>
        <w:br/>
        <w:t>• Sistema Vicon (12 Câmeras 3D Infravermelhas): Medirá o alinhamento tridimensional de punhos, ombros, quadril e ponta de pé [6,11].</w:t>
        <w:br/>
        <w:t>• Plataformas de Força Bertec: Medirão a oscilação milimétrica do Centro de Pressão (CoP) a 1000 Hz, permitindo investigar a correlação direta entre o controle postural dinâmico e o torque de flexores de punho medido no Biodex [6,7].</w:t>
        <w:br/>
        <w:t>• Handstand Walk (HSW): Registrará a velocidade de deslocamento, comprimento das passadas com as mãos e cadência motora!</w:t>
      </w:r>
    </w:p>
    <w:p>
      <w:pPr>
        <w:pStyle w:val="Heading2"/>
      </w:pPr>
      <w:r>
        <w:rPr>
          <w:color w:val="064E3B"/>
          <w:sz w:val="20"/>
        </w:rPr>
        <w:t>Referências Científicas e Normativas Consultadas</w:t>
      </w:r>
    </w:p>
    <w:p>
      <w:pPr>
        <w:spacing w:after="40"/>
      </w:pPr>
      <w:r>
        <w:rPr>
          <w:rFonts w:ascii="Arial" w:hAnsi="Arial"/>
          <w:color w:val="64748B"/>
          <w:sz w:val="16"/>
        </w:rPr>
        <w:t>[1] Kyle, U. G., et al. (2004). Bioelectrical impedance analysis—part I: review of principles and methods. Clinical Nutrition, 23(5), 1226-1243.</w:t>
      </w:r>
    </w:p>
    <w:p>
      <w:pPr>
        <w:spacing w:after="40"/>
      </w:pPr>
      <w:r>
        <w:rPr>
          <w:rFonts w:ascii="Arial" w:hAnsi="Arial"/>
          <w:color w:val="64748B"/>
          <w:sz w:val="16"/>
        </w:rPr>
        <w:t>[2] Janssen, I., et al. (2000). Estimation of skeletal muscle mass by bioelectrical impedance analysis. Journal of Applied Physiology, 89(2), 465-471.</w:t>
      </w:r>
    </w:p>
    <w:p>
      <w:pPr>
        <w:spacing w:after="40"/>
      </w:pPr>
      <w:r>
        <w:rPr>
          <w:rFonts w:ascii="Arial" w:hAnsi="Arial"/>
          <w:color w:val="64748B"/>
          <w:sz w:val="16"/>
        </w:rPr>
        <w:t>[3] American College of Sports Medicine (ACSM). (2018). ACSM's Guidelines for Exercise Testing and Prescription (10th ed.). Wolters Kluwer.</w:t>
      </w:r>
    </w:p>
    <w:p>
      <w:pPr>
        <w:spacing w:after="40"/>
      </w:pPr>
      <w:r>
        <w:rPr>
          <w:rFonts w:ascii="Arial" w:hAnsi="Arial"/>
          <w:color w:val="64748B"/>
          <w:sz w:val="16"/>
        </w:rPr>
        <w:t>[4] Barbosa-Silva, M. C. G., et al. (2005). Bioelectrical impedance analysis: population reference values for phase angle by age and sex. Am J Clin Nutr, 82(1), 49-52.</w:t>
      </w:r>
    </w:p>
    <w:p>
      <w:pPr>
        <w:spacing w:after="40"/>
      </w:pPr>
      <w:r>
        <w:rPr>
          <w:rFonts w:ascii="Arial" w:hAnsi="Arial"/>
          <w:color w:val="64748B"/>
          <w:sz w:val="16"/>
        </w:rPr>
        <w:t>[5] Norman, K., et al. (2012). Bioelectrical phase angle as a biomarker—recent advances. Clinical Nutrition, 31(6), 854-861.</w:t>
      </w:r>
    </w:p>
    <w:p>
      <w:pPr>
        <w:spacing w:after="40"/>
      </w:pPr>
      <w:r>
        <w:rPr>
          <w:rFonts w:ascii="Arial" w:hAnsi="Arial"/>
          <w:color w:val="64748B"/>
          <w:sz w:val="16"/>
        </w:rPr>
        <w:t>[6] Kerwin, D. G., &amp; Trewartha, G. (2001). Strategies for maintaining a handstand. Sports Biomechanics, 1(2), 163-176.</w:t>
      </w:r>
    </w:p>
    <w:p>
      <w:pPr>
        <w:spacing w:after="40"/>
      </w:pPr>
      <w:r>
        <w:rPr>
          <w:rFonts w:ascii="Arial" w:hAnsi="Arial"/>
          <w:color w:val="64748B"/>
          <w:sz w:val="16"/>
        </w:rPr>
        <w:t>[7] Blenkinsop, G. M., Pain, M. T. G., &amp; Hiley, M. J. (2017). Balance control strategies during perturbed and unperturbed balance in standing and handstand. Royal Society Open Science, 4(7), 161018.</w:t>
      </w:r>
    </w:p>
    <w:p>
      <w:pPr>
        <w:spacing w:after="40"/>
      </w:pPr>
      <w:r>
        <w:rPr>
          <w:rFonts w:ascii="Arial" w:hAnsi="Arial"/>
          <w:color w:val="64748B"/>
          <w:sz w:val="16"/>
        </w:rPr>
        <w:t>[8] Novaes, R. D., et al. (2009). Equações de referência para predição da força de preensão manual em indivíduos brasileiros saudáveis. Rev Bras Med Esporte, 15(4), 265-270.</w:t>
      </w:r>
    </w:p>
    <w:p>
      <w:pPr>
        <w:spacing w:after="40"/>
      </w:pPr>
      <w:r>
        <w:rPr>
          <w:rFonts w:ascii="Arial" w:hAnsi="Arial"/>
          <w:color w:val="64748B"/>
          <w:sz w:val="16"/>
        </w:rPr>
        <w:t>[9] Bohannon, R. W. (2019). Normative reference values for hand-grip dynamometry: systematic review and meta-analysis. J Phys Ther Sci, 31(11), 932-938.</w:t>
      </w:r>
    </w:p>
    <w:p>
      <w:pPr>
        <w:spacing w:after="40"/>
      </w:pPr>
      <w:r>
        <w:rPr>
          <w:rFonts w:ascii="Arial" w:hAnsi="Arial"/>
          <w:color w:val="64748B"/>
          <w:sz w:val="16"/>
        </w:rPr>
        <w:t>[10] Soriano, M. A., et al. (2019). The overhead press: A review of biomechanics and exercise prescription. Strength &amp; Conditioning Journal, 41(4), 48-60.</w:t>
      </w:r>
    </w:p>
    <w:p>
      <w:pPr>
        <w:spacing w:after="40"/>
      </w:pPr>
      <w:r>
        <w:rPr>
          <w:rFonts w:ascii="Arial" w:hAnsi="Arial"/>
          <w:color w:val="64748B"/>
          <w:sz w:val="16"/>
        </w:rPr>
        <w:t>[11] Gautier, G., et al. (2007). Influence of visual information on postural control in a handstand. Human Movement Science, 26(4), 577-594.</w:t>
      </w:r>
    </w:p>
    <w:p>
      <w:pPr>
        <w:spacing w:after="40"/>
      </w:pPr>
      <w:r>
        <w:rPr>
          <w:rFonts w:ascii="Arial" w:hAnsi="Arial"/>
          <w:color w:val="64748B"/>
          <w:sz w:val="16"/>
        </w:rPr>
        <w:t>[12] Ellenbecker, T. S., et al. (2006). Isokinetic wrist strength in competitive athletes. American Journal of Sports Medicine, 34(11), 1845-1852.</w:t>
      </w:r>
    </w:p>
    <w:p>
      <w:pPr>
        <w:spacing w:after="40"/>
      </w:pPr>
      <w:r>
        <w:rPr>
          <w:rFonts w:ascii="Arial" w:hAnsi="Arial"/>
          <w:color w:val="64748B"/>
          <w:sz w:val="16"/>
        </w:rPr>
        <w:t>[13] Alizadehkhaiyat, O., et al. (2007). Isometric forearm and wrist strength in healthy adults. Journal of Electromyography and Kinesiology, 17(5), 629-637.</w:t>
      </w:r>
    </w:p>
    <w:p>
      <w:pPr>
        <w:spacing w:after="40"/>
      </w:pPr>
      <w:r>
        <w:rPr>
          <w:rFonts w:ascii="Arial" w:hAnsi="Arial"/>
          <w:color w:val="64748B"/>
          <w:sz w:val="16"/>
        </w:rPr>
        <w:t>[14] Rohleder, J., et al. (2021). Wrist joint biomechanics and handstand stability in gymnastics. Sports Biomechanics, 20(3), 312-326.</w:t>
      </w:r>
    </w:p>
    <w:p>
      <w:pPr>
        <w:spacing w:after="40"/>
      </w:pPr>
      <w:r>
        <w:rPr>
          <w:rFonts w:ascii="Arial" w:hAnsi="Arial"/>
          <w:color w:val="64748B"/>
          <w:sz w:val="16"/>
        </w:rPr>
        <w:t>[15] Bishop, C., Turner, A., &amp; Read, P. (2018). Effects of inter-limb asymmetries on physical and sports performance: a systematic review. Journal of Sports Sciences, 36(10), 1135-1144.</w:t>
      </w:r>
    </w:p>
    <w:p>
      <w:pPr>
        <w:spacing w:after="40"/>
      </w:pPr>
      <w:r>
        <w:rPr>
          <w:rFonts w:ascii="Arial" w:hAnsi="Arial"/>
          <w:color w:val="64748B"/>
          <w:sz w:val="16"/>
        </w:rPr>
        <w:t>[16] Herzog, W., Nigg, B. M., Read, L. J., &amp; Olsson, E. (1989). Asymmetries in ground reaction force patterns in normal human gait. Medicine and Science in Sports and Exercise, 21(1), 110-118.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