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2:paraId="2BBAA255">
      <ns0:pPr>
        <ns0:spacing ns0:line="360" ns0:lineRule="auto"/>
        <ns0:jc ns0:val="center"/>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UNIVERSIDADE DE SÃO PAULO</ns0:t>
      </ns0:r>
      <ns0:bookmarkStart ns0:id="0" ns0:name="_heading=h.f8ewjw6sfegx"/>
      <ns0:bookmarkEnd ns0:id="0"/>
    </ns0:p>
    <ns0:p ns2:paraId="31F266AE">
      <ns0:pPr>
        <ns0:spacing ns0:line="360" ns0:lineRule="auto"/>
        <ns0:jc ns0:val="center"/>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ESCOLA DE EDUCAÇÃO FÍSICA E ESPORTE DE RIBEIRÃO PRETO</ns0:t>
      </ns0:r>
    </ns0:p>
    <ns0:p ns2:paraId="3B59E5D9">
      <ns0:pPr>
        <ns0:spacing ns0:line="360" ns0:lineRule="auto"/>
        <ns0:rPr>
          <ns0:rFonts ns0:hint="default" ns0:ascii="Times New Roman" ns0:hAnsi="Times New Roman" ns0:eastAsia="Times New Roman" ns0:cs="Times New Roman"/>
          <ns0:color ns0:val="auto"/>
        </ns0:rPr>
      </ns0:pPr>
    </ns0:p>
    <ns0:p ns2:paraId="02D377FF">
      <ns0:pPr>
        <ns0:spacing ns0:line="360" ns0:lineRule="auto"/>
        <ns0:rPr>
          <ns0:rFonts ns0:hint="default" ns0:ascii="Times New Roman" ns0:hAnsi="Times New Roman" ns0:eastAsia="Times New Roman" ns0:cs="Times New Roman"/>
          <ns0:color ns0:val="auto"/>
        </ns0:rPr>
      </ns0:pPr>
    </ns0:p>
    <ns0:p ns2:paraId="05AF3407">
      <ns0:pPr>
        <ns0:spacing ns0:line="360" ns0:lineRule="auto"/>
        <ns0:rPr>
          <ns0:rFonts ns0:hint="default" ns0:ascii="Times New Roman" ns0:hAnsi="Times New Roman" ns0:eastAsia="Times New Roman" ns0:cs="Times New Roman"/>
          <ns0:color ns0:val="auto"/>
        </ns0:rPr>
      </ns0:pPr>
    </ns0:p>
    <ns0:p ns2:paraId="2D6BA17A">
      <ns0:pPr>
        <ns0:spacing ns0:line="360" ns0:lineRule="auto"/>
        <ns0:rPr>
          <ns0:rFonts ns0:hint="default" ns0:ascii="Times New Roman" ns0:hAnsi="Times New Roman" ns0:eastAsia="Times New Roman" ns0:cs="Times New Roman"/>
          <ns0:color ns0:val="auto"/>
        </ns0:rPr>
      </ns0:pPr>
    </ns0:p>
    <ns0:p ns2:paraId="151E80E2">
      <ns0:pPr>
        <ns0:spacing ns0:line="360" ns0:lineRule="auto"/>
        <ns0:jc ns0:val="center"/>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GUILHERME DE PAULA LEMOS</ns0:t>
      </ns0:r>
    </ns0:p>
    <ns0:p ns2:paraId="4E4311D7">
      <ns0:pPr>
        <ns0:spacing ns0:line="360" ns0:lineRule="auto"/>
        <ns0:rPr>
          <ns0:rFonts ns0:hint="default" ns0:ascii="Times New Roman" ns0:hAnsi="Times New Roman" ns0:eastAsia="Times New Roman" ns0:cs="Times New Roman"/>
          <ns0:color ns0:val="auto"/>
        </ns0:rPr>
      </ns0:pPr>
    </ns0:p>
    <ns0:p ns2:paraId="7E103BFB">
      <ns0:pPr>
        <ns0:spacing ns0:line="360" ns0:lineRule="auto"/>
        <ns0:rPr>
          <ns0:rFonts ns0:hint="default" ns0:ascii="Times New Roman" ns0:hAnsi="Times New Roman" ns0:eastAsia="Times New Roman" ns0:cs="Times New Roman"/>
          <ns0:color ns0:val="auto"/>
        </ns0:rPr>
      </ns0:pPr>
    </ns0:p>
    <ns0:p ns2:paraId="4FDA10A8">
      <ns0:pPr>
        <ns0:spacing ns0:line="360" ns0:lineRule="auto"/>
        <ns0:rPr>
          <ns0:rFonts ns0:hint="default" ns0:ascii="Times New Roman" ns0:hAnsi="Times New Roman" ns0:eastAsia="Times New Roman" ns0:cs="Times New Roman"/>
          <ns0:color ns0:val="auto"/>
        </ns0:rPr>
      </ns0:pPr>
    </ns0:p>
    <ns0:p ns2:paraId="7BBDDC43">
      <ns0:pPr>
        <ns0:spacing ns0:line="360" ns0:lineRule="auto"/>
        <ns0:rPr>
          <ns0:rFonts ns0:hint="default" ns0:ascii="Times New Roman" ns0:hAnsi="Times New Roman" ns0:eastAsia="Times New Roman" ns0:cs="Times New Roman"/>
          <ns0:color ns0:val="auto"/>
        </ns0:rPr>
      </ns0:pPr>
    </ns0:p>
    <ns0:p ns2:paraId="3DB7F15F">
      <ns0:pPr>
        <ns0:spacing ns0:line="360" ns0:lineRule="auto"/>
        <ns0:jc ns0:val="center"/>
        <ns0:rPr>
          <ns0:rFonts ns0:hint="default" ns0:ascii="Times New Roman" ns0:hAnsi="Times New Roman" ns0:eastAsia="Times New Roman" ns0:cs="Times New Roman"/>
          <ns0:i/>
          <ns0:color ns0:val="auto"/>
          <ns0:vertAlign ns0:val="superscript"/>
        </ns0:rPr>
      </ns0:pPr>
      <ns0:r>
        <ns0:rPr>
          <ns0:rFonts ns0:ascii="Times New Roman" ns0:hAnsi="Times New Roman" ns0:cs="Times New Roman"/>
          <ns0:color ns0:val="auto"/>
        </ns0:rPr>
        <ns0:t xml:space="preserve">ANÁLISE DE FATORES ASSOCIADOS AO DESEMPENHO NO </ns0:t>
      </ns0:r>
      <ns0:r>
        <ns0:rPr>
          <ns0:rFonts ns0:ascii="Times New Roman" ns0:hAnsi="Times New Roman" ns0:cs="Times New Roman"/>
          <ns0:i/>
          <ns0:iCs/>
          <ns0:color ns0:val="auto"/>
        </ns0:rPr>
        <ns0:t xml:space="preserve">HANDSTAND </ns0:t>
      </ns0:r>
      <ns0:r>
        <ns0:rPr>
          <ns0:rFonts ns0:ascii="Times New Roman" ns0:hAnsi="Times New Roman" ns0:cs="Times New Roman"/>
          <ns0:color ns0:val="auto"/>
        </ns0:rPr>
        <ns0:t xml:space="preserve">E </ns0:t>
      </ns0:r>
      <ns0:r>
        <ns0:rPr>
          <ns0:rFonts ns0:ascii="Times New Roman" ns0:hAnsi="Times New Roman" ns0:cs="Times New Roman"/>
          <ns0:i/>
          <ns0:iCs/>
          <ns0:color ns0:val="auto"/>
        </ns0:rPr>
        <ns0:t>HANDSTAND WALK</ns0:t>
      </ns0:r>
      <ns0:r>
        <ns0:rPr>
          <ns0:rFonts ns0:ascii="Times New Roman" ns0:hAnsi="Times New Roman" ns0:cs="Times New Roman"/>
          <ns0:color ns0:val="auto"/>
        </ns0:rPr>
        <ns0:t xml:space="preserve"> </ns0:t>
      </ns0:r>
    </ns0:p>
    <ns0:p ns2:paraId="54B3AD3E">
      <ns0:pPr>
        <ns0:spacing ns0:line="360" ns0:lineRule="auto"/>
        <ns0:jc ns0:val="center"/>
        <ns0:rPr>
          <ns0:rFonts ns0:hint="default" ns0:ascii="Times New Roman" ns0:hAnsi="Times New Roman" ns0:eastAsia="Times New Roman" ns0:cs="Times New Roman"/>
          <ns0:color ns0:val="auto"/>
        </ns0:rPr>
      </ns0:pPr>
    </ns0:p>
    <ns0:p ns2:paraId="0C09F44D">
      <ns0:pPr>
        <ns0:spacing ns0:line="360" ns0:lineRule="auto"/>
        <ns0:ind ns0:left="4320" ns0:right="1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Candidato: Guilherme de Paula Lemos</ns0:t>
      </ns0:r>
    </ns0:p>
    <ns0:p ns2:paraId="74EDDA1A">
      <ns0:pPr>
        <ns0:spacing ns0:line="360" ns0:lineRule="auto"/>
        <ns0:ind ns0:left="4320" ns0:right="1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Orientador: Matheus Machado Gomes</ns0:t>
      </ns0:r>
    </ns0:p>
    <ns0:p ns2:paraId="63D5171F">
      <ns0:pPr>
        <ns0:spacing ns0:line="360" ns0:lineRule="auto"/>
        <ns0:ind ns0:left="4320" ns0:right="1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Linha de Pesquisa: </ns0:t>
      </ns0:r>
      <ns0:r>
        <ns0:rPr>
          <ns0:rFonts ns0:ascii="Times New Roman" ns0:hAnsi="Times New Roman" ns0:cs="Times New Roman"/>
          <ns0:i/>
          <ns0:iCs/>
          <ns0:color ns0:val="auto"/>
        </ns0:rPr>
        <ns0:t>Aspectos biodinâmicos da atividade física e do esporte</ns0:t>
      </ns0:r>
    </ns0:p>
    <ns0:p ns2:paraId="00E4EDE3">
      <ns0:pPr>
        <ns0:spacing ns0:line="360" ns0:lineRule="auto"/>
        <ns0:rPr>
          <ns0:rFonts ns0:hint="default" ns0:ascii="Times New Roman" ns0:hAnsi="Times New Roman" ns0:eastAsia="Times New Roman" ns0:cs="Times New Roman"/>
          <ns0:color ns0:val="auto"/>
        </ns0:rPr>
      </ns0:pPr>
    </ns0:p>
    <ns0:p ns2:paraId="6986C6F9">
      <ns0:pPr>
        <ns0:spacing ns0:line="360" ns0:lineRule="auto"/>
        <ns0:rPr>
          <ns0:rFonts ns0:hint="default" ns0:ascii="Times New Roman" ns0:hAnsi="Times New Roman" ns0:eastAsia="Times New Roman" ns0:cs="Times New Roman"/>
          <ns0:color ns0:val="auto"/>
        </ns0:rPr>
      </ns0:pPr>
    </ns0:p>
    <ns0:p ns2:paraId="728C306C">
      <ns0:pPr>
        <ns0:spacing ns0:line="360" ns0:lineRule="auto"/>
        <ns0:rPr>
          <ns0:rFonts ns0:hint="default" ns0:ascii="Times New Roman" ns0:hAnsi="Times New Roman" ns0:eastAsia="Times New Roman" ns0:cs="Times New Roman"/>
          <ns0:color ns0:val="auto"/>
        </ns0:rPr>
      </ns0:pPr>
    </ns0:p>
    <ns0:p ns2:paraId="072A8F1B">
      <ns0:pPr>
        <ns0:spacing ns0:line="360" ns0:lineRule="auto"/>
        <ns0:rPr>
          <ns0:rFonts ns0:hint="default" ns0:ascii="Times New Roman" ns0:hAnsi="Times New Roman" ns0:eastAsia="Times New Roman" ns0:cs="Times New Roman"/>
          <ns0:color ns0:val="auto"/>
        </ns0:rPr>
      </ns0:pPr>
    </ns0:p>
    <ns0:p ns2:paraId="06C0B9A2">
      <ns0:pPr>
        <ns0:spacing ns0:line="360" ns0:lineRule="auto"/>
        <ns0:rPr>
          <ns0:rFonts ns0:hint="default" ns0:ascii="Times New Roman" ns0:hAnsi="Times New Roman" ns0:eastAsia="Times New Roman" ns0:cs="Times New Roman"/>
          <ns0:color ns0:val="auto"/>
        </ns0:rPr>
      </ns0:pPr>
    </ns0:p>
    <ns0:p ns2:paraId="2A9E1F85">
      <ns0:pPr>
        <ns0:spacing ns0:line="360" ns0:lineRule="auto"/>
        <ns0:rPr>
          <ns0:rFonts ns0:hint="default" ns0:ascii="Times New Roman" ns0:hAnsi="Times New Roman" ns0:eastAsia="Times New Roman" ns0:cs="Times New Roman"/>
          <ns0:color ns0:val="auto"/>
        </ns0:rPr>
      </ns0:pPr>
    </ns0:p>
    <ns0:p ns2:paraId="0F2BF67B">
      <ns0:pPr>
        <ns0:spacing ns0:line="360" ns0:lineRule="auto"/>
        <ns0:rPr>
          <ns0:rFonts ns0:hint="default" ns0:ascii="Times New Roman" ns0:hAnsi="Times New Roman" ns0:eastAsia="Times New Roman" ns0:cs="Times New Roman"/>
          <ns0:color ns0:val="auto"/>
        </ns0:rPr>
      </ns0:pPr>
    </ns0:p>
    <ns0:p ns2:paraId="249B72E6">
      <ns0:pPr>
        <ns0:spacing ns0:line="360" ns0:lineRule="auto"/>
        <ns0:rPr>
          <ns0:rFonts ns0:hint="default" ns0:ascii="Times New Roman" ns0:hAnsi="Times New Roman" ns0:eastAsia="Times New Roman" ns0:cs="Times New Roman"/>
          <ns0:color ns0:val="auto"/>
        </ns0:rPr>
      </ns0:pPr>
    </ns0:p>
    <ns0:p ns2:paraId="7A93AD74">
      <ns0:pPr>
        <ns0:spacing ns0:line="360" ns0:lineRule="auto"/>
        <ns0:rPr>
          <ns0:rFonts ns0:hint="default" ns0:ascii="Times New Roman" ns0:hAnsi="Times New Roman" ns0:eastAsia="Times New Roman" ns0:cs="Times New Roman"/>
          <ns0:color ns0:val="auto"/>
        </ns0:rPr>
      </ns0:pPr>
    </ns0:p>
    <ns0:p ns2:paraId="0E723B6C">
      <ns0:pPr>
        <ns0:spacing ns0:line="360" ns0:lineRule="auto"/>
        <ns0:rPr>
          <ns0:rFonts ns0:hint="default" ns0:ascii="Times New Roman" ns0:hAnsi="Times New Roman" ns0:eastAsia="Times New Roman" ns0:cs="Times New Roman"/>
          <ns0:color ns0:val="auto"/>
        </ns0:rPr>
      </ns0:pPr>
    </ns0:p>
    <ns0:p ns2:paraId="4F5E5083">
      <ns0:pPr>
        <ns0:spacing ns0:line="360" ns0:lineRule="auto"/>
        <ns0:rPr>
          <ns0:rFonts ns0:hint="default" ns0:ascii="Times New Roman" ns0:hAnsi="Times New Roman" ns0:eastAsia="Times New Roman" ns0:cs="Times New Roman"/>
          <ns0:color ns0:val="auto"/>
        </ns0:rPr>
      </ns0:pPr>
    </ns0:p>
    <ns0:p ns2:paraId="704386DB">
      <ns0:pPr>
        <ns0:spacing ns0:line="360" ns0:lineRule="auto"/>
        <ns0:rPr>
          <ns0:rFonts ns0:hint="default" ns0:ascii="Times New Roman" ns0:hAnsi="Times New Roman" ns0:eastAsia="Times New Roman" ns0:cs="Times New Roman"/>
          <ns0:color ns0:val="auto"/>
        </ns0:rPr>
      </ns0:pPr>
    </ns0:p>
    <ns0:p ns2:paraId="69997485">
      <ns0:pPr>
        <ns0:spacing ns0:line="360" ns0:lineRule="auto"/>
        <ns0:rPr>
          <ns0:rFonts ns0:hint="default" ns0:ascii="Times New Roman" ns0:hAnsi="Times New Roman" ns0:eastAsia="Times New Roman" ns0:cs="Times New Roman"/>
          <ns0:color ns0:val="auto"/>
        </ns0:rPr>
      </ns0:pPr>
    </ns0:p>
    <ns0:p ns2:paraId="3F1800FC">
      <ns0:pPr>
        <ns0:spacing ns0:line="360" ns0:lineRule="auto"/>
        <ns0:jc ns0:val="center"/>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Ribeirão Preto - </ns0:t>
      </ns0:r>
      <ns0:r>
        <ns0:rPr>
          <ns0:rFonts ns0:ascii="Times New Roman" ns0:hAnsi="Times New Roman" ns0:cs="Times New Roman"/>
          <ns0:i/>
          <ns0:iCs/>
          <ns0:color ns0:val="auto"/>
        </ns0:rPr>
        <ns0:t>SP</ns0:t>
      </ns0:r>
    </ns0:p>
    <ns0:p ns2:paraId="16EAA841">
      <ns0:pPr>
        <ns0:spacing ns0:line="360" ns0:lineRule="auto"/>
        <ns0:jc ns0:val="center"/>
        <ns0:rPr>
          <ns0:rFonts ns0:hint="default" ns0:ascii="Times New Roman" ns0:hAnsi="Times New Roman" ns0:eastAsia="Times New Roman" ns0:cs="Times New Roman"/>
          <ns0:color ns0:val="auto"/>
        </ns0:rPr>
        <ns0:sectPr>
          <ns0:pgSz ns0:w="11906" ns0:h="16838"/>
          <ns0:pgMar ns0:top="1418" ns0:right="1418" ns0:bottom="1418" ns0:left="1418" ns0:header="0" ns0:footer="0" ns0:gutter="0"/>
          <ns0:pgNumType ns0:start="1"/>
          <ns0:cols ns0:space="720" ns0:num="1"/>
          <ns0:formProt ns0:val="0"/>
          <ns0:docGrid ns0:linePitch="100" ns0:charSpace="0"/>
        </ns0:sectPr>
      </ns0:pPr>
      <ns0:r>
        <ns0:rPr>
          <ns0:rFonts ns0:ascii="Times New Roman" ns0:hAnsi="Times New Roman" ns0:cs="Times New Roman"/>
          <ns0:color ns0:val="auto"/>
        </ns0:rPr>
        <ns0:t>2026</ns0:t>
      </ns0:r>
    </ns0:p>
    <ns0:p ns2:paraId="43457DE2">
      <ns0:pPr>
        <ns0:spacing ns0:line="360" ns0:lineRule="auto"/>
        <ns0:jc ns0:val="center"/>
        <ns0:rPr>
          <ns0:rFonts ns0:hint="default" ns0:ascii="Times New Roman" ns0:hAnsi="Times New Roman" ns0:eastAsia="Times New Roman" ns0:cs="Times New Roman"/>
          <ns0:i/>
          <ns0:color ns0:val="auto"/>
          <ns0:vertAlign ns0:val="superscript"/>
        </ns0:rPr>
      </ns0:pPr>
      <ns0:bookmarkStart ns0:id="1" ns0:name="_heading=h.o5ku8cknwnit"/>
      <ns0:bookmarkEnd ns0:id="1"/>
      <ns0:r>
        <ns0:rPr>
          <ns0:rFonts ns0:ascii="Times New Roman" ns0:hAnsi="Times New Roman" ns0:cs="Times New Roman"/>
          <ns0:color ns0:val="auto"/>
        </ns0:rPr>
        <ns0:t xml:space="preserve">ANÁLISE DE FATORES ASSOCIADOS AO DESEMPENHO NO </ns0:t>
      </ns0:r>
      <ns0:r>
        <ns0:rPr>
          <ns0:rFonts ns0:ascii="Times New Roman" ns0:hAnsi="Times New Roman" ns0:cs="Times New Roman"/>
          <ns0:i/>
          <ns0:iCs/>
          <ns0:color ns0:val="auto"/>
        </ns0:rPr>
        <ns0:t xml:space="preserve">HANDSTAND </ns0:t>
      </ns0:r>
      <ns0:r>
        <ns0:rPr>
          <ns0:rFonts ns0:ascii="Times New Roman" ns0:hAnsi="Times New Roman" ns0:cs="Times New Roman"/>
          <ns0:color ns0:val="auto"/>
        </ns0:rPr>
        <ns0:t xml:space="preserve">E </ns0:t>
      </ns0:r>
      <ns0:r>
        <ns0:rPr>
          <ns0:rFonts ns0:ascii="Times New Roman" ns0:hAnsi="Times New Roman" ns0:cs="Times New Roman"/>
          <ns0:i/>
          <ns0:iCs/>
          <ns0:color ns0:val="auto"/>
        </ns0:rPr>
        <ns0:t>HANDSTAND WALK</ns0:t>
      </ns0:r>
      <ns0:r>
        <ns0:rPr>
          <ns0:rFonts ns0:ascii="Times New Roman" ns0:hAnsi="Times New Roman" ns0:cs="Times New Roman"/>
          <ns0:color ns0:val="auto"/>
        </ns0:rPr>
        <ns0:t xml:space="preserve"> </ns0:t>
      </ns0:r>
    </ns0:p>
    <ns0:p ns2:paraId="5BFB30C0">
      <ns0:pPr>
        <ns0:spacing ns0:line="360" ns0:lineRule="auto"/>
        <ns0:jc ns0:val="left"/>
        <ns0:rPr>
          <ns0:rFonts ns0:hint="default" ns0:ascii="Times New Roman" ns0:hAnsi="Times New Roman" ns0:eastAsia="Times New Roman" ns0:cs="Times New Roman"/>
          <ns0:b/>
          <ns0:color ns0:val="auto"/>
        </ns0:rPr>
      </ns0:pPr>
      <ns0:r>
        <ns0:rPr>
          <ns0:rFonts ns0:ascii="Times New Roman" ns0:hAnsi="Times New Roman" ns0:cs="Times New Roman"/>
          <ns0:b/>
          <ns0:bCs/>
          <ns0:color ns0:val="auto"/>
        </ns0:rPr>
        <ns0:t>RESUMO</ns0:t>
      </ns0:r>
    </ns0:p>
    <ns0:p ns2:paraId="092F70AB">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O </ns0:t>
      </ns0:r>
      <ns0:r>
        <ns0:rPr>
          <ns0:rFonts ns0:ascii="Times New Roman" ns0:hAnsi="Times New Roman" ns0:cs="Times New Roman"/>
          <ns0:i/>
          <ns0:iCs/>
          <ns0:color ns0:val="auto"/>
        </ns0:rPr>
        <ns0:t>handstand (HS)</ns0:t>
      </ns0:r>
      <ns0:r>
        <ns0:rPr>
          <ns0:rFonts ns0:ascii="Times New Roman" ns0:hAnsi="Times New Roman" ns0:cs="Times New Roman"/>
          <ns0:color ns0:val="auto"/>
        </ns0:rPr>
        <ns0:t xml:space="preserve"> é uma tarefa motora caracterizada pelo equilíbrio estático em posição invertida sobre as mãos, enquanto o </ns0:t>
      </ns0:r>
      <ns0:r>
        <ns0:rPr>
          <ns0:rFonts ns0:ascii="Times New Roman" ns0:hAnsi="Times New Roman" ns0:cs="Times New Roman"/>
          <ns0:i/>
          <ns0:iCs/>
          <ns0:color ns0:val="auto"/>
        </ns0:rPr>
        <ns0:t>handstand walk (HSW)</ns0:t>
      </ns0:r>
      <ns0:r>
        <ns0:rPr>
          <ns0:rFonts ns0:ascii="Times New Roman" ns0:hAnsi="Times New Roman" ns0:cs="Times New Roman"/>
          <ns0:color ns0:val="auto"/>
        </ns0:rPr>
        <ns0:t xml:space="preserve"> envolve deslocamento dinâmico nessa posição; ambos constituem elementos fundamentais em vários contextos esportivos, nos quais são reconhecidos e valorizados como expressão de proficiência e capacidade física. O presente projeto tem como objetivo investigar os fatores determinantes para o desempenho em ambas as habilidades motoras. Embora amplamente reconhecidos pela complexidade motora,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ainda são predominantemente estudados em amostras restritas, em sua maioria compostas apenas por ginastas experientes, o que limita a compreensão de como variáveis distintas se correlacionam e influenciam essas habilidades em diferentes contextos de prática. Para preencher essa lacuna, serão recrutados adultos, homens e mulheres, com experiência prévia na prática de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e/ou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em suas modalidades de origem, contemplando diferentes perfis técnicos e de tempo de prática. Serão empregados modelos de regressão linear múltipla e regressão logística binária tendo como preditores: força máxima de flexores de punho e dedos, além do </ns0:t>
      </ns0:r>
      <ns0:r>
        <ns0:rPr>
          <ns0:rFonts ns0:ascii="Times New Roman" ns0:hAnsi="Times New Roman" ns0:cs="Times New Roman"/>
          <ns0:i/>
          <ns0:iCs/>
          <ns0:color ns0:val="auto"/>
        </ns0:rPr>
        <ns0:t>shoulder press</ns0:t>
      </ns0:r>
      <ns0:r>
        <ns0:rPr>
          <ns0:rFonts ns0:ascii="Times New Roman" ns0:hAnsi="Times New Roman" ns0:cs="Times New Roman"/>
          <ns0:color ns0:val="auto"/>
        </ns0:rPr>
        <ns0:t xml:space="preserve"> relativo à massa corporal; resistência muscular em posição invertida; parâmetros estabilométricos de controle postural (distância CoP-CoM, velocidade do CoP e entropia aproximada); medidas antropométricas, incluindo comprimento de membros, altura do centro de massa (CoM) e composição corporal; e análise cinemática 3D dos ângulos articulares (ombros, quadril e cabeça), orientação angular das mãos e largura da base de apoio; além de variáveis de deslocamento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como tempo, velocidade, cadência e variabilidade espacial e temporal das passadas.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o desempenho será avaliado pelo melhor tempo de sustentação (pico) na condição assistida e pelo sucesso na estabilização de entradas livres, enquanto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será considerada a mediana da distância percorrida. As hipóteses centrais são de que a força e a resistência dos membros superiores, aliadas a características antropométricas favoráveis, maior tempo de prática e refinamento do controle postural, estejam diretamente associadas ao melhor desempenho nas duas tarefas. Acredita-se que os achados contribuirão para suprir lacunas metodológicas da literatura, ampliando a compreensão integrada dos fatores que influenciam o desempenho em inversão e subsidiando programas de treinamento mais eficientes, seguros e específicos a cada modalidade.</ns0:t>
      </ns0:r>
    </ns0:p>
    <ns0:p ns2:paraId="7C020983">
      <ns0:pPr>
        <ns0:spacing ns0:line="360" ns0:lineRule="auto"/>
        <ns0:rPr>
          <ns0:rFonts ns0:hint="default" ns0:ascii="Times New Roman" ns0:hAnsi="Times New Roman" ns0:eastAsia="Times New Roman" ns0:cs="Times New Roman"/>
          <ns0:color ns0:val="auto"/>
        </ns0:rPr>
      </ns0:pPr>
    </ns0:p>
    <ns0:p ns2:paraId="222B9E07">
      <ns0:pPr>
        <ns0:spacing ns0:line="360" ns0:lineRule="auto"/>
        <ns0:rPr>
          <ns0:rFonts ns0:hint="default" ns0:ascii="Times New Roman" ns0:hAnsi="Times New Roman" ns0:eastAsia="Times New Roman" ns0:cs="Times New Roman"/>
          <ns0:color ns0:val="auto"/>
          <ns0:lang ns0:val="en-US"/>
        </ns0:rPr>
      </ns0:pPr>
      <ns0:r>
        <ns0:rPr>
          <ns0:rFonts ns0:ascii="Times New Roman" ns0:hAnsi="Times New Roman" ns0:cs="Times New Roman"/>
          <ns0:color ns0:val="auto"/>
        </ns0:rPr>
        <ns0:t xml:space="preserve">Palavras-chave: Parada de mãos; Andar sobre as mãos; Ginástica; </ns0:t>
      </ns0:r>
      <ns0:r>
        <ns0:rPr>
          <ns0:rFonts ns0:ascii="Times New Roman" ns0:hAnsi="Times New Roman" ns0:cs="Times New Roman"/>
          <ns0:i/>
          <ns0:iCs/>
          <ns0:color ns0:val="auto"/>
        </ns0:rPr>
        <ns0:t>CrossFit</ns0:t>
      </ns0:r>
      <ns0:r>
        <ns0:rPr>
          <ns0:rFonts ns0:ascii="Times New Roman" ns0:hAnsi="Times New Roman" ns0:cs="Times New Roman"/>
          <ns0:color ns0:val="auto"/>
        </ns0:rPr>
        <ns0:t>®; Calistenia.</ns0:t>
      </ns0:r>
    </ns0:p>
    <ns0:p ns2:paraId="7E5A4316">
      <ns0:pPr>
        <ns0:pStyle ns0:val="2"/>
        <ns0:numPr>
          <ns0:ilvl ns0:val="0"/>
          <ns0:numId ns0:val="1"/>
        </ns0:numPr>
        <ns0:spacing ns0:line="360" ns0:lineRule="auto"/>
        <ns0:ind ns0:left="720" ns0:hanging="360"/>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INTRODUÇÃO</ns0:t>
      </ns0:r>
    </ns0:p>
    <ns0:p ns2:paraId="67CCAD4F">
      <ns0:pPr>
        <ns0:spacing ns0:line="360" ns0:lineRule="auto"/>
        <ns0:ind ns0:firstLine="360"/>
        <ns0:rPr>
          <ns0:rFonts ns0:hint="default" ns0:ascii="Times New Roman" ns0:hAnsi="Times New Roman" ns0:eastAsia="Times New Roman" ns0:cs="Times New Roman"/>
          <ns0:color ns0:val="auto"/>
        </ns0:rPr>
      </ns0:pPr>
      <ns0:r>
        <ns0:rPr>
          <ns0:rFonts ns0:ascii="Times New Roman" ns0:hAnsi="Times New Roman" ns0:cs="Times New Roman"/>
          <ns0:i/>
          <ns0:iCs/>
          <ns0:color ns0:val="auto"/>
        </ns0:rPr>
        <ns0:t xml:space="preserve">Handstand (HS) </ns0:t>
      </ns0:r>
      <ns0:r>
        <ns0:rPr>
          <ns0:rFonts ns0:ascii="Times New Roman" ns0:hAnsi="Times New Roman" ns0:cs="Times New Roman"/>
          <ns0:color ns0:val="auto"/>
        </ns0:rPr>
        <ns0:t xml:space="preserve">constitui uma tarefa motora de equilíbrio estático em posição invertida sobre as mãos enquanto </ns0:t>
      </ns0:r>
      <ns0:r>
        <ns0:rPr>
          <ns0:rFonts ns0:ascii="Times New Roman" ns0:hAnsi="Times New Roman" ns0:cs="Times New Roman"/>
          <ns0:i/>
          <ns0:iCs/>
          <ns0:color ns0:val="auto"/>
        </ns0:rPr>
        <ns0:t xml:space="preserve">Handstand Walking (HSW) </ns0:t>
      </ns0:r>
      <ns0:r>
        <ns0:rPr>
          <ns0:rFonts ns0:ascii="Times New Roman" ns0:hAnsi="Times New Roman" ns0:cs="Times New Roman"/>
          <ns0:color ns0:val="auto"/>
        </ns0:rPr>
        <ns0:t xml:space="preserve">é caracterizado por um equilíbrio dinâmico em posição invertida sobre as mãos gerando um deslocamento. Ambos são considerados elementos essenciais da ginástica artística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{"citationID":"3hnjItn1","properties":{"formattedCitation":"[1]","plainCitation":"[1]","noteIndex":0},"citationItems":[{"id":333,"uris":["http://zotero.org/users/17274952/items/LV8KSPDR"],"itemData":{"id":333,"type":"article-journal","abstract":"Handstand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 também estão presentes em diversas outras modalidades como, por exemplo, calistenia, </ns0:t>
      </ns0:r>
      <ns0:r>
        <ns0:rPr>
          <ns0:rFonts ns0:ascii="Times New Roman" ns0:hAnsi="Times New Roman" ns0:cs="Times New Roman"/>
          <ns0:i/>
          <ns0:iCs/>
          <ns0:color ns0:val="auto"/>
        </ns0:rPr>
        <ns0:t>CrossFit®</ns0:t>
      </ns0:r>
      <ns0:r>
        <ns0:rPr>
          <ns0:rFonts ns0:ascii="Times New Roman" ns0:hAnsi="Times New Roman" ns0:cs="Times New Roman"/>
          <ns0:color ns0:val="auto"/>
        </ns0:rPr>
        <ns0:t xml:space="preserve">, yoga, artes circenses. São habilidades motoras complexas, valorizadas por desenvolver força, coordenação, equilíbrio e consciência corporal, constituindo referência de domínio técnico nas práticas que as incorporam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{"citationID":"yPUbr5t1","properties":{"formattedCitation":"[2]","plainCitation":"[2]","noteIndex":0},"citationItems":[{"id":327,"uris":["http://zotero.org/users/17274952/items/7HMEIQK4"],"itemData":{"id":327,"type":"article-journal","abstract":"Despite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ns0:t>
      </ns0:r>
    </ns0:p>
    <ns0:p ns2:paraId="32219587">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Há vários trabalhos relacionados ao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abrangendo fatores biomecânicos, neuromusculares e psicológicos, refletindo na manutenção do equilíbrio.  Este é mantido através de estratégias multissegmentares, com participação das articulações distais e proximais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{"citationID":"Z7I5nlk6","properties":{"formattedCitation":"[3], [4]","plainCitation":"[3], [4]","noteIndex":0},"citationItems":[{"id":336,"uris":["http://zotero.org/users/17274952/items/P82NI7IB"],"itemData":{"id":336,"type":"article-journal","abstract":"KERWIN,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[3], [4]</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O </ns0:t>
      </ns0:r>
      <ns0:r>
        <ns0:rPr>
          <ns0:rFonts ns0:ascii="Times New Roman" ns0:hAnsi="Times New Roman" ns0:cs="Times New Roman"/>
          <ns0:i/>
          <ns0:iCs/>
          <ns0:color ns0:val="auto"/>
        </ns0:rPr>
        <ns0:t xml:space="preserve">HS </ns0:t>
      </ns0:r>
      <ns0:r>
        <ns0:rPr>
          <ns0:rFonts ns0:ascii="Times New Roman" ns0:hAnsi="Times New Roman" ns0:cs="Times New Roman"/>
          <ns0:color ns0:val="auto"/>
        </ns0:rPr>
        <ns0:t>apresenta alta variabilidade articular, especialmente em ombros, punhos e quadris, enquanto o CoM e o CoP permanecem estáveis</ns0:t>
      </ns0:r>
      <ns0:r>
        <ns0:rPr>
          <ns0:rFonts ns0:ascii="Times New Roman" ns0:hAnsi="Times New Roman" ns0:cs="Times New Roman"/>
          <ns0:color ns0:val="auto"/>
        </ns0:rPr>
        <ns0:t>,</ns0:t>
      </ns0:r>
      <ns0:r>
        <ns0:rPr>
          <ns0:rFonts ns0:ascii="Times New Roman" ns0:hAnsi="Times New Roman" ns0:cs="Times New Roman"/>
          <ns0:color ns0:val="auto"/>
        </ns0:rPr>
        <ns0:t xml:space="preserve"> evidenciando que a estabilidade é resultado do ajuste coletivo entre segmentos</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{"citationID":"WFdHNrBZ","properties":{"formattedCitation":"[5]","plainCitation":"[5]","noteIndex":0},"citationItems":[{"id":51,"uris":["http://zotero.org/users/17274952/items/6I25TH2Q"],"itemData":{"id":51,"type":"article-journal","abstract":"The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[5]</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Para isso é necessária coordenação precisa entre músculos estabilizadores e mobilizadores dos membros superiores e do tronco, sendo os flexores de punho, trapézio, deltoide anterior e tríceps braquial os contribuidores primários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{"citationID":"0MUYVmko","properties":{"formattedCitation":"[6]","plainCitation":"[6]","noteIndex":0},"citationItems":[{"id":326,"uris":["http://zotero.org/users/17274952/items/A5MTUBXD"],"itemData":{"id":326,"type":"article-journal","abstract":"Kochanowicz,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[6]</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Nesse contexto, observou-se que os punhos atuam constantemente para manter a pressão contra o solo e realizar microajustes no CoP, sendo responsáveis pelo controle fino frente a pequenas oscilações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{"citationID":"kG7DjW3p","properties":{"formattedCitation":"[2],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 [3], [7]</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Embora o punho seja o efetor primário, análises cinemáticas 3D recentes indicam que o ombro atua como um colaborador crítico, sendo o maior contribuinte para o controle do COM tanto no plano anteroposterior quanto no mediolateral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{"citationID":"b0rto6yy","properties":{"unsorted":false,"formattedCitation":"[8]","plainCitation":"[8]","noteIndex":0},"citationItems":[{"id":302,"uris":["http://zotero.org/users/17274952/items/NW2TRL4I"],"itemData":{"id":302,"type":"article-journal","abstract":"The goal of a handstand, a fundamental skill in gymnastics, is to maintain a balanced stance by controlling center of mass (COM) position. Successful handstands predominantly use wrist torque to control the COM in the anterior-posterior (AP) plane. The aim of this study was to determine the underlying motor control mechanisms necessary to maintain a strong handstand stance through analysis of joint angle and COM position variability. Full body 3D kinematic data were collected on three competitive level gymnasts during 30 s floor handstands. Variability of joint angles were consistently higher than the center of mass, demonstrating that joints self-organize in a motor control strategy to produce torques in order to control the COM. Using multiple linear regression analysis, it was found that shoulder flexion/extension variability was the largest contributor to controlling the COM in both the medio-lateral (ML) and AP planes.","language":"en","source":"Zotero","title":"HANDSTAND BALANCE MOTOR CONTROL MECHANISMS","author":[{"family":"Pryhoda","given":"Moira K"},{"family":"Newell","given":"Karl M"},{"family":"Irwin","given":"Gareth"}],"issued":{"date-parts":[["2021"]]}}}],"schema":"https://github.com/citation-style-language/schema/raw/master/csl-citation.json"}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[8]</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No âmbito do aprendizado motor, intervenções focadas no ensino explícito da estratégia de punho têm demonstrado eficácia no aumento do tempo de permanência na posição invertida, inclusive em indivíduos iniciantes, sugerindo que a técnica de correção na base pode ser treinada de forma isolada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{"citationID":"B1dti3D7","properties":{"unsorted":false,"formattedCitation":"[9]","plainCitation":"[9]","noteIndex":0},"citationItems":[{"id":299,"uris":["http://zotero.org/users/17274952/items/EJ28IYIX"],"itemData":{"id":299,"type":"article-journal","abstract":"In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[9]</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Além disso, observa-se que a variabilidade dos ângulos articulares é consistentemente maior que a variabilidade do centro de massa, sugerindo que as articulações se auto-organizam em uma estratégia de controle motor para preservar o equilíbrio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{"citationID":"XbH4iuwB","properties":{"unsorted":false,"formattedCitation":"[5]","plainCitation":"[5]","noteIndex":0},"citationItems":[{"id":51,"uris":["http://zotero.org/users/17274952/items/6I25TH2Q"],"itemData":{"id":51,"type":"article-journal","abstract":"The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Ginastas mais experientes apresentam menor deslocamento do CoP e possuem ativação muscular mais eficiente</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{"citationID":"JjiXyt1a","properties":{"formattedCitation":"[10]","plainCitation":"[10]","noteIndex":0},"citationItems":[{"id":338,"uris":["http://zotero.org/users/17274952/items/JUTNAMC7"],"itemData":{"id":338,"type":"article-journal","abstract":"The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[10]</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ns0:t>
      </ns0:r>
      <ns0:r>
        <ns0:rPr>
          <ns0:rFonts ns0:ascii="Times New Roman" ns0:hAnsi="Times New Roman" ns0:cs="Times New Roman"/>
          <ns0:color ns0:val="auto"/>
        </ns0:rPr>
        <ns0:t xml:space="preserve">O padrão de ativação muscular é adaptativo, durante maior instabilidade, há incremento da coativação para reforçar a rigidez articular, indicando que a manutenção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requer não apenas força, mas a otimização da coordenação muscular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{"citationID":"ij9hcXve","properties":{"formattedCitation":"[11], [12]","plainCitation":"[11], [12]","noteIndex":0},"citationItems":[{"id":346,"uris":["http://zotero.org/users/17274952/items/P35N5UEZ"],"itemData":{"id":346,"type":"article-journal","abstract":"The contribution is a review study dealing with a handstand as one of the basic movement structures in artistic gymnastics. Balancing in this inverse position is a complex process based on physiological and physical principles. From physiological point of view the important results are from research dealing with function of vestibular apparatus, visual system, proprioception, central nervous system and motor units and their participation in balance maintaining. Another important question is a relationship between the strength of particular muscle groups and a level of balancing ability. Based on stabilometric measurements and 3D kinematic analysis of correcting movements equalizing the perturbations during a handstand we can distinguish several strategies of maintaining balance. Other important factors influencing the holding time in handstand position in gymnastics, mainly in tool disciplines, are a visual control and position of head.","issue":"3","language":"en","source":"Zotero","title":"BALANCING IN HANDSTAND ON THE FLOOR","volume":"5","author":[{"family":"Hedbávný","given":"Petr"},{"family":"Sklenaříková","given":"Jana"},{"family":"Hupka","given":"Dušan"},{"family":"Kalichová","given":"Miriam"}]}},{"id":334,"uris":["http://zotero.org/users/17274952/items/AFVNAKE4"],"itemData":{"id":334,"type":"article-journal","abstract":"This study aimed to evaluate the muscle dynamics involved in single and double-arm handstands performed by five skilled gymnasts, with a mean age of 23.6 ± 1.94 years. Myoware Muscle Sensor (AT-04-001) (MMS) signals were collected from three key upper limb muscles: Wrist Flexor (WF), Triceps Brachii (TB), and Lateral Deltoid (LD), all on the dominant side of the body. To facilitate data collection and processing, Internet of Things (IoT) programs were employed, utilizing Arduino IDE and Python 3.10.0 applications to connect the NodeMCU (ESP8266) via server and client code. The NodeMCU's display frequency range was set at 0–1024 Hz, with a Baud (Bd) rate of 9600 in Arduino, which is a crucial parameter for visualizing the data accurately. It continuously reads the serial and plotter monitor signals from the MMS through the A0 pin. The processed data was transmitted wirelessly by the NodeMCU, displayed on a monitor, and recorded for analysis. Participants executed three trials of their maximum handstand performance on the floor; the gymnasts peak level of 15 seconds performance was used for analysis (i.e., the middle time of the best trial; e.g., maximum performance was 45 seconds in this 16–30sec used). The observed muscle stimulation range was from a minimum of 109617 Hz to a maximum of 151292 Hz. Overall, one-arm handstands (52.79%) demonstrated better muscle activation than double-arm handstands (47.21%). The analysis revealed a statistically significant positive Correlation (r) and Probability (p) between the WF and LD (r = 0.870, p = 0.001). However, no significant correlations were observed between the WF and the TB (r = 0.507, p = 0.134) or the TB and the LD (r = 0.491, p = 0.150). To conclude, despite comparable inter-muscle contributions, the study suggests a significant association between WF and LD. Future research can build on these findings, exploring additional muscle groups and refining training protocols for performance optimization and injury prevention. This study encourages broader investigations, including more muscles in the upper and lower body, with advanced research laboratories and larger sample sizes.","container-title":"Journal of Physical Education and Sport","ISSN":"22478051, 2247806X","issue":"4","journalAbbreviation":"JPES","language":"en","source":"DOI.org (Crossref)","title":"Analyzing optimal muscle dynamics during handstands: a comprehensive investigation of skilled gymnasts","volume":"24"}}],"schema":"https://github.com/citation-style-language/schema/raw/master/csl-citation.json"}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[11], [12]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Além disso, análise cinemática com ginastas experientes mostrou que a capacidade de se manter na </ns0:t>
      </ns0:r>
      <ns0:r>
        <ns0:rPr>
          <ns0:rFonts ns0:ascii="Times New Roman" ns0:hAnsi="Times New Roman" ns0:cs="Times New Roman"/>
          <ns0:i/>
          <ns0:iCs/>
          <ns0:color ns0:val="auto"/>
        </ns0:rPr>
        <ns0:t xml:space="preserve">HS </ns0:t>
      </ns0:r>
      <ns0:r>
        <ns0:rPr>
          <ns0:rFonts ns0:ascii="Times New Roman" ns0:hAnsi="Times New Roman" ns0:cs="Times New Roman"/>
          <ns0:color ns0:val="auto"/>
        </ns0:rPr>
        <ns0:t xml:space="preserve">está associado ao alinhamento corporal, sobretudo à sobreposição de ombros e quadris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{"citationID":"Pl3hTtMj","properties":{"formattedCitation":"[13], [14]","plainCitation":"[13], [14]","noteIndex":0},"citationItems":[{"id":328,"uris":["http://zotero.org/users/17274952/items/PDH4GHVG"],"itemData":{"id":328,"type":"article-journal","journalAbbreviation":"Science of Gymnastics Journal","page":"19-30","title":"Kinematic Analysis of handstands in gymnastics","volume":"7","author":[{"family":"B. Belčič","given":"P. Samardžija"}],"issued":{"date-parts":[["2015"]]}}},{"id":337,"uris":["http://zotero.org/users/17274952/items/89GK6CG5"],"itemData":{"id":337,"type":"article-journal","abstract":"Background/Objectives: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[13], [14]</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ns0:t>
      </ns0:r>
      <ns0:r>
        <ns0:rPr>
          <ns0:rFonts ns0:ascii="Times New Roman" ns0:hAnsi="Times New Roman" ns0:cs="Times New Roman"/>
          <ns0:color ns0:val="auto"/>
        </ns0:rPr>
        <ns0:t xml:space="preserve"> </ns0:t>
      </ns0:r>
      <ns0:r>
        <ns0:rPr>
          <ns0:rFonts ns0:ascii="Times New Roman" ns0:hAnsi="Times New Roman" ns0:cs="Times New Roman"/>
          <ns0:color ns0:val="auto"/>
        </ns0:rPr>
        <ns0:t xml:space="preserve">Contudo, treinamentos focados exclusivamente no alinhamento corporal, embora aperfeiçoem a execução, não garantem maior duração do equilíbrio, evidenciando a relevância do papel dos punhos e antebraços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{"citationID":"1YqKAwnu","properties":{"formattedCitation":"[2]","plainCitation":"[2]","noteIndex":0},"citationItems":[{"id":327,"uris":["http://zotero.org/users/17274952/items/7HMEIQK4"],"itemData":{"id":327,"type":"article-journal","abstract":"Despite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Uma revisão sistemática abrangente reforçou que, embora o alinhamento corporal rígido seja o ideal estético, a manutenção da estabilidade depende de uma coordenação dinâmica constante entre o centro de massa (COM) e o centro de pressão (COP)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{"citationID":"v6sPizuA","properties":{"unsorted":false,"formattedCitation":"[15]","plainCitation":"[15]","noteIndex":0},"citationItems":[{"id":303,"uris":["http://zotero.org/users/17274952/items/GMN3DDXM"],"itemData":{"id":303,"type":"article-journal","abstract":"Purpose: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[15]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Quanto à configuração da base de suporte, um estudo com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demonstrou que a utilização de palmas planas com os dedos unidos e estendidos proporciona menor oscilação do centro de pressão e maior eficiência no equilíbrio quando comparada às variações de dedos afastados ou flexionados em garra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{"citationID":"1hAfAeGr","properties":{"unsorted":false,"formattedCitation":"[16]","plainCitation":"[16]","noteIndex":0},"citationItems":[{"id":304,"uris":["http://zotero.org/users/17274952/items/PKRF3FK3"],"itemData":{"id":304,"type":"article-journal","abstract":"The purpose of the study was twofold: (a) to examine the impact of various finger placements and utilization on the quality, control, and overall efficiency of handstand performance, and (b) to investigate potential gender differences in relation to these factors. Thirty-one young competitive gymnasts (15 males; age: 12.60 ± 2.08, and 16 females; age: 13.31 ± 2.21) participated in this study. A portable posturographic digital platform was used to record hand area (cm²), maximal pressure (kPa), CoP (center of hand pressure) sway area (mm²), CoP linear distance displacement (mm) and CoP velocity. Derived data were analyzed in an integrated software module (Foot Checker, version 4.0). The intra-class correlation coefficient and the coefficient of variation supported the reliability of the measurements. One-way MANOVA showed better balance control for all gymnasts for the handstand with flat palms and joined and fully stretched fingers, followed by that of flat palms and wide open and fully stretched fingers, and wide flat palms and open and flexed fingers. Results from one-way MANOVA indicated no differences between males and females in age, training age, body mass, height, and body mass index. With control for the effects of age, training age, personal characteristics and hand area of support in place, females had better balance control compared to males based on differences in CoP sway area, CoP linear distance displacement, and CoP velocity. Despite the study's limitations, the findings contribute to the existing literature on balance control techniques in handstands in relation to gender differences. The study provides recommendations for more effective training for coaches and suggests avenues for future research.","container-title":"Science of Gymnastics Journal","DOI":"10.52165/sgj.15.3.375-394","ISSN":"1855-7171, 2232-2639","issue":"3","journalAbbreviation":"SGJ","language":"en","license":"https://creativecommons.org/licenses/by-sa/4.0","page":"375-394","source":"DOI.org (Crossref)","title":"THE EFFECTIVENESS OF DIFFERENT HANDSTAND PLACEMENT TECHNIQUES IN HANDSTAND BALANCE CONTROL AND GENDER DIFFERENCESDSTAND BALANCE CONTROL AND GENDER DIFFERENCES","volume":"15","author":[{"family":"Milosis","given":"Dimitrios"},{"family":"Satras","given":"Theophanis"}],"issued":{"date-parts":[["2023",10,30]]}}}],"schema":"https://github.com/citation-style-language/schema/raw/master/csl-citation.json"}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[16]</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Contudo, a orientação angular das mãos, especificamente o grau de rotação externa, permanece inexplorada pela literatura científica, tanto na condição estática quanto na dinâmica. Essa rotação poderia atuar como uma estratégia compensatória para limitações na amplitude de extensão do punho, alterando o plano dos torques corretivos e otimizando a projeção do centro de massa. A orientação da cabeça também exerce influência direta na estabilidade. Alterações no ângulo do pescoço modificam os padrões de variabilidade multiarticular, o que pode impactar a percepção visual e o controle postural durante a inversão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{"citationID":"FDvN6bYP","properties":{"unsorted":false,"formattedCitation":"[17]","plainCitation":"[17]","noteIndex":0},"citationItems":[{"id":301,"uris":["http://zotero.org/users/17274952/items/IRV3ADLG"],"itemData":{"id":301,"type":"article-journal","abstract":"This study investigated the effects of neck angle on center of mass (CM) stability and joint angle variability in the handstand. Seven experienced female gymnasts performed handstands in extended, neutral, and flexed neck angles. Kinematic data were collected using a 3D motion capture system, and variability was assessed for wrist, elbow, shoulder, hip, and neck angles and, CM position. The findings showed that the extended neck angle posture exhibited the lowest CM variability, aligning with its prevalent use in practice and competition. Regression analyses revealed that joint angle variability was significantly corelated to CM motion, with the typical extended neck angle related to shoulder, wrist, and neck angle variability contributions (33%, 23%, and 21%, respectively). In contrast, the neutral neck angle was moderately corelated to hip variability (32%), while the flexed neck angle showed a dominant reliance on neck angle variability (63%). The results show the strong role of neck angle in the postural variability of the handstand that is mediated by joint angle variability, visual information and tonic reflex support.","container-title":"Journal of Motor Behavior","DOI":"10.1080/00222895.2025.2558711","ISSN":"0022-2895, 1940-1027","issue":"6","journalAbbreviation":"Journal of Motor Behavior","language":"en","page":"768-776","source":"DOI.org (Crossref)","title":"Neck Angle in the Handstand Changes the Pattern of Multi-Joint Variability","volume":"57","author":[{"family":"Farana","given":"Roman"},{"family":"Brtva","given":"Pavel"},{"family":"Irwin","given":"Gareth"},{"family":"Newell","given":"Karl M."}],"issued":{"date-parts":[["2025",11,2]]}}}],"schema":"https://github.com/citation-style-language/schema/raw/master/csl-citation.json"}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[17]</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Além dos ajustes mecânicos, o controle sensorial desempenha um papel determinante na estabilização da postura invertida. Estudos clássicos demonstram que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por ser uma postura não natural, exige uma recalibração dos sistemas visual e vestibular, sendo que indivíduos especialistas apresentam uma menor dependência de informações visuais externas em comparação a novatos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{"citationID":"5XQGFuZD","properties":{"formattedCitation":"[13]","plainCitation":"[13]","dontUpdate":true,"noteIndex":0},"citationItems":[{"id":340,"uris":["http://zotero.org/users/17274952/items/YAEMRNPP"],"itemData":{"id":340,"type":"article-journal","abstract":"Upright bipedal posture is the physiological human posture; however, it is not the only possible form of human standing; indeed, an inverted position, a handstand, is required during gymnastics or other sports. Thus, this study aimed to understand the differences between the two standing strategies from a postural and neuromuscular perspective. Thirteen gymnasts with at least three years of sports experience underwent a baropodometric assessment and a surface electromyography (sEMG) examination in a standard upright bipodalic stance and during a handstand. The sEMG examination was performed on the gastrocnemius during an upright stance and on the ﬂexor carpi radialis during the handstand. Limb weight distribution presented differences between the two vertical stances (p &lt; 0.01). During the handstand, the weight ratio was prevalently observed on the palm of the hand for both hands with a signiﬁcant difference between the front and rear aspect of the hand compared to the standing tasks (p &lt; 0.01). Normalized sEMG amplitude showed signiﬁcant differences during bipedal standing and hand standing; however, over a 5 s period, the normalized median frequency (MDF) value was similar for the two tasks. Both standing tasks presented similar postural weight managing patterns when analysed on the frontal plane, but they were different on the sagittal plane. In addition, the neuromuscular patterns during a 5 s window differ in amplitude but not for the frequency domain.","container-title":"Journal of Functional Morphology and Kinesiology","DOI":"10.3390/jfmk8020040","ISSN":"2411-5142","issue":"2","journalAbbreviation":"JFMK","language":"en","license":"https://creativecommons.org/licenses/by/4.0/","page":"40","source":"DOI.org (Crossref)","title":"Evaluation of Posturographic and Neuromuscular Parameters during Upright Stance and Hand Standing: A Pilot Study","title-short":"Evaluation of Posturographic and Neuromuscular Parameters during Upright Stance and Hand Standing","volume":"8","author":[{"family":"Thomas","given":"Ewan"},{"family":"Rossi","given":"Carlo"},{"family":"Petrigna","given":"Luca"},{"family":"Messina","given":"Giuseppe"},{"family":"Bellafiore","given":"Marianna"},{"family":"Şahin","given":"Fatma Neşe"},{"family":"Proia","given":"Patrizia"},{"family":"Palma","given":"Antonio"},{"family":"Bianco","given":"Antonino"}],"issued":{"date-parts":[["2023",3,30]]}}}],"schema":"https://github.com/citation-style-language/schema/raw/master/csl-citation.json"}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[13],[25]</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A fadiga muscular, como seria de se esperar, tem um grande impacto negativo sobre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sugerindo que quanto maior a resistência muscular, maior a capacidade de manter o equilíbrio nessa posição. Além do efeito físico, destacou-se que a fadiga também tem um fator psicológico, relacionado à percepção de esforço e à redução da concentração, o que pode comprometer a capacidade de manter ajustes finos necessários à estabilidade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{"citationID":"1cwAaJNT","properties":{"formattedCitation":"[19]","plainCitation":"[19]","noteIndex":0},"citationItems":[{"id":339,"uris":["http://zotero.org/users/17274952/items/9539FXDG"],"itemData":{"id":339,"type":"article-journal","container-title":"Journal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[19]</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Outros fatores psicológicos também influenciam na qualidade do equilíbrio: em ginastas com maior ansiedade, observou-se pior desempenho, com maiores oscilações posturais. Já atletas com maior autoconfiança apresentaram</ns0:t>
      </ns0:r>
      <ns0:r>
        <ns0:rPr>
          <ns0:rFonts ns0:ascii="Times New Roman" ns0:hAnsi="Times New Roman" ns0:cs="Times New Roman"/>
          <ns0:color ns0:val="auto"/>
        </ns0:rPr>
        <ns0:t xml:space="preserve"> </ns0:t>
      </ns0:r>
      <ns0:r>
        <ns0:rPr>
          <ns0:rFonts ns0:ascii="Times New Roman" ns0:hAnsi="Times New Roman" ns0:cs="Times New Roman"/>
          <ns0:color ns0:val="auto"/>
        </ns0:rPr>
        <ns0:t xml:space="preserve">maior tempo de sustentação e menor variabilidade postural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{"citationID":"tXKlUqsZ","properties":{"formattedCitation":"[20]","plainCitation":"[20]","noteIndex":0},"citationItems":[{"id":343,"uris":["http://zotero.org/users/17274952/items/L7ZWVBWS"],"itemData":{"id":343,"type":"article-journal","abstract":"Background: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[20]</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Estudos comparando ginastas juniores e seniores demonstraram que a experiência esportiva se traduz em maior estabilidade tanto em pé quanto em posição invertida, indicando que o nível de equilíbrio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funciona como um parâmetro de desenvolvimento técnico e de desempenho competitivo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{"citationID":"4bCNht1k","properties":{"formattedCitation":"[21], [22]","plainCitation":"[21], [22]","noteIndex":0},"citationItems":[{"id":347,"uris":["http://zotero.org/users/17274952/items/2VQLW2EI"],"itemData":{"id":347,"type":"article-journal","abstract":"Purpose: The aim of this study was to compare and analyse of relationships between stability indices registered in two positions: standing and handstand in athletes practicing gymnastics at various levels of advancement. Methods: The study included 46 athletes practicing gymnastics. The research tool was posturograph CQ-Stab 2P. Results: In both standing position and handstand in the seniors there were statistically significantly lower values of such indicators as: sway area delimited by the center of pressure ( p = 0.004, p = 0.014), mean amplitude of COP ( p = 0.021, p = 0.017), mean displacement of the center of feet/hands pressure in medio-lateral direction ( p = 0.011, p = 0.003) and maximal displacement of the center of feet/hands pressure in mediolateral direction ( p = 0.036, p = 0.036). In the standing position, seniors also had statistically significantly lower values of the statokinesiogram path length, both total ( p = 0.000) as well as in anteroposterior ( p = 0.001) and mediolateral ( p = 0.002) directions. In the seniors group there were statistically significant correlations between variables obtained in standing position and handstand. Conclusions: The level of sport advancement significantly differentiates the stability of a body in standing position and handstand. The seniors practicing gymnastics, compared to juniors, are characterized by a better ability to control the position of the body in both positions. The lack of relationships between stability indices registered in standing and handstand in juniors suggests that the analysis of the values of stability indices obtained in a standing position does not provide the possibility of predicting the ability to maintain balance in the handstand during the recruitment of candidates for gymnastics.","container-title":"Acta of Bioengineering and Biomechanics; 02/2018; ISSN 1509-409X","DOI":"10.5277/ABB-01110-2018-02","language":"en","note":"medium: PDF","publisher":"Institute of Machine Design and Operation, Wrocław University of Technology, Wrocław","source":"DOI.org (Datacite)","title":"Balance in handstand and postural stability in standing position in athletes practicing gymnastics","URL":"http://www.actabio.pwr.wroc.pl/Vol20No2/36.pdf","author":[{"family":"Omorczyk","given":"Jarosław"},{"family":"Bujas","given":"Przemysław"},{"family":"Puszczałowska-Lizis","given":"Ewa"},{"family":"Biskup","given":"Leon"}],"accessed":{"date-parts":[["2025",9,3]]},"issued":{"date-parts":[["2018"]]}}},{"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[21], [22]</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ns0:t>
      </ns0:r>
    </ns0:p>
    <ns0:p ns2:paraId="4D72301D">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Em relação ao </ns0:t>
      </ns0:r>
      <ns0:r>
        <ns0:rPr>
          <ns0:rFonts ns0:ascii="Times New Roman" ns0:hAnsi="Times New Roman" ns0:cs="Times New Roman"/>
          <ns0:i/>
          <ns0:iCs/>
          <ns0:color ns0:val="auto"/>
        </ns0:rPr>
        <ns0:t xml:space="preserve">HSW </ns0:t>
      </ns0:r>
      <ns0:r>
        <ns0:rPr>
          <ns0:rFonts ns0:ascii="Times New Roman" ns0:hAnsi="Times New Roman" ns0:cs="Times New Roman"/>
          <ns0:color ns0:val="auto"/>
        </ns0:rPr>
        <ns0:t>estudos demonstram que a iniciação movimento envolve ajustes posturais antecipatórios (</ns0:t>
      </ns0:r>
      <ns0:r>
        <ns0:rPr>
          <ns0:rFonts ns0:ascii="Times New Roman" ns0:hAnsi="Times New Roman" ns0:cs="Times New Roman"/>
          <ns0:i/>
          <ns0:iCs/>
          <ns0:color ns0:val="auto"/>
        </ns0:rPr>
        <ns0:t>APAs</ns0:t>
      </ns0:r>
      <ns0:r>
        <ns0:rPr>
          <ns0:rFonts ns0:ascii="Times New Roman" ns0:hAnsi="Times New Roman" ns0:cs="Times New Roman"/>
          <ns0:color ns0:val="auto"/>
        </ns0:rPr>
        <ns0:t xml:space="preserve">) que promovem um deslocamento intencional do CoP, por estratégias posteriores ou anteriores, para propulsionar o centro de massa (CoM) à frente. Embora essas estratégias preparatórias sejam diferentes, o resultado de execução do passo é similar, sugerindo redundância neuromuscular para alcançar o mesmo objetivo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{"citationID":"X1Ewbspc","properties":{"formattedCitation":"[23]","plainCitation":"[23]","noteIndex":0},"citationItems":[{"id":344,"uris":["http://zotero.org/users/17274952/items/IA4SHZ82"],"itemData":{"id":344,"type":"article-journal","abstract":"Background: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[23]</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Além disso, verificou-se que a aplicação de uma carga externa nos tornozelos não alterou o padrão desses </ns0:t>
      </ns0:r>
      <ns0:r>
        <ns0:rPr>
          <ns0:rFonts ns0:ascii="Times New Roman" ns0:hAnsi="Times New Roman" ns0:cs="Times New Roman"/>
          <ns0:i/>
          <ns0:iCs/>
          <ns0:color ns0:val="auto"/>
        </ns0:rPr>
        <ns0:t>APAs</ns0:t>
      </ns0:r>
      <ns0:r>
        <ns0:rPr>
          <ns0:rFonts ns0:ascii="Times New Roman" ns0:hAnsi="Times New Roman" ns0:cs="Times New Roman"/>
          <ns0:color ns0:val="auto"/>
        </ns0:rPr>
        <ns0:t xml:space="preserve">, mas aumentou a magnitude das forças envolvidas, indicando que os ginastas ajustam a intensidade, e não a forma, da preparação motora para iniciar a locomoção invertida.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{"citationID":"y0h2puxq","properties":{"formattedCitation":"[24]","plainCitation":"[24]","noteIndex":0},"citationItems":[{"id":341,"uris":["http://zotero.org/users/17274952/items/3CGH6KGH"],"itemData":{"id":341,"type":"article-journal","abstract":"Anticipatory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[24]</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Embora a cadência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se assemelhe à da marcha bípede,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é caracterizado por</ns0:t>
      </ns0:r>
      <ns0:r>
        <ns0:rPr>
          <ns0:rFonts ns0:ascii="Times New Roman" ns0:hAnsi="Times New Roman" ns0:cs="Times New Roman"/>
          <ns0:b/>
          <ns0:bCs/>
          <ns0:color ns0:val="auto"/>
        </ns0:rPr>
        <ns0:t xml:space="preserve"> </ns0:t>
      </ns0:r>
      <ns0:r>
        <ns0:rPr>
          <ns0:rFonts ns0:ascii="Times New Roman" ns0:hAnsi="Times New Roman" ns0:cs="Times New Roman"/>
          <ns0:color ns0:val="auto"/>
        </ns0:rPr>
        <ns0:t xml:space="preserve">passos mais curtos, base de suporte alargada e maior tempo em duplo suporte. Atletas mais experientes passam maior tempo em duplo suporte o que sugeriria um maior domínio do movimento ao priorizar um controle prolongado com ambas as mãos no solo, em detrimento de uma propulsão rápida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{"citationID":"tmVeMC2M","properties":{"formattedCitation":"[25]","plainCitation":"[25]","noteIndex":0},"citationItems":[{"id":342,"uris":["http://zotero.org/users/17274952/items/25HVULTT"],"itemData":{"id":342,"type":"article-journal","abstract":"Handwalking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[25]</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Em contraste ao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permanece pouco explorado na literatura científica. Deste modo, identificar preditores de desempenho nessa tarefa complexa representa uma contribuição relevante, pois pode apoiar treinadores e atletas no desenvolvimento de estratégias mais eficazes de preparação física e técnica. </ns0:t>
      </ns0:r>
    </ns0:p>
    <ns0:p ns2:paraId="30AC9ABC">
      <ns0:pPr>
        <ns0:spacing ns0:line="360" ns0:lineRule="auto"/>
        <ns0:ind ns0:firstLine="426"/>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Sendo assim, torna-se relevante examinar de maneira integrada as variáveis que influenciam o desempenho tanto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quanto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considerando sua interação e a diversidade de contextos esportivos. Estudos anteriores já demonstraram que a estabilidade em posição invertida envolve mecanismos neuromotores complexos, incluindo controle postural multissegmentar, ativação coordenada de músculos estabilizadores e mobilizadores, ajustes posturais antecipatórios e compensatórios, e integração sensório-motora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{"citationID":"U3ZsZOYN","properties":{"formattedCitation":"[2], [3], [7], [10]","plainCitation":"[2], [3], [7], [10]","noteIndex":0},"citationItems":[{"id":327,"uris":["http://zotero.org/users/17274952/items/7HMEIQK4"],"itemData":{"id":327,"type":"article-journal","abstract":"Despite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 [3], [7], [10]</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Contudo, a literatura disponível permanece limitada, pois a maioria das pesquisas restringe-se a amostras pequenas de ginastas experientes, negligenciando tanto a diversidade de modalidades quanto a interação entre fatores múltiplos. Além disso, variáveis como deslocamento do centro de pressão (CoP), estratégias de controle do centro de massa (CoM), tempo de sustentação, distância percorrida e força relativa em padrões específicos de empurrar têm sido frequentemente analisadas de forma isolada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{"citationID":"83pEsn7E","properties":{"formattedCitation":"[1], [3], [7], [13]","plainCitation":"[1], [3], [7], [13]","noteIndex":0},"citationItems":[{"id":333,"uris":["http://zotero.org/users/17274952/items/LV8KSPDR"],"itemData":{"id":333,"type":"article-journal","abstract":"Handstand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[1], [3], [7], [13]</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Ao contemplar participantes de diferentes contextos esportivos e investigar essas variáveis de maneira integrada, este estudo busca preencher essa lacuna e ampliar a compreensão sobre os elementos que sustentam a performance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HSW.</ns0:t>
      </ns0:r>
    </ns0:p>
    <ns0:p ns2:paraId="03565C45">
      <ns0:pPr>
        <ns0:spacing ns0:line="360" ns0:lineRule="auto"/>
        <ns0:ind ns0:firstLine="426"/>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rPr>
        <ns0:t xml:space="preserve">Dentre as variáveis de força, a literatura sugere que a estabilidade no </ns0:t>
      </ns0:r>
      <ns0:r>
        <ns0:rPr>
          <ns0:rFonts ns0:ascii="Times New Roman" ns0:hAnsi="Times New Roman" ns0:cs="Times New Roman"/>
          <ns0:i/>
          <ns0:iCs/>
          <ns0:color ns0:val="auto"/>
        </ns0:rPr>
        <ns0:t xml:space="preserve">HS </ns0:t>
      </ns0:r>
      <ns0:r>
        <ns0:rPr>
          <ns0:rFonts ns0:ascii="Times New Roman" ns0:hAnsi="Times New Roman" ns0:cs="Times New Roman"/>
          <ns0:color ns0:val="auto"/>
        </ns0:rPr>
        <ns0:t xml:space="preserve">depende de um equilíbrio ativo entre diferentes grupos musculares, com destaque para a atuação dos flexores de punho (flexor radial do carpo, flexor ulnar do carpo e palmar longo), do tríceps braquial e do deltoide anterior como principais contribuintes para a manutenção da posição invertida e para o controle das oscilações corporais </ns0:t>
      </ns0:r>
      <ns0:r>
        <ns0:rPr>
          <ns0:rFonts ns0:hint="default" ns0:ascii="Times New Roman" ns0:hAnsi="Times New Roman" ns0:eastAsia="Times New Roman" ns0:cs="Times New Roman"/>
          <ns0:color ns0:val="auto"/>
          <ns0:highlight ns0:val="none"/>
          <ns0:lang ns0:val="pt-BR"/>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{"citationID":"YD3gAgGZ","properties":{"unsorted":false,"formattedCitation":"[6], [7]","plainCitation":"[6], [7]","noteIndex":0},"citationItems":[{"id":326,"uris":["http://zotero.org/users/17274952/items/A5MTUBXD"],"itemData":{"id":326,"type":"article-journal","abstract":"Kochanowicz,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ns0:instrText>
      </ns0:r>
      <ns0:r>
        <ns0:rPr>
          <ns0:rFonts ns0:hint="default" ns0:ascii="Times New Roman" ns0:hAnsi="Times New Roman" ns0:eastAsia="Times New Roman" ns0:cs="Times New Roman"/>
          <ns0:color ns0:val="auto"/>
          <ns0:highlight ns0:val="none"/>
          <ns0:lang ns0:val="pt-BR"/>
        </ns0:rPr>
        <ns0:fldChar ns0:fldCharType="separate"/>
      </ns0:r>
      <ns0:r>
        <ns0:rPr>
          <ns0:rFonts ns0:hint="default" ns0:ascii="Times New Roman" ns0:hAnsi="Times New Roman" ns0:eastAsia="Times New Roman" ns0:cs="Times New Roman"/>
          <ns0:color ns0:val="auto"/>
          <ns0:highlight ns0:val="none"/>
          <ns0:lang ns0:val="pt-BR"/>
        </ns0:rPr>
        <ns0:t>[6], [7]</ns0:t>
      </ns0:r>
      <ns0:r>
        <ns0:rPr>
          <ns0:rFonts ns0:hint="default" ns0:ascii="Times New Roman" ns0:hAnsi="Times New Roman" ns0:eastAsia="Times New Roman" ns0:cs="Times New Roman"/>
          <ns0:color ns0:val="auto"/>
          <ns0:highlight ns0:val="none"/>
          <ns0:lang ns0:val="pt-BR"/>
        </ns0:rPr>
        <ns0:fldChar ns0:fldCharType="end"/>
      </ns0:r>
      <ns0:r>
        <ns0:rPr>
          <ns0:rFonts ns0:ascii="Times New Roman" ns0:hAnsi="Times New Roman" ns0:cs="Times New Roman"/>
          <ns0:color ns0:val="auto"/>
        </ns0:rPr>
        <ns0:t xml:space="preserve">. Evidências indicam que a força relativa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quando ajustada à massa corporal, apresenta forte correlação com o desempenho no </ns0:t>
      </ns0:r>
      <ns0:r>
        <ns0:rPr>
          <ns0:rFonts ns0:ascii="Times New Roman" ns0:hAnsi="Times New Roman" ns0:cs="Times New Roman"/>
          <ns0:i/>
          <ns0:iCs/>
          <ns0:color ns0:val="auto"/>
        </ns0:rPr>
        <ns0:t>strict handstand push up</ns0:t>
      </ns0:r>
      <ns0:r>
        <ns0:rPr>
          <ns0:rFonts ns0:ascii="Times New Roman" ns0:hAnsi="Times New Roman" ns0:cs="Times New Roman"/>
          <ns0:color ns0:val="auto"/>
        </ns0:rPr>
        <ns0:t xml:space="preserve"> [36], sugerindo que a força de empurrar acima da cabeça é um componente fundamental para executar movimentos dinâmicos. O que poderia tornar essa capacidade de produção de força máxima acima da cabeça também importante para tarefas de locomoção como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Contudo, quando a demanda passa a ser a manutenção do equilíbrio na parada de mão estática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investigações recentes utilizando modelos de </ns0:t>
      </ns0:r>
      <ns0:r>
        <ns0:rPr>
          <ns0:rFonts ns0:ascii="Times New Roman" ns0:hAnsi="Times New Roman" ns0:cs="Times New Roman"/>
          <ns0:i/>
          <ns0:iCs/>
          <ns0:color ns0:val="auto"/>
        </ns0:rPr>
        <ns0:t xml:space="preserve">machine learning </ns0:t>
      </ns0:r>
      <ns0:r>
        <ns0:rPr>
          <ns0:rFonts ns0:ascii="Times New Roman" ns0:hAnsi="Times New Roman" ns0:cs="Times New Roman"/>
          <ns0:color ns0:val="auto"/>
        </ns0:rPr>
        <ns0:t xml:space="preserve">demonstraram que testes de força geral apresentam acurácia preditiva reduzida (0,44) para determinar o desempenho técnico </ns0:t>
      </ns0:r>
      <ns0:r>
        <ns0:rPr>
          <ns0:rFonts ns0:hint="default" ns0:ascii="Times New Roman" ns0:hAnsi="Times New Roman" ns0:eastAsia="Times New Roman" ns0:cs="Times New Roman"/>
          <ns0:color ns0:val="auto"/>
          <ns0:highlight ns0:val="none"/>
          <ns0:lang ns0:val="pt-BR"/>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{"citationID":"HLB0MNuO","properties":{"unsorted":false,"formattedCitation":"[26]","plainCitation":"[26]","noteIndex":0},"citationItems":[{"id":300,"uris":["http://zotero.org/users/17274952/items/GA9H6F87"],"itemData":{"id":300,"type":"article-journal","abstract":"The present study investigated the relationship between strength capacity and motor performance in the gymnastic handstand. The hypothesis stipulated a positive relationship between motor performance and strength capacity levels. Thirty-two university students, 16 female and 16 male (24.03 ± 4.74 years of age,) participated in the study. The handstand was assessed using the absolute error of the three angles produced by the model (video) and the three angles produced by the performer. We conducted four strength tests: explosive force, maximum right-hand grip strength, maximum left-hand grip strength, and resistance force. The machine learning model was trained using 10 of the folds and cross-validated, and a linear regression test was performed using motor performance (absolute error) and strength tests (explosive force, maximum force right-hand, maximum force left-hand, and resistance force). The results showed that the machine learning model indicated a low relationship between strength capacity and motor performance. Additionally, motor performance was not found to be related to strength capacity. The results may indicate that specific capacities and the interaction of factors such as task specificity, environment, and individual characteristics influence motor performance.","container-title":"Science of Gymnastics Journal","DOI":"10.52165/sgj.16.2.211-223","ISSN":"1855-7171, 2232-2639","issue":"2","journalAbbreviation":"SGJ","language":"en","license":"https://creativecommons.org/licenses/by-sa/4.0","page":"211-223","source":"DOI.org (Crossref)","title":"THE RELATIONSHIP BETWEEN STRENGTH CAPACITY AND MOTOR PERFORMANCE IN THE GYMNASTIC HANDSTAND: A MACHINE LEARNING STUDY","title-short":"THE RELATIONSHIP BETWEEN STRENGTH CAPACITY AND MOTOR PERFORMANCE IN THE GYMNASTIC HANDSTAND","volume":"16","author":[{"family":"Ambrósio","given":"Natália Fontes Alves"},{"family":"Lage","given":"Guilherme Menezes"},{"family":"Bicalho","given":"Lucas Eduardo Antunes"},{"family":"Couto","given":"Crislaine Rangel"},{"family":"Aleixo","given":"Ivana Montandon Soares"},{"family":"Apolinario-Souza","given":"Tercio"}],"issued":{"date-parts":[["2024",6,29]]}}}],"schema":"https://github.com/citation-style-language/schema/raw/master/csl-citation.json"} </ns0:instrText>
      </ns0:r>
      <ns0:r>
        <ns0:rPr>
          <ns0:rFonts ns0:hint="default" ns0:ascii="Times New Roman" ns0:hAnsi="Times New Roman" ns0:eastAsia="Times New Roman" ns0:cs="Times New Roman"/>
          <ns0:color ns0:val="auto"/>
          <ns0:highlight ns0:val="none"/>
          <ns0:lang ns0:val="pt-BR"/>
        </ns0:rPr>
        <ns0:fldChar ns0:fldCharType="separate"/>
      </ns0:r>
      <ns0:r>
        <ns0:rPr>
          <ns0:rFonts ns0:hint="default" ns0:ascii="Times New Roman" ns0:hAnsi="Times New Roman" ns0:eastAsia="Times New Roman" ns0:cs="Times New Roman"/>
          <ns0:color ns0:val="auto"/>
          <ns0:highlight ns0:val="none"/>
          <ns0:lang ns0:val="pt-BR"/>
        </ns0:rPr>
        <ns0:t>[26]</ns0:t>
      </ns0:r>
      <ns0:r>
        <ns0:rPr>
          <ns0:rFonts ns0:hint="default" ns0:ascii="Times New Roman" ns0:hAnsi="Times New Roman" ns0:eastAsia="Times New Roman" ns0:cs="Times New Roman"/>
          <ns0:color ns0:val="auto"/>
          <ns0:highlight ns0:val="none"/>
          <ns0:lang ns0:val="pt-BR"/>
        </ns0:rPr>
        <ns0:fldChar ns0:fldCharType="end"/>
      </ns0:r>
      <ns0:r>
        <ns0:rPr>
          <ns0:rFonts ns0:ascii="Times New Roman" ns0:hAnsi="Times New Roman" ns0:cs="Times New Roman"/>
          <ns0:color ns0:val="auto"/>
        </ns0:rPr>
        <ns0:t xml:space="preserve">. Fato este evidencia que na postura isométrica a força geral atua primordialmente como um limiar de suporte estrutural, justificando  avaliar capacidades neuromusculares com maior especificidade biomecânica à tarefa, como o torque isolado de punho e a preensão manual. Embora estudos prévios tenham reportado correlações entre testes genéricos, como o número de flexões de braço, e o tempo de sustentação no </ns0:t>
      </ns0:r>
      <ns0:r>
        <ns0:rPr>
          <ns0:rFonts ns0:ascii="Times New Roman" ns0:hAnsi="Times New Roman" ns0:cs="Times New Roman"/>
          <ns0:i/>
          <ns0:iCs/>
          <ns0:color ns0:val="auto"/>
        </ns0:rPr>
        <ns0:t xml:space="preserve">HS </ns0:t>
      </ns0:r>
      <ns0:r>
        <ns0:rPr>
          <ns0:rFonts ns0:hint="default" ns0:ascii="Times New Roman" ns0:hAnsi="Times New Roman" ns0:eastAsia="Times New Roman" ns0:cs="Times New Roman"/>
          <ns0:color ns0:val="auto"/>
          <ns0:highlight ns0:val="none"/>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8GvipozL","properties":{"unsorted":false,"formattedCitation":"[27]","plainCitation":"[27]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ns0:instrText>
      </ns0:r>
      <ns0:r>
        <ns0:rPr>
          <ns0:rFonts ns0:hint="default" ns0:ascii="Times New Roman" ns0:hAnsi="Times New Roman" ns0:eastAsia="Times New Roman" ns0:cs="Times New Roman"/>
          <ns0:color ns0:val="auto"/>
          <ns0:highlight ns0:val="none"/>
        </ns0:rPr>
        <ns0:fldChar ns0:fldCharType="separate"/>
      </ns0:r>
      <ns0:r>
        <ns0:rPr>
          <ns0:rFonts ns0:hint="default" ns0:ascii="Times New Roman" ns0:hAnsi="Times New Roman" ns0:eastAsia="Times New Roman" ns0:cs="Times New Roman"/>
          <ns0:color ns0:val="auto"/>
          <ns0:highlight ns0:val="none"/>
          <ns0:lang ns0:val="pt-BR"/>
        </ns0:rPr>
        <ns0:t>[27]</ns0:t>
      </ns0:r>
      <ns0:r>
        <ns0:rPr>
          <ns0:rFonts ns0:hint="default" ns0:ascii="Times New Roman" ns0:hAnsi="Times New Roman" ns0:eastAsia="Times New Roman" ns0:cs="Times New Roman"/>
          <ns0:color ns0:val="auto"/>
          <ns0:highlight ns0:val="none"/>
        </ns0:rPr>
        <ns0:fldChar ns0:fldCharType="end"/>
      </ns0:r>
      <ns0:r>
        <ns0:rPr>
          <ns0:rFonts ns0:ascii="Times New Roman" ns0:hAnsi="Times New Roman" ns0:cs="Times New Roman"/>
          <ns0:color ns0:val="auto"/>
        </ns0:rPr>
        <ns0:t xml:space="preserve">, tais achados estão concentrados em ginastas jovens. Nesta fase do desenvolvimento esportivo, a força de base e a resistência geral ainda atuam como os principais fatores limitadores para a sustentação da massa corporal contra a gravidade </ns0:t>
      </ns0:r>
      <ns0:r>
        <ns0:rPr>
          <ns0:rFonts ns0:hint="default" ns0:ascii="Times New Roman" ns0:hAnsi="Times New Roman" ns0:eastAsia="Times New Roman" ns0:cs="Times New Roman"/>
          <ns0:color ns0:val="auto"/>
          <ns0:highlight ns0:val="none"/>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NAUZjkkb","properties":{"unsorted":false,"formattedCitation":"[28]","plainCitation":"[28]","noteIndex":0},"citationItems":[{"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ns0:instrText>
      </ns0:r>
      <ns0:r>
        <ns0:rPr>
          <ns0:rFonts ns0:hint="default" ns0:ascii="Times New Roman" ns0:hAnsi="Times New Roman" ns0:eastAsia="Times New Roman" ns0:cs="Times New Roman"/>
          <ns0:color ns0:val="auto"/>
          <ns0:highlight ns0:val="none"/>
        </ns0:rPr>
        <ns0:fldChar ns0:fldCharType="separate"/>
      </ns0:r>
      <ns0:r>
        <ns0:rPr>
          <ns0:rFonts ns0:hint="default" ns0:ascii="Times New Roman" ns0:hAnsi="Times New Roman" ns0:eastAsia="Times New Roman" ns0:cs="Times New Roman"/>
          <ns0:color ns0:val="auto"/>
          <ns0:highlight ns0:val="none"/>
          <ns0:lang ns0:val="pt-BR"/>
        </ns0:rPr>
        <ns0:t>[28]</ns0:t>
      </ns0:r>
      <ns0:r>
        <ns0:rPr>
          <ns0:rFonts ns0:hint="default" ns0:ascii="Times New Roman" ns0:hAnsi="Times New Roman" ns0:eastAsia="Times New Roman" ns0:cs="Times New Roman"/>
          <ns0:color ns0:val="auto"/>
          <ns0:highlight ns0:val="none"/>
        </ns0:rPr>
        <ns0:fldChar ns0:fldCharType="end"/>
      </ns0:r>
      <ns0:r>
        <ns0:rPr>
          <ns0:rFonts ns0:ascii="Times New Roman" ns0:hAnsi="Times New Roman" ns0:cs="Times New Roman"/>
          <ns0:color ns0:val="auto"/>
        </ns0:rPr>
        <ns0:t xml:space="preserve">. No entanto, para praticantes adultos e proficientes, extrapolar o desempenho de uma tarefa dinâmica no plano horizontal para justificar o controle estático vertical esbarra na mesma fragilidade preditiva apontada. Além da força máxima, a resistência muscular isométrica constitui um fator crítico, visto que a fadiga cumulativa dos membros superiores compromete a capacidade de realizar os ajustes posturais finos </ns0:t>
      </ns0:r>
      <ns0:r>
        <ns0:rPr>
          <ns0:rFonts ns0:hint="default" ns0:ascii="Times New Roman" ns0:hAnsi="Times New Roman" ns0:eastAsia="Times New Roman" ns0:cs="Times New Roman"/>
          <ns0:color ns0:val="auto"/>
          <ns0:highlight ns0:val="none"/>
          <ns0:lang ns0:val="pt-BR"/>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{"citationID":"mBSVw794","properties":{"unsorted":false,"formattedCitation":"[14], [19]","plainCitation":"[14], [19]","noteIndex":0},"citationItems":[{"id":337,"uris":["http://zotero.org/users/17274952/items/89GK6CG5"],"itemData":{"id":337,"type":"article-journal","abstract":"Background/Objectives: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ns0:instrText>
      </ns0:r>
      <ns0:r>
        <ns0:rPr>
          <ns0:rFonts ns0:hint="default" ns0:ascii="Times New Roman" ns0:hAnsi="Times New Roman" ns0:eastAsia="Times New Roman" ns0:cs="Times New Roman"/>
          <ns0:color ns0:val="auto"/>
          <ns0:highlight ns0:val="none"/>
          <ns0:lang ns0:val="pt-BR"/>
        </ns0:rPr>
        <ns0:fldChar ns0:fldCharType="separate"/>
      </ns0:r>
      <ns0:r>
        <ns0:rPr>
          <ns0:rFonts ns0:hint="default" ns0:ascii="Times New Roman" ns0:hAnsi="Times New Roman" ns0:eastAsia="Times New Roman" ns0:cs="Times New Roman"/>
          <ns0:color ns0:val="auto"/>
          <ns0:highlight ns0:val="none"/>
          <ns0:lang ns0:val="pt-BR"/>
        </ns0:rPr>
        <ns0:t>[14], [19]</ns0:t>
      </ns0:r>
      <ns0:r>
        <ns0:rPr>
          <ns0:rFonts ns0:hint="default" ns0:ascii="Times New Roman" ns0:hAnsi="Times New Roman" ns0:eastAsia="Times New Roman" ns0:cs="Times New Roman"/>
          <ns0:color ns0:val="auto"/>
          <ns0:highlight ns0:val="none"/>
          <ns0:lang ns0:val="pt-BR"/>
        </ns0:rPr>
        <ns0:fldChar ns0:fldCharType="end"/>
      </ns0:r>
      <ns0:r>
        <ns0:rPr>
          <ns0:rFonts ns0:ascii="Times New Roman" ns0:hAnsi="Times New Roman" ns0:cs="Times New Roman"/>
          <ns0:color ns0:val="auto"/>
        </ns0:rPr>
        <ns0:t>. Visto isso, a interação combinada entre resistência muscular específica na inversão, capacidade máxima de força distal e alinhamento articular no desempenho dessas diferentes habilidades permanece inexplorada .</ns0:t>
      </ns0:r>
    </ns0:p>
    <ns0:p ns2:paraId="16D2B967">
      <ns0:pPr>
        <ns0:spacing ns0:line="360" ns0:lineRule="auto"/>
        <ns0:ind ns0:firstLine="426"/>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As variáveis antropométricas, como o comprimento dos membros, a altura do centro de massa (CoM) e a composição corporal, têm sido apontadas pela literatura como potenciais influenciadoras da estabilidade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{"citationID":"YPnn2fvP","properties":{"formattedCitation":"[29], [30]","plainCitation":"[29], [30]","noteIndex":0},"citationItems":[{"id":323,"uris":["http://zotero.org/users/17274952/items/JY2NY8BU"],"itemData":{"id":323,"type":"book","call-number":"612.76","edition":"4th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A."}],"issued":{"date-parts":[["2009"]]}}},{"id":322,"uris":["http://zotero.org/users/17274952/items/MRLWC2VI"],"itemData":{"id":322,"type":"article-journal","abstract":"This study provides a comparative analysis of certain features of upright and inverted stance in collegiate-level competitive gymnastic and diving athletes. A particular focus was the compensatory movement strategies used to maintain inverted stance. The analyses revealed that the motion of the center of pressure was significantly greater in the hand stance as opposed to the upright stance condition. Instability increased over the duration of a 15-s hand stance trial, and it was paralleled by the introduction of a small set of compensatory movement strategies that included enhanced motion at the distal segments of the legs and at the elbow joint. The compensatory movement strategies appeared to be in support of minimizing variability of motion in the head and trunk. The relative contribution of the principal sources of this instability in the hand stance remains to be determined.","container-title":"Journal of Applied Biomechanics","DOI":"10.1123/jab.12.2.185","ISSN":"1065-8483, 1543-2688","issue":"2","page":"185-196","source":"DOI.org (Crossref)","title":"Postural Dynamics in Upright and Inverted Stances","volume":"12","author":[{"family":"Slobounov","given":"Semyon M."},{"family":"Newell","given":"Karl M."}],"issued":{"date-parts":[["1996",5]]}}}],"schema":"https://github.com/citation-style-language/schema/raw/master/csl-citation.json"}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[29], [30]</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Membros superiores mais longos podem atuar como alavancas mecânicas mais eficientes, pois pequenos movimentos articulares em punho ou ombro (pequenos ângulos) resultam em deslocamentos significativos do CoM, o que potencialmente favorece correções posturais mais precisas e econômicas. Além disso, a maior envergadura poderia ampliar a base de apoio, conferindo ganhos adicionais de estabilidade mediolateral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{"citationID":"D1SdbLKD","properties":{"formattedCitation":"[31], [32]","plainCitation":"[31], [32]","noteIndex":0},"citationItems":[{"id":46,"uris":["http://zotero.org/users/17274952/items/J9KKGBUR"],"itemData":{"id":46,"type":"article-journal","abstract":"The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321,"uris":["http://zotero.org/users/17274952/items/XYE5CT4P"],"itemData":{"id":321,"type":"article-journal","abstract":"This study tested the hypotheses that all major joints along the longitudinal axis of the body are equally active during quiet standing and that their motions are coordinated to stabilize the spatial positions of the center of mass (CM) and head. Analyses of the effect of joint configuration variance on the stability of the CM and head positions were performed using the uncontrolled manifold (UCM) approach. Subjects stood quietly with arms folded across their chests for three 5-min trials each with and without vision. The UCM analysis revealed that the six joints examined were coordinated such that their combined variance had minimal effect on the CM and head positions. Removing vision led to a structuring of the resulting increased joint variance such that little of the increase affected stability of the CM and head positions. The results reveal a control strategy involving coordinated variations of most major joints to stabilize variables important to postural control during quiet stance.","container-title":"Journal of Neurophysiology","DOI":"10.1152/jn.01142.2006","ISSN":"0022-3077, 1522-1598","issue":"4","journalAbbreviation":"Journal of Neurophysiology","language":"en","page":"3024-3035","source":"DOI.org (Crossref)","title":"Control and Estimation of Posture During Quiet Stance Depends on Multijoint Coordination","volume":"97","author":[{"family":"Hsu","given":"Wei-Li"},{"family":"Scholz","given":"John P."},{"family":"Schöner","given":"Gregor"},{"family":"Jeka","given":"John J."},{"family":"Kiemel","given":"Tim"}],"issued":{"date-parts":[["2007",4]]}}}],"schema":"https://github.com/citation-style-language/schema/raw/master/csl-citation.json"}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[31], [32]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Por outro lado, membros mais longos também aumentam o braço de momento e, consequentemente, as exigências sobre o controle ativo, o que pode representar uma limitação em situações de maior instabilidade. Já membros inferiores longos elevam a altura do CoM e ampliam o braço de momento gravitacional, exigindo ajustes posturais mais frequentes e precisos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{"citationID":"zVC4VZGQ","properties":{"formattedCitation":"[33]","plainCitation":"[33]","noteIndex":0},"citationItems":[{"id":320,"uris":["http://zotero.org/users/17274952/items/KFMAKKGW"],"itemData":{"id":320,"type":"article-journal","container-title":"PLOS ONE","DOI":"10.1371/journal.pone.0126379","ISSN":"1932-6203","issue":"5","journalAbbreviation":"PLoS ONE","language":"en","page":"e0126379","source":"DOI.org (Crossref)","title":"Models of Postural Control: Shared Variance in Joint and COM Motions","title-short":"Models of Postural Control","volume":"10","author":[{"family":"Kilby","given":"Melissa C."},{"family":"Molenaar","given":"Peter C. M."},{"family":"Newell","given":"Karl M."}],"editor":[{"family":"Haddad","given":"Jeffrey M"}],"issued":{"date-parts":[["2015",5,14]]}}}],"schema":"https://github.com/citation-style-language/schema/raw/master/csl-citation.json"}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[33]</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Quanto à composição corporal, evidências sugerem que maior massa muscular nos membros superiores tende a favorecer a força de sustentação, enquanto níveis mais elevados de adiposidade podem aumentar a inércia corporal e dificultar ajustes finos de equilíbrio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{"citationID":"owvTh3Sb","properties":{"formattedCitation":"[7]","plainCitation":"[7]","noteIndex":0},"citationItems":[{"id":325,"uris":["http://zotero.org/users/17274952/items/V4I6DHIC"],"itemData":{"id":325,"type":"article-journal","abstract":"Insights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[7]</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ns0:t>
      </ns0:r>
    </ns0:p>
    <ns0:p ns2:paraId="2D1F72CB">
      <ns0:pPr>
        <ns0:spacing ns0:line="360" ns0:lineRule="auto"/>
        <ns0:ind ns0:firstLine="426"/>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rPr>
        <ns0:t xml:space="preserve">Adicionalmente, indicadores de controle postural têm sido amplamente empregados para caracterizar a estabilidade em posição invertida.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espera-se que uma maior proficiência e tempo de sustentação estejam associados a menores oscilações do CoP e a uma menor entropia aproximada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refletindo maior regularidade e automaticidade neuromotora </ns0:t>
      </ns0:r>
      <ns0:r>
        <ns0:rPr>
          <ns0:rFonts ns0:hint="default" ns0:ascii="Times New Roman" ns0:hAnsi="Times New Roman" ns0:eastAsia="SimSun" ns0:cs="Times New Roman"/>
          <ns0:color ns0:val="auto"/>
          <ns0:sz ns0:val="24"/>
          <ns0:szCs ns0:val="24"/>
          <ns0:highlight ns0:val="none"/>
          <ns0:lang ns0:val="pt-BR"/>
        </ns0:rPr>
        <ns0:fldChar ns0:fldCharType="begin"/>
      </ns0:r>
      <ns0:r>
        <ns0:rPr>
          <ns0:rFonts ns0:hint="default" ns0:ascii="Times New Roman" ns0:hAnsi="Times New Roman" ns0:eastAsia="SimSun" ns0:cs="Times New Roman"/>
          <ns0:color ns0:val="auto"/>
          <ns0:sz ns0:val="24"/>
          <ns0:szCs ns0:val="24"/>
          <ns0:highlight ns0:val="none"/>
          <ns0:lang ns0:val="pt-BR"/>
        </ns0:rPr>
        <ns0:instrText xml:space="preserve"> ADDIN ZOTERO_ITEM CSL_CITATION {"citationID":"QAf5YWPP","properties":{"unsorted":false,"formattedCitation":"[4]","plainCitation":"[4]","noteIndex":0},"citationItems":[{"id":345,"uris":["http://zotero.org/users/17274952/items/RI8HJ578"],"itemData":{"id":345,"type":"article-journal","abstract":"Abstract\n            \n              The aim of this study was to identify motor control solutions associated with the ability to maintain handstand balance. Using a novel approach, we investigated the dynamical interactions between centre of pressure (CoP) and centre of mass (CoM) motion. A gymnastics cohort was divided into a ‘less skilled’ group, who held handstands for 4–6 s, and a ‘more skilled’ group, who held handstands in excess of 10 s. CoP–CoM causality was investigated in anterior–posterior (AP) and medio-lateral (ML) directions, in addition to time–space, time–frequency and Hurst Exponent (\n              H\n              ) analyses. Lower AP CoP to CoM causal drive and lower\n              H\n              values (&gt; 0.6) indicated the more skilled gymnasts were less reliant on CoP mechanics to drive CoM motion. More skilled performance demonstrated greater adaptability through use of reactive, as opposed to anticipatory, control strategies. Skilled performers additionally exploited mechanical advantages in ML (e.g. a wider base of support), compared to the less skilled athletes. A multiple regression analysis revealed\n              H\n              and frequency domain measures to be better predictors of handstand balance duration than time–space domain measures. The study findings highlight the advantage of an adaptable motor control system with a directional profile, and provide new insight into the clear, measurable footprint of CoP on the dynamics of CoM.","container-title":"Scientific Reports","DOI":"10.1038/s41598-020-79730-z","ISSN":"2045-2322","issue":"1","journalAbbreviation":"Sci Rep","language":"en","page":"405","source":"DOI.org (Crossref)","title":"Bidirectional causal control in the dynamics of handstand balance","volume":"11","author":[{"family":"Wyatt","given":"Hannah E."},{"family":"Vicinanza","given":"Domenico"},{"family":"Newell","given":"Karl M."},{"family":"Irwin","given":"Gareth"},{"family":"Williams","given":"Genevieve K. R."}],"issued":{"date-parts":[["2021",1,11]]}}}],"schema":"https://github.com/citation-style-language/schema/raw/master/csl-citation.json"} </ns0:instrText>
      </ns0:r>
      <ns0:r>
        <ns0:rPr>
          <ns0:rFonts ns0:hint="default" ns0:ascii="Times New Roman" ns0:hAnsi="Times New Roman" ns0:eastAsia="SimSun" ns0:cs="Times New Roman"/>
          <ns0:color ns0:val="auto"/>
          <ns0:sz ns0:val="24"/>
          <ns0:szCs ns0:val="24"/>
          <ns0:highlight ns0:val="none"/>
          <ns0:lang ns0:val="pt-BR"/>
        </ns0:rPr>
        <ns0:fldChar ns0:fldCharType="separate"/>
      </ns0:r>
      <ns0:r>
        <ns0:rPr>
          <ns0:rFonts ns0:hint="default" ns0:ascii="Times New Roman" ns0:hAnsi="Times New Roman" ns0:eastAsia="SimSun" ns0:cs="Times New Roman"/>
          <ns0:color ns0:val="auto"/>
          <ns0:sz ns0:val="24"/>
          <ns0:szCs ns0:val="24"/>
          <ns0:highlight ns0:val="none"/>
          <ns0:lang ns0:val="pt-BR"/>
        </ns0:rPr>
        <ns0:t>[4]</ns0:t>
      </ns0:r>
      <ns0:r>
        <ns0:rPr>
          <ns0:rFonts ns0:hint="default" ns0:ascii="Times New Roman" ns0:hAnsi="Times New Roman" ns0:eastAsia="SimSun" ns0:cs="Times New Roman"/>
          <ns0:color ns0:val="auto"/>
          <ns0:sz ns0:val="24"/>
          <ns0:szCs ns0:val="24"/>
          <ns0:highlight ns0:val="none"/>
          <ns0:lang ns0:val="pt-BR"/>
        </ns0:rPr>
        <ns0:fldChar ns0:fldCharType="end"/>
      </ns0:r>
      <ns0:r>
        <ns0:rPr>
          <ns0:rFonts ns0:ascii="Times New Roman" ns0:hAnsi="Times New Roman" ns0:cs="Times New Roman"/>
          <ns0:color ns0:val="auto"/>
        </ns0:rPr>
        <ns0:t xml:space="preserve"> . No entanto, diferentemente da análise isolada da variabilidade do CoP, que expressa primordialmente a magnitude e a frequência do esforço neuromuscular corretivo aplicado sobre a base de apoio, a distância instantânea entre o CoP e a projeção vertical CoM assume papel central como medida primária do erro real de equilíbrio </ns0:t>
      </ns0:r>
      <ns0:r>
        <ns0:rPr>
          <ns0:rFonts ns0:hint="default" ns0:ascii="Times New Roman" ns0:hAnsi="Times New Roman" ns0:eastAsia="SimSun" ns0:cs="Times New Roman"/>
          <ns0:color ns0:val="auto"/>
          <ns0:sz ns0:val="24"/>
          <ns0:szCs ns0:val="24"/>
          <ns0:highlight ns0:val="none"/>
          <ns0:lang ns0:val="pt-BR"/>
        </ns0:rPr>
        <ns0:fldChar ns0:fldCharType="begin"/>
      </ns0:r>
      <ns0:r>
        <ns0:rPr>
          <ns0:rFonts ns0:hint="default" ns0:ascii="Times New Roman" ns0:hAnsi="Times New Roman" ns0:eastAsia="SimSun" ns0:cs="Times New Roman"/>
          <ns0:color ns0:val="auto"/>
          <ns0:sz ns0:val="24"/>
          <ns0:szCs ns0:val="24"/>
          <ns0:highlight ns0:val="none"/>
          <ns0:lang ns0:val="pt-BR"/>
        </ns0:rPr>
        <ns0:instrText xml:space="preserve"> ADDIN ZOTERO_ITEM CSL_CITATION {"citationID":"TlvMcXaL","properties":{"unsorted":false,"formattedCitation":"[34],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ns0:instrText>
      </ns0:r>
      <ns0:r>
        <ns0:rPr>
          <ns0:rFonts ns0:hint="default" ns0:ascii="Times New Roman" ns0:hAnsi="Times New Roman" ns0:eastAsia="SimSun" ns0:cs="Times New Roman"/>
          <ns0:color ns0:val="auto"/>
          <ns0:sz ns0:val="24"/>
          <ns0:szCs ns0:val="24"/>
          <ns0:highlight ns0:val="none"/>
          <ns0:lang ns0:val="pt-BR"/>
        </ns0:rPr>
        <ns0:fldChar ns0:fldCharType="separate"/>
      </ns0:r>
      <ns0:r>
        <ns0:rPr>
          <ns0:rFonts ns0:hint="default" ns0:ascii="Times New Roman" ns0:hAnsi="Times New Roman" ns0:eastAsia="SimSun" ns0:cs="Times New Roman"/>
          <ns0:color ns0:val="auto"/>
          <ns0:sz ns0:val="24"/>
          <ns0:szCs ns0:val="24"/>
          <ns0:highlight ns0:val="none"/>
          <ns0:lang ns0:val="pt-BR"/>
        </ns0:rPr>
        <ns0:t>[34], [35]</ns0:t>
      </ns0:r>
      <ns0:r>
        <ns0:rPr>
          <ns0:rFonts ns0:hint="default" ns0:ascii="Times New Roman" ns0:hAnsi="Times New Roman" ns0:eastAsia="SimSun" ns0:cs="Times New Roman"/>
          <ns0:color ns0:val="auto"/>
          <ns0:sz ns0:val="24"/>
          <ns0:szCs ns0:val="24"/>
          <ns0:highlight ns0:val="none"/>
          <ns0:lang ns0:val="pt-BR"/>
        </ns0:rPr>
        <ns0:fldChar ns0:fldCharType="end"/>
      </ns0:r>
      <ns0:r>
        <ns0:rPr>
          <ns0:rFonts ns0:ascii="Times New Roman" ns0:hAnsi="Times New Roman" ns0:cs="Times New Roman"/>
          <ns0:color ns0:val="auto"/>
        </ns0:rPr>
        <ns0:t xml:space="preserve">. Sob a ótica do modelo biomecânico do pêndulo invertido, a aceleração horizontal do corpo é diretamente proporcional ao distanciamento espacial entre o CoP e o CoM. Enquanto uma alta oscilação do CoP pode indicar apenas uma atividade muscular intensa (que pode ou não ser eficiente na estabilização), a magnitude da distância CoP-CoM quantifica o braço de momento da força gravitacional: quanto maior esse distanciamento, maior o torque desestabilizador imposto ao sistema e menor a eficiência do controle postural </ns0:t>
      </ns0:r>
      <ns0:r>
        <ns0:rPr>
          <ns0:rFonts ns0:hint="default" ns0:ascii="Times New Roman" ns0:hAnsi="Times New Roman" ns0:eastAsia="SimSun" ns0:cs="Times New Roman"/>
          <ns0:color ns0:val="auto"/>
          <ns0:sz ns0:val="24"/>
          <ns0:szCs ns0:val="24"/>
          <ns0:highlight ns0:val="none"/>
        </ns0:rPr>
        <ns0:fldChar ns0:fldCharType="begin"/>
      </ns0:r>
      <ns0:r>
        <ns0:rPr>
          <ns0:rFonts ns0:hint="default" ns0:ascii="Times New Roman" ns0:hAnsi="Times New Roman" ns0:eastAsia="SimSun" ns0:cs="Times New Roman"/>
          <ns0:color ns0:val="auto"/>
          <ns0:sz ns0:val="24"/>
          <ns0:szCs ns0:val="24"/>
          <ns0:highlight ns0:val="none"/>
          <ns0:lang ns0:val="pt-BR"/>
        </ns0:rPr>
        <ns0:instrText xml:space="preserve"> ADDIN ZOTERO_ITEM CSL_CITATION {"citationID":"KV0wcDFY","properties":{"unsorted":false,"formattedCitation":"[34], [35]","plainCitation":"[34], [35]","noteIndex":0},"citationItems":[{"id":25,"uris":["http://zotero.org/users/17274952/items/BI58LU3J"],"itemData":{"id":25,"type":"article-journal","abstract":"Movements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walking","volume":"3","author":[{"family":"Winter","given":"Da"}],"issued":{"date-parts":[["1995",12]]}}}],"schema":"https://github.com/citation-style-language/schema/raw/master/csl-citation.json"} </ns0:instrText>
      </ns0:r>
      <ns0:r>
        <ns0:rPr>
          <ns0:rFonts ns0:hint="default" ns0:ascii="Times New Roman" ns0:hAnsi="Times New Roman" ns0:eastAsia="SimSun" ns0:cs="Times New Roman"/>
          <ns0:color ns0:val="auto"/>
          <ns0:sz ns0:val="24"/>
          <ns0:szCs ns0:val="24"/>
          <ns0:highlight ns0:val="none"/>
        </ns0:rPr>
        <ns0:fldChar ns0:fldCharType="separate"/>
      </ns0:r>
      <ns0:r>
        <ns0:rPr>
          <ns0:rFonts ns0:hint="default" ns0:ascii="Times New Roman" ns0:hAnsi="Times New Roman" ns0:eastAsia="SimSun" ns0:cs="Times New Roman"/>
          <ns0:color ns0:val="auto"/>
          <ns0:sz ns0:val="24"/>
          <ns0:szCs ns0:val="24"/>
          <ns0:highlight ns0:val="none"/>
          <ns0:lang ns0:val="pt-BR"/>
        </ns0:rPr>
        <ns0:t>[34], [35]</ns0:t>
      </ns0:r>
      <ns0:r>
        <ns0:rPr>
          <ns0:rFonts ns0:hint="default" ns0:ascii="Times New Roman" ns0:hAnsi="Times New Roman" ns0:eastAsia="SimSun" ns0:cs="Times New Roman"/>
          <ns0:color ns0:val="auto"/>
          <ns0:sz ns0:val="24"/>
          <ns0:szCs ns0:val="24"/>
          <ns0:highlight ns0:val="none"/>
        </ns0:rPr>
        <ns0:fldChar ns0:fldCharType="end"/>
      </ns0:r>
      <ns0:r>
        <ns0:rPr>
          <ns0:rFonts ns0:ascii="Times New Roman" ns0:hAnsi="Times New Roman" ns0:cs="Times New Roman"/>
          <ns0:color ns0:val="auto"/>
        </ns0:rPr>
        <ns0:t xml:space="preserve">. </ns0:t>
      </ns0:r>
    </ns0:p>
    <ns0:p ns2:paraId="2A83AF70">
      <ns0:pPr>
        <ns0:spacing ns0:line="360" ns0:lineRule="auto"/>
        <ns0:ind ns0:firstLine="426"/>
        <ns0:rPr>
          <ns0:rFonts ns0:hint="default" ns0:ascii="Times New Roman" ns0:hAnsi="Times New Roman" ns0:eastAsia="Times New Roman" ns0:cs="Times New Roman"/>
          <ns0:color ns0:val="auto"/>
          <ns0:lang ns0:val="pt-BR"/>
        </ns0:rPr>
      </ns0:pPr>
      <ns0:r>
        <ns0:rPr>
          <ns0:rFonts ns0:ascii="Times New Roman" ns0:hAnsi="Times New Roman" ns0:cs="Times New Roman"/>
          <ns0:color ns0:val="auto"/>
        </ns0:rPr>
        <ns0:t xml:space="preserve">A análise cinemática dos ângulos articulares dos punhos, ombros, quadril e cabeça tem sido apontada como relevante, uma vez que o alinhamento segmentar influencia diretamente a distribuição do CoM e as demandas de torque sobre os estabilizadores articulares, podendo determinar estratégias distintas de manutenção do equilíbrio no </ns0:t>
      </ns0:r>
      <ns0:r>
        <ns0:rPr>
          <ns0:rFonts ns0:ascii="Times New Roman" ns0:hAnsi="Times New Roman" ns0:cs="Times New Roman"/>
          <ns0:i/>
          <ns0:iCs/>
          <ns0:color ns0:val="auto"/>
        </ns0:rPr>
        <ns0:t>HS</ns0:t>
      </ns0:r>
      <ns0:r>
        <ns0:rPr>
          <ns0:rFonts ns0:hint="default" ns0:ascii="Times New Roman" ns0:hAnsi="Times New Roman" ns0:eastAsia="Times New Roman" ns0:cs="Times New Roman"/>
          <ns0:i/>
          <ns0:iCs/>
          <ns0:color ns0:val="auto"/>
        </ns0:rPr>
        <ns0:fldChar ns0:fldCharType="begin"/>
      </ns0:r>
      <ns0:r>
        <ns0:rPr>
          <ns0:rFonts ns0:hint="default" ns0:ascii="Times New Roman" ns0:hAnsi="Times New Roman" ns0:eastAsia="Times New Roman" ns0:cs="Times New Roman"/>
          <ns0:i/>
          <ns0:iCs/>
          <ns0:color ns0:val="auto"/>
          <ns0:lang ns0:val="pt-BR"/>
        </ns0:rPr>
        <ns0:instrText xml:space="preserve"> ADDIN ZOTERO_ITEM CSL_CITATION {"citationID":"VriBlMIh","properties":{"formattedCitation":"[1]","plainCitation":"[1]","noteIndex":0},"citationItems":[{"id":333,"uris":["http://zotero.org/users/17274952/items/LV8KSPDR"],"itemData":{"id":333,"type":"article-journal","abstract":"Handstand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ns0:instrText>
      </ns0:r>
      <ns0:r>
        <ns0:rPr>
          <ns0:rFonts ns0:hint="default" ns0:ascii="Times New Roman" ns0:hAnsi="Times New Roman" ns0:eastAsia="Times New Roman" ns0:cs="Times New Roman"/>
          <ns0:i/>
          <ns0:iCs/>
          <ns0:color ns0:val="auto"/>
        </ns0:rPr>
        <ns0:fldChar ns0:fldCharType="separate"/>
      </ns0:r>
      <ns0:r>
        <ns0:rPr>
          <ns0:rFonts ns0:hint="default" ns0:ascii="Times New Roman" ns0:hAnsi="Times New Roman" ns0:cs="Times New Roman"/>
          <ns0:color ns0:val="auto"/>
        </ns0:rPr>
        <ns0:t>[1]</ns0:t>
      </ns0:r>
      <ns0:r>
        <ns0:rPr>
          <ns0:rFonts ns0:hint="default" ns0:ascii="Times New Roman" ns0:hAnsi="Times New Roman" ns0:eastAsia="Times New Roman" ns0:cs="Times New Roman"/>
          <ns0:i/>
          <ns0:iCs/>
          <ns0:color ns0:val="auto"/>
        </ns0:rPr>
        <ns0:fldChar ns0:fldCharType="end"/>
      </ns0:r>
      <ns0:r>
        <ns0:rPr>
          <ns0:rFonts ns0:ascii="Times New Roman" ns0:hAnsi="Times New Roman" ns0:cs="Times New Roman"/>
          <ns0:color ns0:val="auto"/>
        </ns0:rPr>
        <ns0:t xml:space="preserve">. Apesar de amplamente abordado em trabalhos sobre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o alinhamento articular tem sido frequentemente empregado como medida de desempenho e proficiência em populações restritas de ginastas experientes, geralmente com amostras reduzidas. Essa limitação dificulta discernir se a alta proficiência observada decorre de um alinhamento postural ideal ou do elevado volume de prática específica. Evidências apontam que estratégias de controle menos alinhadas também podem resultar em estabilidade satisfatória, desafiando a visão tradicional da ginástica de que a “linha perfeita” entre as articulações é condição indispensável para uma boa manutenção estática e tempo de sustentação do equilíbrio no </ns0:t>
      </ns0:r>
      <ns0:r>
        <ns0:rPr>
          <ns0:rFonts ns0:ascii="Times New Roman" ns0:hAnsi="Times New Roman" ns0:cs="Times New Roman"/>
          <ns0:i/>
          <ns0:iCs/>
          <ns0:color ns0:val="auto"/>
        </ns0:rPr>
        <ns0:t>HS</ns0:t>
      </ns0:r>
      <ns0:r>
        <ns0:rPr>
          <ns0:rFonts ns0:hint="default" ns0:ascii="Times New Roman" ns0:hAnsi="Times New Roman" ns0:eastAsia="Times New Roman" ns0:cs="Times New Roman"/>
          <ns0:i/>
          <ns0:color ns0:val="auto"/>
        </ns0:rPr>
        <ns0:fldChar ns0:fldCharType="begin"/>
      </ns0:r>
      <ns0:r>
        <ns0:rPr>
          <ns0:rFonts ns0:hint="default" ns0:ascii="Times New Roman" ns0:hAnsi="Times New Roman" ns0:eastAsia="Times New Roman" ns0:cs="Times New Roman"/>
          <ns0:i/>
          <ns0:color ns0:val="auto"/>
          <ns0:lang ns0:val="pt-BR"/>
        </ns0:rPr>
        <ns0:instrText xml:space="preserve"> ADDIN ZOTERO_ITEM CSL_CITATION {"citationID":"wKey6hKL","properties":{"formattedCitation":"[2]","plainCitation":"[2]","noteIndex":0},"citationItems":[{"id":327,"uris":["http://zotero.org/users/17274952/items/7HMEIQK4"],"itemData":{"id":327,"type":"article-journal","abstract":"Despite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handstands","volume":"18","author":[{"family":"Rohleder","given":"Jonas"},{"family":"Vogt","given":"Tobias"}],"issued":{"date-parts":[["2018",1,2]]}}}],"schema":"https://github.com/citation-style-language/schema/raw/master/csl-citation.json"} </ns0:instrText>
      </ns0:r>
      <ns0:r>
        <ns0:rPr>
          <ns0:rFonts ns0:hint="default" ns0:ascii="Times New Roman" ns0:hAnsi="Times New Roman" ns0:eastAsia="Times New Roman" ns0:cs="Times New Roman"/>
          <ns0:i/>
          <ns0:color ns0:val="auto"/>
        </ns0:rPr>
        <ns0:fldChar ns0:fldCharType="separate"/>
      </ns0:r>
      <ns0:r>
        <ns0:rPr>
          <ns0:rFonts ns0:hint="default" ns0:ascii="Times New Roman" ns0:hAnsi="Times New Roman" ns0:cs="Times New Roman"/>
          <ns0:color ns0:val="auto"/>
        </ns0:rPr>
        <ns0:t>[2]</ns0:t>
      </ns0:r>
      <ns0:r>
        <ns0:rPr>
          <ns0:rFonts ns0:hint="default" ns0:ascii="Times New Roman" ns0:hAnsi="Times New Roman" ns0:eastAsia="Times New Roman" ns0:cs="Times New Roman"/>
          <ns0:i/>
          <ns0:color ns0:val="auto"/>
        </ns0:rPr>
        <ns0:fldChar ns0:fldCharType="end"/>
      </ns0:r>
      <ns0:r>
        <ns0:rPr>
          <ns0:rFonts ns0:ascii="Times New Roman" ns0:hAnsi="Times New Roman" ns0:cs="Times New Roman"/>
          <ns0:i/>
          <ns0:iCs/>
          <ns0:color ns0:val="auto"/>
        </ns0:rPr>
        <ns0:t>.</ns0:t>
      </ns0:r>
      <ns0:r>
        <ns0:rPr>
          <ns0:rFonts ns0:ascii="Times New Roman" ns0:hAnsi="Times New Roman" ns0:cs="Times New Roman"/>
          <ns0:color ns0:val="auto"/>
        </ns0:rPr>
        <ns0:t xml:space="preserve"> Essa incerteza é ampliada pela escassez de estudos que investiguem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em modalidades além da ginástica artística, nas quais se observam estratégias de equilíbrio eficazes mesmo em alinhamentos distintos. Nesse contexto, a cadeia cinética invertida opera sob papéis funcionais distintos: enquanto os punhos atuam no solo como efetores dinâmicos de alta frequência (</ns0:t>
      </ns0:r>
      <ns0:r>
        <ns0:rPr>
          <ns0:rFonts ns0:ascii="Times New Roman" ns0:hAnsi="Times New Roman" ns0:cs="Times New Roman"/>
          <ns0:i/>
          <ns0:iCs/>
          <ns0:color ns0:val="auto"/>
        </ns0:rPr>
        <ns0:t>wrist strategy</ns0:t>
      </ns0:r>
      <ns0:r>
        <ns0:rPr>
          <ns0:rFonts ns0:ascii="Times New Roman" ns0:hAnsi="Times New Roman" ns0:cs="Times New Roman"/>
          <ns0:color ns0:val="auto"/>
        </ns0:rPr>
        <ns0:t xml:space="preserve">, análoga ao tornozelo na postura ereta) </ns0:t>
      </ns0:r>
      <ns0:r>
        <ns0:rPr>
          <ns0:rFonts ns0:hint="default" ns0:ascii="Times New Roman" ns0:hAnsi="Times New Roman" ns0:eastAsia="Times New Roman" ns0:cs="Times New Roman"/>
          <ns0:color ns0:val="auto"/>
          <ns0:lang ns0:val="pt-BR"/>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{"citationID":"MANojoAF","properties":{"unsorted":false,"formattedCitation":"[2], [3], [7]","plainCitation":"[2], [3], [7]","noteIndex":0},"citationItems":[{"id":327,"uris":["http://zotero.org/users/17274952/items/7HMEIQK4"],"itemData":{"id":327,"type":"article-journal","abstract":"Despite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J."}],"issued":{"date-parts":[["2017",7]]}}}],"schema":"https://github.com/citation-style-language/schema/raw/master/csl-citation.json"} </ns0:instrText>
      </ns0:r>
      <ns0:r>
        <ns0:rPr>
          <ns0:rFonts ns0:hint="default" ns0:ascii="Times New Roman" ns0:hAnsi="Times New Roman" ns0:eastAsia="Times New Roman" ns0:cs="Times New Roman"/>
          <ns0:color ns0:val="auto"/>
          <ns0:lang ns0:val="pt-BR"/>
        </ns0:rPr>
        <ns0:fldChar ns0:fldCharType="separate"/>
      </ns0:r>
      <ns0:r>
        <ns0:rPr>
          <ns0:rFonts ns0:hint="default" ns0:ascii="Times New Roman" ns0:hAnsi="Times New Roman" ns0:eastAsia="Times New Roman" ns0:cs="Times New Roman"/>
          <ns0:color ns0:val="auto"/>
          <ns0:lang ns0:val="pt-BR"/>
        </ns0:rPr>
        <ns0:t>[2], [3], [7]</ns0:t>
      </ns0:r>
      <ns0:r>
        <ns0:rPr>
          <ns0:rFonts ns0:hint="default" ns0:ascii="Times New Roman" ns0:hAnsi="Times New Roman" ns0:eastAsia="Times New Roman" ns0:cs="Times New Roman"/>
          <ns0:color ns0:val="auto"/>
          <ns0:lang ns0:val="pt-BR"/>
        </ns0:rPr>
        <ns0:fldChar ns0:fldCharType="end"/>
      </ns0:r>
      <ns0:r>
        <ns0:rPr>
          <ns0:rFonts ns0:ascii="Times New Roman" ns0:hAnsi="Times New Roman" ns0:cs="Times New Roman"/>
          <ns0:color ns0:val="auto"/>
        </ns0:rPr>
        <ns0:t>, ombros e quadril definem o empilhamento articular do tronco (</ns0:t>
      </ns0:r>
      <ns0:r>
        <ns0:rPr>
          <ns0:rFonts ns0:ascii="Times New Roman" ns0:hAnsi="Times New Roman" ns0:cs="Times New Roman"/>
          <ns0:i/>
          <ns0:iCs/>
          <ns0:color ns0:val="auto"/>
        </ns0:rPr>
        <ns0:t>joint stacking</ns0:t>
      </ns0:r>
      <ns0:r>
        <ns0:rPr>
          <ns0:rFonts ns0:ascii="Times New Roman" ns0:hAnsi="Times New Roman" ns0:cs="Times New Roman"/>
          <ns0:color ns0:val="auto"/>
        </ns0:rPr>
        <ns0:t xml:space="preserve">), onde restrições de mobilidade exigem compensações na curvatura lombar </ns0:t>
      </ns0:r>
      <ns0:r>
        <ns0:rPr>
          <ns0:rFonts ns0:hint="default" ns0:ascii="Times New Roman" ns0:hAnsi="Times New Roman" ns0:eastAsia="Times New Roman" ns0:cs="Times New Roman"/>
          <ns0:color ns0:val="auto"/>
          <ns0:lang ns0:val="pt-BR"/>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{"citationID":"T3WYhzbW","properties":{"unsorted":false,"formattedCitation":"[1], [14]","plainCitation":"[1], [14]","noteIndex":0},"citationItems":[{"id":337,"uris":["http://zotero.org/users/17274952/items/89GK6CG5"],"itemData":{"id":337,"type":"article-journal","abstract":"Background/Objectives: The handstand is an exercise performed in many sports, either for its own sake or as part of physical training. Unlike the upright bipedal standing posture, little is known about the sagittal alignment and balance of the spine during a handstand, which may hinder coaching and reduce the benefits of this exercise if not performed correctly. The purpose of this study was to quantify the sagittal alignment and balance of the spine during a handstand using radiographic images to characterize the strategies employed by the spino-pelvic complex during this posture. Methods: Nineteen national-level artistic gymnasts participated in this study and underwent a lowdose biplanar (frontal and lateral) radiograph in both upright bipedal standing posture and during a handstand. Then, 3D reconstruction of the spine, based on biplanar radiographic images, enabled the determination of key pelvic (pelvic incidence, sacral slope, pelvic tilt) and spinal (lumbar lordosis, thoracic kyphosis, T9 sagittal offset) parameters in both postures. Results: The results showed that most gymnasts performed pelvic retroversion during the handstand, which was accompanied by an average decrease in lumbar lordosis, thoracic kyphosis, and T9 sagittal offset. Additionally, lumbar curvature was found to depend on pelvic orientation in upright bipedal standing posture, whereas it was associated with the thoracic spine during the handstand. Conclusions: This study provides new insights into how the spine kinematically adapts to an inverted body load. The results may help coaches and physiotherapists in teaching the handstand or using it to rehabilitate and strengthen the spine through the handstand posture.","container-title":"Journal of Functional Morphology and Kinesiology","DOI":"10.3390/jfmk9040252","ISSN":"2411-5142","issue":"4","journalAbbreviation":"JFMK","language":"en","license":"https://creativecommons.org/licenses/by/4.0/","page":"252","source":"DOI.org (Crossref)","title":"Spine Kinematics Behavior During the Handstand Posture: A Biplanar Radiographic Analysis","title-short":"Spine Kinematics Behavior During the Handstand Posture","volume":"9","author":[{"family":"Eyssartier","given":"Camille"},{"family":"Billard","given":"Pierre"},{"family":"Thoreux","given":"Patricia"},{"family":"Sauret","given":"Christophe"}],"issued":{"date-parts":[["2024",12,3]]}}},{"id":333,"uris":["http://zotero.org/users/17274952/items/LV8KSPDR"],"itemData":{"id":333,"type":"article-journal","abstract":"Handstand is a basic element common across gymnastic disciplines and physical education classes that is frequently evaluated for quality in competition or skill acquisition. The correct handstand execution relies on maintaining balance, for which the shoulders seem particularly important. This study explores the relationship between shoulder joint function and the quality of handstand execution in novice college athletes (n = 111; aged 19–23 years). We assessed the shoulder joint function using standardized field tests (Upper Quarter Y Balance Test and Closed Kinetic Chain Upper Extremity Stability Test) and evaluated handstand execution on official rating scale. Ordinal logistic regression models showed no relationship between the quality of handstand execution (E-score) and measures of shoulder joint stability or mobility in our sample (POR = 0.97 [0.91, 1.03] and 1.00 [0.91, 1.09] for E-score). Two major factors may have caused an observed pattern of results. Firstly, the standardized tests assess shoulder joints in different loads and ranges of motion compared to handstands. Secondly, our novice sample was not able to perform the handstand sufficiently well. In our sample of novice college athletes, shoulder function seems not related to handstand execution as other latent factors hindered their performance.","container-title":"PLOS ONE","DOI":"10.1371/journal.pone.0302922","ISSN":"1932-6203","issue":"5","journalAbbreviation":"PLoS ONE","language":"en","page":"e0302922","source":"DOI.org (Crossref)","title":"Are the shoulder joint function, stability, and mobility tests predictive of handstand execution?","volume":"19","author":[{"family":"Malíř","given":"Roman"},{"family":"Chrudimský","given":"Jan"},{"family":"Provazník","given":"Adam"},{"family":"Třebický","given":"Vít"}],"editor":[{"family":"Shaheen","given":"Aliah Faisal"}],"issued":{"date-parts":[["2024",5,13]]}}}],"schema":"https://github.com/citation-style-language/schema/raw/master/csl-citation.json"} </ns0:instrText>
      </ns0:r>
      <ns0:r>
        <ns0:rPr>
          <ns0:rFonts ns0:hint="default" ns0:ascii="Times New Roman" ns0:hAnsi="Times New Roman" ns0:eastAsia="Times New Roman" ns0:cs="Times New Roman"/>
          <ns0:color ns0:val="auto"/>
          <ns0:lang ns0:val="pt-BR"/>
        </ns0:rPr>
        <ns0:fldChar ns0:fldCharType="separate"/>
      </ns0:r>
      <ns0:r>
        <ns0:rPr>
          <ns0:rFonts ns0:hint="default" ns0:ascii="Times New Roman" ns0:hAnsi="Times New Roman" ns0:eastAsia="Times New Roman" ns0:cs="Times New Roman"/>
          <ns0:color ns0:val="auto"/>
          <ns0:lang ns0:val="pt-BR"/>
        </ns0:rPr>
        <ns0:t>[1], [14]</ns0:t>
      </ns0:r>
      <ns0:r>
        <ns0:rPr>
          <ns0:rFonts ns0:hint="default" ns0:ascii="Times New Roman" ns0:hAnsi="Times New Roman" ns0:eastAsia="Times New Roman" ns0:cs="Times New Roman"/>
          <ns0:color ns0:val="auto"/>
          <ns0:lang ns0:val="pt-BR"/>
        </ns0:rPr>
        <ns0:fldChar ns0:fldCharType="end"/>
      </ns0:r>
      <ns0:r>
        <ns0:rPr>
          <ns0:rFonts ns0:ascii="Times New Roman" ns0:hAnsi="Times New Roman" ns0:cs="Times New Roman"/>
          <ns0:color ns0:val="auto"/>
        </ns0:rPr>
        <ns0:t>. Paralelamente, na extremidade oposta, a flexão plantar ativa (“ponta de pé”) promove irradiação motora e coativação nos membros inferiores, convertendo o corpo em um pêndulo rígido de haste única (</ns0:t>
      </ns0:r>
      <ns0:r>
        <ns0:rPr>
          <ns0:rFonts ns0:ascii="Times New Roman" ns0:hAnsi="Times New Roman" ns0:cs="Times New Roman"/>
          <ns0:i/>
          <ns0:iCs/>
          <ns0:color ns0:val="auto"/>
        </ns0:rPr>
        <ns0:t>single-link</ns0:t>
      </ns0:r>
      <ns0:r>
        <ns0:rPr>
          <ns0:rFonts ns0:ascii="Times New Roman" ns0:hAnsi="Times New Roman" ns0:cs="Times New Roman"/>
          <ns0:color ns0:val="auto"/>
        </ns0:rPr>
        <ns0:t xml:space="preserve">)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{"citationID":"hGLfcr0G","properties":{"unsorted":false,"formattedCitation":"[28],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[28], [31]</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Em contraste, tornozelos neutros ou relaxados (comuns no </ns0:t>
      </ns0:r>
      <ns0:r>
        <ns0:rPr>
          <ns0:rFonts ns0:ascii="Times New Roman" ns0:hAnsi="Times New Roman" ns0:cs="Times New Roman"/>
          <ns0:i/>
          <ns0:iCs/>
          <ns0:color ns0:val="auto"/>
        </ns0:rPr>
        <ns0:t>CrossFit e Calistenia</ns0:t>
      </ns0:r>
      <ns0:r>
        <ns0:rPr>
          <ns0:rFonts ns0:ascii="Times New Roman" ns0:hAnsi="Times New Roman" ns0:cs="Times New Roman"/>
          <ns0:color ns0:val="auto"/>
        </ns0:rPr>
        <ns0:t>) induzem um comportamento multiarticulado (</ns0:t>
      </ns0:r>
      <ns0:r>
        <ns0:rPr>
          <ns0:rFonts ns0:ascii="Times New Roman" ns0:hAnsi="Times New Roman" ns0:cs="Times New Roman"/>
          <ns0:i/>
          <ns0:iCs/>
          <ns0:color ns0:val="auto"/>
        </ns0:rPr>
        <ns0:t>multi-link)</ns0:t>
      </ns0:r>
      <ns0:r>
        <ns0:rPr>
          <ns0:rFonts ns0:ascii="Times New Roman" ns0:hAnsi="Times New Roman" ns0:cs="Times New Roman"/>
          <ns0:color ns0:val="auto"/>
        </ns0:rPr>
        <ns0:t>, gerando oscilações inerciais distais que podem sobrecarregar os mecanismos de controle postural na base. Avaliar essas configurações segmentares esclarecerá se a verticalidade estrita e a rigidez distal são indispensáveis ou se estratégias adaptativas sustentam estabilidade equivalente entre modalidades.</ns0:t>
      </ns0:r>
    </ns0:p>
    <ns0:p ns2:paraId="18EE1F6D">
      <ns0:pPr>
        <ns0:spacing ns0:line="360" ns0:lineRule="auto"/>
        <ns0:ind ns0:firstLine="426"/>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o tempo máximo de sustentação tem sido utilizado como parâmetro de desempenho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{"citationID":"DjmdKVKH","properties":{"formattedCitation":"[2], [20], [22], [27]","plainCitation":"[2], [20], [22], [27]","noteIndex":0},"citationItems":[{"id":327,"uris":["http://zotero.org/users/17274952/items/7HMEIQK4"],"itemData":{"id":327,"type":"article-journal","abstract":"Despite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343,"uris":["http://zotero.org/users/17274952/items/L7ZWVBWS"],"itemData":{"id":343,"type":"article-journal","abstract":"Background: The aim of this study was analyze relations between postural stability indices and selected psychological factors in athletes practicing artistic gymnastics.","container-title":"Baltic Journal of Health and Physical Activity","DOI":"10.29359/BJHPA.11.4.11","ISSN":"20809999","journalAbbreviation":"BJHPA","language":"en","page":"96-106","source":"DOI.org (Crossref)","title":"Relationships between postural stability in standing and handstand and psychological factors in athletes practicing artistic gymnastics","author":[{"family":"Omorczyk","given":"Jaroslaw"},{"family":"Zajac","given":"Agnieszka"},{"family":"Puszczalowska-Lizis","given":"Ewa"}],"issued":{"date-parts":[["2019",12,31]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id":319,"uris":["http://zotero.org/users/17274952/items/PUS5K2KW"],"itemData":{"id":319,"type":"article-journal","issue":"10","language":"en","source":"Zotero","title":"Influence of Strength Abilities on Quality of the Handstand","volume":"7","author":[{"family":"Hedbávný","given":"P"},{"family":"Bago","given":"G"},{"family":"Kalichová","given":"M"}],"issued":{"date-parts":[["2013"]]}}}],"schema":"https://github.com/citation-style-language/schema/raw/master/csl-citation.json"}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[2], [20], [22], [27]</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Enquanto que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os poucos estudos publicados até o momento concentraram-se em aspectos de desempenho a partir de parâmetros iniciais do deslocamento e de controle motor, como as</ns0:t>
      </ns0:r>
      <ns0:r>
        <ns0:rPr>
          <ns0:rFonts ns0:ascii="Times New Roman" ns0:hAnsi="Times New Roman" ns0:cs="Times New Roman"/>
          <ns0:b/>
          <ns0:bCs/>
          <ns0:color ns0:val="auto"/>
        </ns0:rPr>
        <ns0:t xml:space="preserve"> </ns0:t>
      </ns0:r>
      <ns0:r>
        <ns0:rPr>
          <ns0:rFonts ns0:ascii="Times New Roman" ns0:hAnsi="Times New Roman" ns0:cs="Times New Roman"/>
          <ns0:b ns0:val="0"/>
          <ns0:bCs ns0:val="0"/>
          <ns0:color ns0:val="auto"/>
        </ns0:rPr>
        <ns0:t xml:space="preserve">forças de reação ao solo, coordenação intersegmentar e </ns0:t>
      </ns0:r>
      <ns0:r>
        <ns0:rPr>
          <ns0:rFonts ns0:ascii="Times New Roman" ns0:hAnsi="Times New Roman" ns0:cs="Times New Roman"/>
          <ns0:b ns0:val="0"/>
          <ns0:bCs ns0:val="0"/>
          <ns0:i/>
          <ns0:iCs/>
          <ns0:color ns0:val="auto"/>
        </ns0:rPr>
        <ns0:t>APAs</ns0:t>
      </ns0:r>
      <ns0:r>
        <ns0:rPr>
          <ns0:rFonts ns0:ascii="Times New Roman" ns0:hAnsi="Times New Roman" ns0:cs="Times New Roman"/>
          <ns0:b ns0:val="0"/>
          <ns0:bCs ns0:val="0"/>
          <ns0:color ns0:val="auto"/>
        </ns0:rPr>
        <ns0:t xml:space="preserve"> no momento da saída</ns0:t>
      </ns0:r>
      <ns0:r>
        <ns0:rPr>
          <ns0:rFonts ns0:ascii="Times New Roman" ns0:hAnsi="Times New Roman" ns0:cs="Times New Roman"/>
          <ns0:color ns0:val="auto"/>
        </ns0:rPr>
        <ns0:t xml:space="preserv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{"citationID":"a4K8YdQy","properties":{"formattedCitation":"[23]","plainCitation":"[23]","noteIndex":0},"citationItems":[{"id":344,"uris":["http://zotero.org/users/17274952/items/IA4SHZ82"],"itemData":{"id":344,"type":"article-journal","abstract":"Background: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[23]</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os efeitos de cargas adicionais sobre </ns0:t>
      </ns0:r>
      <ns0:r>
        <ns0:rPr>
          <ns0:rFonts ns0:ascii="Times New Roman" ns0:hAnsi="Times New Roman" ns0:cs="Times New Roman"/>
          <ns0:i/>
          <ns0:iCs/>
          <ns0:color ns0:val="auto"/>
        </ns0:rPr>
        <ns0:t>APAs</ns0:t>
      </ns0:r>
      <ns0:r>
        <ns0:rPr>
          <ns0:rFonts ns0:ascii="Times New Roman" ns0:hAnsi="Times New Roman" ns0:cs="Times New Roman"/>
          <ns0:color ns0:val="auto"/>
        </ns0:rPr>
        <ns0:t xml:space="preserv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{"citationID":"hx7Pj605","properties":{"formattedCitation":"[24]","plainCitation":"[24]","noteIndex":0},"citationItems":[{"id":341,"uris":["http://zotero.org/users/17274952/items/3CGH6KGH"],"itemData":{"id":341,"type":"article-journal","abstract":"Anticipatory postural adjustments (APAs) are responsible for a successful first step execution in handstand walking. This study evaluates gymnasts’ ability to adapt their APAs and stepping parameters in response to adding/removing an external load over repeated handstand walking initiation trials. Eighteen gymnasts performed five handstand walking initiation trials without load (PRE), eight trials with an external load (LOAD) and five trials with removed load (POST). Force platforms and a motion capture system were used to quantify mechanical parameters from the anticipatory phase and the stepping phase. During the first LOAD trial, APAs did not change, however, the step height decreased by 0.56 cm compared to PRE (p = 0.007). During the second and third LOAD trials, the mediolateral center of pressure APAs increased by 2.0 cm (p = 0.01) and 2.3 cm (p = 0.01) compared to the first LOAD trial, while the step parameters returned to baseline. The removed load did not change APAs, while the step parameters were initially altered and then returned to baseline. Results show gymnasts’ ability to modify their APAs over repeated trials to adapt to an external load, enabling them to initiate accurate forward steps. Training exercises should target handstand walking preparatory mechanisms for a smooth transition between handstand and stepping.","container-title":"Journal of Sports Sciences","DOI":"10.1080/02640414.2025.2458995","ISSN":"0264-0414, 1466-447X","issue":"4","journalAbbreviation":"Journal of Sports Sciences","language":"en","page":"370-380","source":"DOI.org (Crossref)","title":"Effects of an external load on anticipatory mechanisms of handstand walking initiation in experienced gymnasts","volume":"43","author":[{"family":"Grabowiecki","given":"Michal"},{"family":"Rum","given":"Lorenzo"},{"family":"Laudani","given":"Luca"},{"family":"Vannozzi","given":"Giuseppe"}],"issued":{"date-parts":[["2025",2,16]]}}}],"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[24]</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e comparações de coordenação com a marcha bípede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{"citationID":"xceGd1LY","properties":{"formattedCitation":"[25]","plainCitation":"[25]","noteIndex":0},"citationItems":[{"id":342,"uris":["http://zotero.org/users/17274952/items/25HVULTT"],"itemData":{"id":342,"type":"article-journal","abstract":"Handwalking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[25]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Sendo assim, avaliar também variáveis espaço-temporais, como distância percorrida, tempo de execução e velocidade média, poderiam oferecer uma visão mais integrada e completa dos padrões de deslocamento.  Verificou-se que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apresenta um padrão de locomoção semelhante à marcha bípede, mas com passos mais curtos, base de apoio alargada e maior tempo em duplo suporte, característica que aumenta com o nível de habilidade dentro da ginástica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{"citationID":"H3D9CMAC","properties":{"formattedCitation":"[25]","plainCitation":"[25]","noteIndex":0},"citationItems":[{"id":342,"uris":["http://zotero.org/users/17274952/items/25HVULTT"],"itemData":{"id":342,"type":"article-journal","abstract":"Handwalking is a skilled movement that many, if not most, individuals never master. However, mastery of handwalking is critical to successfully compete in gymnastics. Understanding the patterns of movement employed to achieve handwalking may provide insights into the coordination of handwalking and strategies that may be effective for improving handwalking performance. The aim of this study was to characterize the spatiotemporal features of handwalking in gymnasts, compare these features to those of typical walking, and determine how these features vary as a function of skill level. Nineteen gymnasts performed handwalking and bipedal walking trials on a computerized walkway. Participants used nearly identical cadences for handwalking and bipedal walking. Differences between handwalking and bipedal walking included shorter strides, a wider base of support, and more time spent in double support during handwalking. The increase in double support time may be a strategy adopted to enhance stability, as level of gymnastics skill was positively correlated with the amount of time spent in double support, i.e. with both hands in contact with the ground, during handwalking. Coaching strategies that encourage increasing the amount of time spent with both hands in contact with the floor may be advisable to improve handwalking performance.","issue":"2","language":"en","source":"Zotero","title":"COORDINATION OF HANDWALKING IN GYMNASTS: A COMPARISON TO BIPEDAL WALKING","volume":"2","author":[{"family":"Earhart","given":"Gammon M"},{"family":"Mosiman","given":"Callie"}]}}],"schema":"https://github.com/citation-style-language/schema/raw/master/csl-citation.json"}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[25]</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Além disso, a cadência, comprimento médio das passadas, tempo de contato das mãos com o solo, tempo em duplo suporte e variabilidade entre passadas poderão ser coletados em conjunto com os outros parâmetros e caracterizar não apenas o desempenho total, mas também as estratégias motoras específicas adotadas em diferentes modalidades. Por exemplo, manter contato prolongado com ambas as mãos no solo poderia facilitar a transição para o movimento dinâmico priorizando estabilidade mediolateral, melhorando a previsão e o controle de perturbações durante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ao passo que passadas mais curtas e rápidas podem indicar estratégias voltadas à propulsão e velocidade. Nesse contexto, o tempo máximo de sustentação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poderia influenciar também nos parâmetros espaço-temporais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sugerindo uma possível transferência de habilidades entre as condições estática e dinâmica.</ns0:t>
      </ns0:r>
    </ns0:p>
    <ns0:p ns2:paraId="023853DF">
      <ns0:pPr>
        <ns0:spacing ns0:line="360" ns0:lineRule="auto"/>
        <ns0:ind ns0:firstLine="426"/>
        <ns0:rPr>
          <ns0:rFonts ns0:hint="default" ns0:ascii="Times New Roman" ns0:hAnsi="Times New Roman" ns0:cs="Times New Roman"/>
          <ns0:color ns0:val="auto"/>
        </ns0:rPr>
      </ns0:pPr>
      <ns0:r>
        <ns0:rPr>
          <ns0:rFonts ns0:ascii="Times New Roman" ns0:hAnsi="Times New Roman" ns0:cs="Times New Roman"/>
          <ns0:color ns0:val="auto"/>
        </ns0:rPr>
        <ns0:t xml:space="preserve">O tempo de prática na modalidade em que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é treinado parece exercer papel importante na estabilidade e no controle postural. Estudos indicam que a experiência esportiva está diretamente associada à estabilidade, tanto em pé quanto em posição invertida, sendo ginastas seniores mais estáveis do que juniores em tarefas de equilíbrio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{"citationID":"aD1c6zGB","properties":{"formattedCitation":"[22]","plainCitation":"[22]","noteIndex":0},"citationItems":[{"id":335,"uris":["http://zotero.org/users/17274952/items/3VJT24K4"],"itemData":{"id":335,"type":"article-journal","abstract":"Background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No contexto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maior tempo de prática tende a refletir não apenas em maior resistência de sustentação e controle postural estático, mas também em proficiência no deslocamento em inversão. A idade cronológica também pode influenciar a capacidade de equilíbrio invertido, refletindo o desenvolvimento e a manutenção do controle postural ao longo da vida adulta. Evidências indicam que a estabilização postural atinge seu ápice entre 18 e 30 anos, mantendo-se relativamente estável até cerca dos 40 anos, quando fatores como redução da força muscular, declínio da integração sensorial e alterações na propriocepção passam a impactar de forma mais significativa o controle postural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{"citationID":"q8q8Ieeo","properties":{"formattedCitation":"[36], [37]","plainCitation":"[36], [37]","noteIndex":0},"citationItems":[{"id":318,"uris":["http://zotero.org/users/17274952/items/VBUIJ4XH"],"itemData":{"id":318,"type":"article-journal","abstract":"Certain aspects of balance control change with age, resulting in a slight postural instability. We examined healthy subjects between 20-82 years of age during the quiet stance under static conditions: at stance on a firm surface and/or on a compliant surface with eyes either open or closed. Body sway was evaluated from centre of foot pressure (CoP) positions during a 50 sec interval. The seven CoP parameters were evaluated to assess quiet stance and were analyzed in three age groups: juniors, middle-aged and seniors. The regression analysis showed evident increase of body sway over 60 years of age. We found that CoP parameters were significantly different when comparing juniors and seniors in all static conditions. The most sensitive view on postural steadiness during quiet stance was provided by CoP amplitude and velocity in AP direction and root mean square (RMS) of statokinesigram. New physiological ranges of RMS parameter in each condition for each age group of healthy subjects were determined. Our results showed that CoP data from force platform in quiet stance may indicate small balance impairment due to age. The determined physiological ranges of RMS will be useful for better distinguishing between small postural instability due to aging in contrast to pathological processes in the human postural control.","container-title":"Physiological Research","DOI":"10.33549/physiolres.931238","ISSN":"1802-9973, 0862-8408","journalAbbreviation":"Physiol Res","language":"en","page":"957-964","source":"DOI.org (Crossref)","title":"Age-related changes of human balance during quiet stance","author":[{"family":"Abrahamová","given":"D"},{"family":"Hlavačka","given":"F"}],"issued":{"date-parts":[["2008"]]}}},{"id":317,"uris":["http://zotero.org/users/17274952/items/PNSQRZAW"],"itemData":{"id":317,"type":"article-journal","container-title":"The Journals of Gerontology Series A: Biological Sciences and Medical Sciences","DOI":"10.1093/gerona/60.5.627","ISSN":"1079-5006, 1758-535X","issue":"5","journalAbbreviation":"The Journals of Gerontology Series A: Biological Sciences and Medical Sciences","language":"en","page":"627-632","source":"DOI.org (Crossref)","title":"Effect of Age on Characteristics of Forward and Backward Gait at Preferred and Accelerated Walking Speed","volume":"60","author":[{"family":"Laufer","given":"Y."}],"issued":{"date-parts":[["2005",5,1]]}}}],"schema":"https://github.com/citation-style-language/schema/raw/master/csl-citation.json"}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[36], [37]</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Embora a idade cronológica naturalmente poderia influenciar a capacidade de equilíbrio invertido, a proficiência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pode ser menos limitada por esses fatores biológicos.  Isso porque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é uma habilidade motora complexa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{"citationID":"kKMlxHTD","properties":{"formattedCitation":"[5], [13]","plainCitation":"[5], [13]","noteIndex":0},"citationItems":[{"id":51,"uris":["http://zotero.org/users/17274952/items/6I25TH2Q"],"itemData":{"id":51,"type":"article-journal","abstract":"The preservation of static balance in both upright- and hand-stance is maintained by the projection of center of mass (CM) motion within the region of stability at the respective base of support. This study investigated, from a degrees of freedom (DF) perspective, whether the stability of the CM in both upright- and hand-stances was predicted by the respective dispersion and timedependent regularity of joint (upright stance—ankle, knee, hip, shoulder, neck; hand stance—wrist, elbow, shoulder, neck) angle and position. Full body three-dimensional (3D) kinematic data were collected on 10 advanced level junior female gymnasts during 30 s ﬂoor upright- and hand-stands. For both stances the amount of the dispersion of joint angle and sway motion was higher than that of the CM and center of pressure (CP) with an inverse relation to time-dependent irregularity (SampEn). In upright-standing the variability of neck motion in the anterior–posterior direction was signiﬁcantly greater than that of most joints consistent with the role of vision in the control of quiet upright posture. The ﬁndings support the proposition that there are both task speciﬁc and general properties to the global CM control strategy in the balance of upright- and hand-standing induced by the different active skeletal-muscular organization and the degeneracy revealed in the multiple distributional variability patterns of the joint angle and position in 3D.","container-title":"Entropy","DOI":"10.3390/e24070909","ISSN":"1099-4300","issue":"7","journalAbbreviation":"Entropy","language":"en","license":"https://creativecommons.org/licenses/by/4.0/","page":"909","source":"DOI.org (Crossref)","title":"Task Specific and General Patterns of Joint Motion Variability in Upright- and Hand-Standing Postures","volume":"24","author":[{"family":"Pryhoda","given":"Moira"},{"family":"Newell","given":"Karl M."},{"family":"Wilson","given":"Cassie"},{"family":"Irwin","given":"Gareth"}],"issued":{"date-parts":[["2022",6,30]]}}},{"id":328,"uris":["http://zotero.org/users/17274952/items/PDH4GHVG"],"itemData":{"id":328,"type":"article-journal","journalAbbreviation":"Science of Gymnastics Journal","page":"19-30","title":"Kinematic Analysis of handstands in gymnastics","volume":"7","author":[{"family":"B. Belčič","given":"P. Samardžija"}],"issued":{"date-parts":[["2015"]]}}}],"schema":"https://github.com/citation-style-language/schema/raw/master/csl-citation.json"}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[5], [13]</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cuja proficiência é largamente determinada pela prática deliberada e pela qualidade do treinamento [7, 9]. A aquisição de tal habilidade promove adaptações neurais específicas, como a otimização do recrutamento muscular e do controle motor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{"citationID":"XZ3F2iYt","properties":{"formattedCitation":"[3], [6], [7], [10]","plainCitation":"[3], [6], [7], [10]","noteIndex":0},"citationItems":[{"id":336,"uris":["http://zotero.org/users/17274952/items/P82NI7IB"],"itemData":{"id":336,"type":"article-journal","abstract":"KERWIN,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G."},{"family":"Trewartha","given":"Grant"}],"issued":{"date-parts":[["2001",7]]}}},{"id":326,"uris":["http://zotero.org/users/17274952/items/A5MTUBXD"],"itemData":{"id":326,"type":"article-journal","abstract":"Kochanowicz, A, Niespodzin´ ski, B, Mieszkowski, J, Marina, M, Kochanowicz, K, and Zasada, M. Changes in the muscle activity of gymnasts during a handstand on various apparatus. J Strength Cond Res 33(6): 1609–1618, 2019—Gymnasts perform handstands on various apparatus, both in stable and unstable conditions. Such performances require speciﬁc muscle activation, which should differ depending on the condition and expertise of the gymnast. Therefore, the aim of the study was to evaluate (a) the difference in electromyography (EMG) between handstands performed on 3 apparatus (ﬂoor, rings, and parallel bars); and (b) the difference between young and well-trained adult gymnasts. Ten adult (25 6 3.94 years) and 15 young (13.9 6 0.7 years) gymnasts participated in the study. We investigated EMG amplitude in 13 muscles normalized by arbitrary angle maximal isometric voluntary contraction (normalized root mean square [NRMS]). In comparison with the handstand on the ﬂoor (61 6 28%), the wrist ﬂexor muscles of gymnasts exhibited a decreased NRMS on the parallel bars (44 6 25%; p = 0.017), and rings (46 6 32%; p = 0.029), whereas no changes were observed in the triceps brachii. The rest of the investigated muscles showed a higher NRMS in rings. Differences between young and adult gymnasts were seen in the triceps brachii and anterior deltoid muscles, where more experienced gymnasts showed 19.1% (p = 0.014) and 17.6% (p = 0.048) lower NRMS, respectively. The different gymnastic apparatus led to speciﬁc muscle activation. This activation predominantly depended on hand support conditions, which alternated the primary wrist strategy of the handstand balance control, and in consequence, the activation of other muscles controlling balance. Training focused on the development of motor control and strength of the anterior deltoid, pectoralis major, latissimus dorsi, biceps brachii, and trapezius descendens muscles to improve handstand performance.","container-title":"Journal of Strength and Conditioning Research","DOI":"10.1519/JSC.0000000000002124","ISSN":"1064-8011","issue":"6","language":"en","page":"1609-1618","source":"DOI.org (Crossref)","title":"Changes in the Muscle Activity of Gymnasts During a Handstand on Various Apparatus","volume":"33","author":[{"family":"Kochanowicz","given":"Andrzej"},{"family":"Niespodziński","given":"Bartłomiej"},{"family":"Mieszkowski","given":"Jan"},{"family":"Marina","given":"Michel"},{"family":"Kochanowicz","given":"Kazimierz"},{"family":"Zasada","given":"Mariusz"}],"issued":{"date-parts":[["2019",6]]}}},{"id":325,"uris":["http://zotero.org/users/17274952/items/V4I6DHIC"],"itemData":{"id":325,"type":"article-journal","abstract":"Insights into sensorimotor control of balance were examined by the assessment of perturbed and unperturbed balance in standing and handstand postures. During perturbed and unperturbed balance in standing, the most prevalent control strategy was an ankle strategy, which was employed for more than 90% of the time in balance. During perturbed and unperturbed balance in handstand, the most prevalent control strategy was a wrist strategy, which was employed for more than 75% of the time in balance. In both postures, these strategies may be described as a single segment inverted pendulum control strategy, where the multi-segment system is controlled by torque about the most inferior joint with compensatory torques about all superior joints acting in the same direction to maintain a fixed orientation between superior segments. In contrast to previous literature, surprisingly little time was spent in a mixed strategy, representing less than 1% of time in standing balance and approximately 2% of time in handstand balance. Findings indicate that although the central nervous system may employ a number of control strategies during a trial, these strategies are employed individually rather than simultaneously.","container-title":"Royal Society Open Science","DOI":"10.1098/rsos.161018","ISSN":"2054-5703","issue":"7","journalAbbreviation":"R. Soc. open sci.","language":"en","page":"161018","source":"DOI.org (Crossref)","title":"Balance control strategies during perturbed and unperturbed balance in standing and handstand","volume":"4","author":[{"family":"Blenkinsop","given":"Glen M."},{"family":"Pain","given":"Matthew T. G."},{"family":"Hiley","given":"Michael J."}],"issued":{"date-parts":[["2017",7]]}}},{"id":338,"uris":["http://zotero.org/users/17274952/items/JUTNAMC7"],"itemData":{"id":338,"type":"article-journal","abstract":"The aim of this study was to evaluate the relationship between muscle activity and inter-muscle contributions patterns and postural control during a handstand. Additionally, outcomes were compared between young and adult gymnasts (mean ± SD: 13.9 ± 0.7 and 23 ± 3 years respectively). Participants performed three trials of a 10 s handstand on a force platform with simultaneous EMG signal recording at the upper and lower limbs. Adult gymnasts demonstrated signiﬁcantly better postural control in each studied variable. The wrist ﬂexors demonstrated the highest relative mean (60%) and peak (200%) EMG activity of all muscle groups studied. Wrist ﬂexor activity was also highly correlated with postural control variables in both groups. The trapezius descendens and wrist ﬂexor muscles demonstrated the highest contribution (20–26% and 25.5–28% respectively), followed by anterior deltoid (15–18%) and triceps brachii (13–16%) in both groups. The young gymnast group demonstrated signiﬁcantly greater mean relative muscle activity at the triceps brachii, biceps brachii and rectus femoris compared with the adult group (88% (p = 0.023), 150% (p = 0.003) and 75% (p = 0.039) respectively). To conclude, despite comparable inter-muscle contributions during a handstand, young and adult gymnasts demonstrated a diﬀerent relationship between muscle activity and postural control variables.","container-title":"Human Movement Science","DOI":"10.1016/j.humov.2018.02.007","ISSN":"01679457","journalAbbreviation":"Human Movement Science","language":"en","page":"195-204","source":"DOI.org (Crossref)","title":"Relationship between postural control and muscle activity during a handstand in young and adult gymnasts","volume":"58","author":[{"family":"Kochanowicz","given":"Andrzej"},{"family":"Niespodziński","given":"Bartłomiej"},{"family":"Marina","given":"Michel"},{"family":"Mieszkowski","given":"Jan"},{"family":"Biskup","given":"Leon"},{"family":"Kochanowicz","given":"Kazimierz"}],"issued":{"date-parts":[["2018",4]]}}}],"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[3], [6], [7], [10]</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que podem compensar os declínios fisiológicos associados à idade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{"citationID":"9STHEf6U","properties":{"formattedCitation":"[38], [39]","plainCitation":"[38], [39]","noteIndex":0},"citationItems":[{"id":306,"uris":["http://zotero.org/users/17274952/items/7J2ECZB3"],"itemData":{"id":306,"type":"article-journal","container-title":"Psychological Review","DOI":"10.1037/0033-295X.100.3.363","ISSN":"1939-1471, 0033-295X","issue":"3","journalAbbreviation":"Psychological Review","language":"en","page":"363-406","source":"DOI.org (Crossref)","title":"The role of deliberate practice in the acquisition of expert performance.","volume":"100","author":[{"family":"Ericsson","given":"K. Anders"},{"family":"Krampe","given":"Ralf T."},{"family":"Tesch-Römer","given":"Clemens"}],"issued":{"date-parts":[["1993",7]]}}},{"id":305,"uris":["http://zotero.org/users/17274952/items/BEZRHGAH"],"itemData":{"id":305,"type":"article-journal","container-title":"Neuroscience &amp; Biobehavioral Reviews","DOI":"10.1016/j.neubiorev.2009.10.005","ISSN":"01497634","issue":"5","journalAbbreviation":"Neuroscience &amp; Biobehavioral Reviews","language":"en","license":"https://www.elsevier.com/tdm/userlicense/1.0/","page":"721-733","source":"DOI.org (Crossref)","title":"Motor control and aging: Links to age-related brain structural, functional, and biochemical effects","title-short":"Motor control and aging","volume":"34","author":[{"family":"Seidler","given":"Rachael D."},{"family":"Bernard","given":"Jessica A."},{"family":"Burutolu","given":"Taritonye B."},{"family":"Fling","given":"Brett W."},{"family":"Gordon","given":"Mark T."},{"family":"Gwin","given":"Joseph T."},{"family":"Kwak","given":"Youngbin"},{"family":"Lipps","given":"David B."}],"issued":{"date-parts":[["2010",4]]}}}],"schema":"https://github.com/citation-style-language/schema/raw/master/csl-citation.json"}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[38], [39]</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Dessa forma, a experiência específica poderia se sobrepor à idade cronológica para a definição do nível de maestria nessa tarefa.</ns0:t>
      </ns0:r>
    </ns0:p>
    <ns0:p ns2:paraId="45F63920">
      <ns0:pPr>
        <ns0:spacing ns0:line="360" ns0:lineRule="auto"/>
        <ns0:ind ns0:firstLine="426"/>
        <ns0:rPr>
          <ns0:rFonts ns0:hint="default" ns0:ascii="Times New Roman" ns0:hAnsi="Times New Roman" ns0:eastAsia="Times New Roman" ns0:cs="Times New Roman"/>
          <ns0:color ns0:val="auto"/>
        </ns0:rPr>
      </ns0:pPr>
      <ns0:bookmarkStart ns0:id="2" ns0:name="_heading=h.3d7ijnhyh4lu"/>
      <ns0:bookmarkEnd ns0:id="2"/>
      <ns0:r>
        <ns0:rPr>
          <ns0:rFonts ns0:ascii="Times New Roman" ns0:hAnsi="Times New Roman" ns0:cs="Times New Roman"/>
          <ns0:color ns0:val="auto"/>
        </ns0:rPr>
        <ns0:t xml:space="preserve">O estudo proposto pretende integrar diferentes variáveis do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considerando essas variáveis de força, controle postural, antropometria e alinhamento articular como potenciais preditores. Assim, pretende-se compreender, por meio de uma análise espaço-temporal integrada, como diferentes combinações de força muscular, alinhamento articular, controle postural e características individuais, sua antropometria e experiência prévia, se manifestam no desempenho em posição invertida.</ns0:t>
      </ns0:r>
    </ns0:p>
    <ns0:p ns2:paraId="11FA536D">
      <ns0:pPr>
        <ns0:spacing ns0:line="360" ns0:lineRule="auto"/>
        <ns0:ind ns0:firstLine="720"/>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espera-se que o desempenho seja determinado principalmente pelo tempo máximo de sustentação e pela eficiência do controle postural, refletida em menores oscilações e velocidade do CoP, menor entropia e redução de microcorreções. A força e resistência dos membros superiores também devem contribuir para prolongar a sustentação e manter a estabilidade frente à fadiga. Fatores antropométricos, como comprimento dos braços, altura do CoM e composição corporal, podem influenciar a economia e eficácia das correções posturais. A experiência prévia e a idade cronológica completam o conjunto de fatores, podendo a prática prolongada compensar parcialmente efeitos do envelhecimento.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o desempenho tende a refletir a consistência das passadas e o controle postural, sendo indicados por métricas espaço-temporais como distância percorrida, tempo total, velocidade média, comprimento e cadência das passadas e tempo em duplo suporte Tal como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força máxima e resistência dos membros superiores e fatores antropométricos devem influenciar o desempenho dinâmico. A prática prévia e a idade também podem modular essas relações.</ns0:t>
      </ns0:r>
    </ns0:p>
    <ns0:p ns2:paraId="4B5F3C10">
      <ns0:pPr>
        <ns0:spacing ns0:after="240" ns0:line="360" ns0:lineRule="auto"/>
        <ns0:ind ns0:firstLine="426"/>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Este trabalho buscará suprir uma lacuna metodológica da literatura, a qual se concentra em amostras pequenas e específicas de ginastas experientes, negligenciando tanto a diversidade de modalidades quanto a integração de múltiplos fatores. Ao incluir diferentes contextos esportivos e analisar de forma combinada, variáveis de força, controle postural, antropometria, alinhamento, experiência e idade, este estudo busca fornecer subsídios para um entendimento mais abrangente dos preditores de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Os resultados poderão contribuir para estratégias de treinamento mais direcionadas e eficientes, além de oferecer bases para progressões pedagógicas mais seguras e adequadas às demandas de cada modalidade.</ns0:t>
      </ns0:r>
    </ns0:p>
    <ns0:p ns2:paraId="733E814C">
      <ns0:pPr>
        <ns0:spacing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2    OBJETIVO GERAL</ns0:t>
      </ns0:r>
    </ns0:p>
    <ns0:p ns2:paraId="4E56C355">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Investigar os fatores preditores do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em praticantes de diferentes modalidades, integrando variáveis de força, controle postural, cinemática articular, antropometria, perfil de experiência prática e idade.</ns0:t>
      </ns0:r>
    </ns0:p>
    <ns0:p ns2:paraId="6DC8CE3F">
      <ns0:pPr>
        <ns0:spacing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2.1 Objetivos Específicos</ns0:t>
      </ns0:r>
    </ns0:p>
    <ns0:p ns2:paraId="07337297">
      <ns0:pPr>
        <ns0:pStyle ns0:val="10"/>
        <ns0:spacing ns0:after="0" ns0:line="360" ns0:lineRule="auto"/>
        <ns0:rPr>
          <ns0:rFonts ns0:ascii="Times New Roman" ns0:hAnsi="Times New Roman" ns0:cs="Times New Roman"/>
          <ns0:i/>
          <ns0:iCs/>
          <ns0:color ns0:val="auto"/>
        </ns0:rPr>
      </ns0:pPr>
      <ns0:r>
        <ns0:rPr>
          <ns0:rFonts ns0:ascii="Times New Roman" ns0:hAnsi="Times New Roman" ns0:cs="Times New Roman"/>
          <ns0:color ns0:val="auto"/>
        </ns0:rPr>
        <ns0:t xml:space="preserve">a) Averiguar a contribuição relativa das capacidades neuromusculares (força máxima relativa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força muscular distal e resistência isométrica em inversão) para o melhor tempo de sustentação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bem como da simetria bilateral de força dos flexores de punho (</ns0:t>
      </ns0:r>
      <ns0:r>
        <ns0:rPr>
          <ns0:rFonts ns0:ascii="Times New Roman" ns0:hAnsi="Times New Roman" ns0:cs="Times New Roman"/>
          <ns0:i/>
          <ns0:iCs/>
          <ns0:color ns0:val="auto"/>
        </ns0:rPr>
        <ns0:t>LSI</ns0:t>
      </ns0:r>
      <ns0:r>
        <ns0:rPr>
          <ns0:rFonts ns0:ascii="Times New Roman" ns0:hAnsi="Times New Roman" ns0:cs="Times New Roman"/>
          <ns0:color ns0:val="auto"/>
        </ns0:rPr>
        <ns0:t xml:space="preserve">) para a mediana da distância percorrida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ns0:t>
      </ns0:r>
      <ns0:r>
        <ns0:rPr>
          <ns0:rFonts ns0:ascii="Times New Roman" ns0:hAnsi="Times New Roman" ns0:cs="Times New Roman"/>
          <ns0:i/>
          <ns0:iCs/>
          <ns0:color ns0:val="auto"/>
        </ns0:rPr>
        <ns0:t>SP</ns0:t>
      </ns0:r>
    </ns0:p>
    <ns0:p ns2:paraId="6A0542F6">
      <ns0:pPr>
        <ns0:pStyle ns0:val="10"/>
        <ns0:spacing ns0:after="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b) Avaliar a relação entre parâmetros de controle postural (distância média entre CoM e CoP, velocidade do CoP e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para o melhor tempo de sustentação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ns0:t>
      </ns0:r>
    </ns0:p>
    <ns0:p ns2:paraId="66E6CF66">
      <ns0:pPr>
        <ns0:pStyle ns0:val="10"/>
        <ns0:spacing ns0:after="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c) Analisar a influência de variáveis antropométricas (comprimento de membros, altura do CoM e composição corporal) sobre a estabilidade estática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a eficiência do deslocamento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ns0:t>
      </ns0:r>
    </ns0:p>
    <ns0:p ns2:paraId="3FAF7BCF">
      <ns0:pPr>
        <ns0:pStyle ns0:val="10"/>
        <ns0:spacing ns0:after="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d) Comparar os padrões cinemáticos de alinhamento articular, por meio de um índice de verticalidade entre ombros e quadril, extensão cervical, ângulo de flexão plantar do tornozelo, largura da base de apoio e orientação angular das mãos, adotados por praticantes de diferentes níveis de proficiência e modalidades durante a execução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ângulo de flexão plantar do tornozelo, largura da base de apoio e orientação angular das mãos, adotados por praticantes de diferentes níveis de proficiência e modalidades durante a execução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ns0:t>
      </ns0:r>
    </ns0:p>
    <ns0:p ns2:paraId="4A2D826D">
      <ns0:pPr>
        <ns0:pStyle ns0:val="10"/>
        <ns0:spacing ns0:after="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e) Determinar a associação entre o tempo de prática específica e a idade cronológica com 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testando a hipótese de que a experiência prática apresenta peso preditivo preponderante em relação à idade.</ns0:t>
      </ns0:r>
    </ns0:p>
    <ns0:p ns2:paraId="4EF15B59">
      <ns0:pPr>
        <ns0:pStyle ns0:val="10"/>
        <ns0:spacing ns0:after="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f) Identificar como os parâmetros espaço-temporais (comprimento médio, cadência e variabilidades espacial e temporal das passadas) influenciam no desempenho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bem como descrever as estratégias de locomoção adotadas por praticantes de diferentes modalidades por meio dos parâmetros: velocidade média, tempo de contato das mãos no solo e tempo em duplo suporte.</ns0:t>
      </ns0:r>
    </ns0:p>
    <ns0:p ns2:paraId="5C9EFFDE">
      <ns0:pPr>
        <ns0:pStyle ns0:val="10"/>
        <ns0:keepNext ns0:val="0"/>
        <ns0:keepLines ns0:val="0"/>
        <ns0:pageBreakBefore ns0:val="0"/>
        <ns0:widowControl/>
        <ns0:kinsoku/>
        <ns0:wordWrap/>
        <ns0:overflowPunct/>
        <ns0:topLinePunct ns0:val="0"/>
        <ns0:autoSpaceDE/>
        <ns0:autoSpaceDN/>
        <ns0:bidi ns0:val="0"/>
        <ns0:adjustRightInd/>
        <ns0:snapToGrid/>
        <ns0:spacing ns0:after="0" ns0:line="360" ns0:lineRule="auto"/>
        <ns0:textAlignment ns0:val="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g) Verificar a existência de transferência de habilidades entre 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correlacionando o melhor tempo de sustentação e a entropia aproximada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com a mediana da distância percorrida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ns0:t>
      </ns0:r>
    </ns0:p>
    <ns0:p ns2:paraId="23C7C0E2">
      <ns0:pPr>
        <ns0:pStyle ns0:val="10"/>
        <ns0:keepNext ns0:val="0"/>
        <ns0:keepLines ns0:val="0"/>
        <ns0:pageBreakBefore ns0:val="0"/>
        <ns0:widowControl/>
        <ns0:kinsoku/>
        <ns0:wordWrap/>
        <ns0:overflowPunct/>
        <ns0:topLinePunct ns0:val="0"/>
        <ns0:autoSpaceDE/>
        <ns0:autoSpaceDN/>
        <ns0:bidi ns0:val="0"/>
        <ns0:adjustRightInd/>
        <ns0:snapToGrid/>
        <ns0:spacing ns0:after="0" ns0:line="360" ns0:lineRule="auto"/>
        <ns0:textAlignment ns0:val="auto"/>
        <ns0:rPr>
          <ns0:rFonts ns0:hint="default" ns0:ascii="Times New Roman" ns0:hAnsi="Times New Roman" ns0:cs="Times New Roman"/>
          <ns0:color ns0:val="auto"/>
        </ns0:rPr>
      </ns0:pPr>
      <ns0:r>
        <ns0:rPr>
          <ns0:rFonts ns0:ascii="Times New Roman" ns0:hAnsi="Times New Roman" ns0:cs="Times New Roman"/>
          <ns0:color ns0:val="auto"/>
        </ns0:rPr>
        <ns0:t xml:space="preserve">h) Identificar os fatores determinantes para o sucesso na autonomia de estabilização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livre por meio de regressão logística binária, testando a contribuição relativa da força máxima de empurrar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do melhor tempo de sustentação prévio no bloco assistido e do volume de prática acumulada (horas).</ns0:t>
      </ns0:r>
    </ns0:p>
    <ns0:p ns2:paraId="3688E4AB">
      <ns0:pPr>
        <ns0:pStyle ns0:val="2"/>
        <ns0:spacing ns0:before="0" ns0:after="140"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3    MÉTODO</ns0:t>
      </ns0:r>
    </ns0:p>
    <ns0:p ns2:paraId="3CB949C4">
      <ns0:pPr>
        <ns0:spacing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3.1 Delineamento experimental</ns0:t>
      </ns0:r>
    </ns0:p>
    <ns0:p ns2:paraId="47F7B483">
      <ns0:pPr>
        <ns0:pStyle ns0:val="11"/>
        <ns0:keepNext ns0:val="0"/>
        <ns0:keepLines ns0:val="0"/>
        <ns0:pageBreakBefore ns0:val="0"/>
        <ns0:widowControl/>
        <ns0:suppressLineNumbers ns0:val="0"/>
        <ns0:kinsoku/>
        <ns0:wordWrap/>
        <ns0:overflowPunct/>
        <ns0:topLinePunct ns0:val="0"/>
        <ns0:autoSpaceDE/>
        <ns0:autoSpaceDN/>
        <ns0:bidi ns0:val="0"/>
        <ns0:adjustRightInd/>
        <ns0:snapToGrid/>
        <ns0:spacing ns0:before="0" ns0:beforeAutospacing="0" ns0:after="0" ns0:afterAutospacing="0" ns0:line="360" ns0:lineRule="auto"/>
        <ns0:ind ns0:firstLine="706" ns0:firstLineChars="0"/>
        <ns0:jc ns0:val="both"/>
        <ns0:textAlignment ns0:val="auto"/>
        <ns0:rPr>
          <ns0:rFonts ns0:hint="default" ns0:ascii="Times New Roman" ns0:hAnsi="Times New Roman" ns0:eastAsia="Times New Roman" ns0:cs="Times New Roman"/>
          <ns0:color ns0:val="auto"/>
          <ns0:sz ns0:val="24"/>
          <ns0:szCs ns0:val="24"/>
          <ns0:lang ns0:val="pt-BR" ns0:eastAsia="pt-BR" ns0:bidi="ar-SA"/>
        </ns0:rPr>
      </ns0:pPr>
      <ns0:r>
        <ns0:rPr>
          <ns0:rFonts ns0:ascii="Times New Roman" ns0:hAnsi="Times New Roman" ns0:cs="Times New Roman"/>
          <ns0:color ns0:val="auto"/>
        </ns0:rPr>
        <ns0:t>Trata-se de um estudo observacional, transversal e analítico. O protocolo experimental foi estruturado para investigar os fatores determinantes e preditores do desempenho estático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e dinâmico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integrando variáveis de capacidade física (força máxima relativa, simetria e resistência muscular isométrica), controle postural estabilométrico, alinhamento cinemático tridimensional, características antropométricas, perfil de prática e idade. </ns0:t>
      </ns0:r>
    </ns0:p>
    <ns0:p ns2:paraId="2B043726">
      <ns0:pPr>
        <ns0:pStyle ns0:val="11"/>
        <ns0:keepNext ns0:val="0"/>
        <ns0:keepLines ns0:val="0"/>
        <ns0:pageBreakBefore ns0:val="0"/>
        <ns0:widowControl/>
        <ns0:suppressLineNumbers ns0:val="0"/>
        <ns0:kinsoku/>
        <ns0:wordWrap/>
        <ns0:overflowPunct/>
        <ns0:topLinePunct ns0:val="0"/>
        <ns0:autoSpaceDE/>
        <ns0:autoSpaceDN/>
        <ns0:bidi ns0:val="0"/>
        <ns0:adjustRightInd/>
        <ns0:snapToGrid/>
        <ns0:spacing ns0:before="0" ns0:beforeAutospacing="0" ns0:after="0" ns0:afterAutospacing="0" ns0:line="360" ns0:lineRule="auto"/>
        <ns0:ind ns0:firstLine="706" ns0:firstLineChars="0"/>
        <ns0:jc ns0:val="both"/>
        <ns0:textAlignment ns0:val="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A coleta de dados será realizada em duas sessões distintas nas dependências da Escola de Educação Física e Esportes de Ribeirão Preto da Universidade de São Paulo (EEFERP-USP), localizada na Avenida Bandeirantes, 3900, Vila Monte Alegre, Ribeirão Preto –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A primeira sessão ocorrerá no Laboratório de Cineantropometria e Desempenho Humano (LaCiDH) e contemplará as avaliações força isométrica distal bilateral (força de preensão manual e pico de torque dos flexores de punho), teste de resistência em posição invertida (</ns0:t>
      </ns0:r>
      <ns0:r>
        <ns0:rPr>
          <ns0:rFonts ns0:ascii="Times New Roman" ns0:hAnsi="Times New Roman" ns0:cs="Times New Roman"/>
          <ns0:i/>
          <ns0:iCs/>
          <ns0:color ns0:val="auto"/>
        </ns0:rPr>
        <ns0:t>wall</ns0:t>
      </ns0:r>
      <ns0:r>
        <ns0:rPr>
          <ns0:rFonts ns0:ascii="Times New Roman" ns0:hAnsi="Times New Roman" ns0:cs="Times New Roman"/>
          <ns0:color ns0:val="auto"/>
        </ns0:rPr>
        <ns0:t>-</ns0:t>
      </ns0:r>
      <ns0:r>
        <ns0:rPr>
          <ns0:rFonts ns0:ascii="Times New Roman" ns0:hAnsi="Times New Roman" ns0:cs="Times New Roman"/>
          <ns0:i/>
          <ns0:iCs/>
          <ns0:color ns0:val="auto"/>
        </ns0:rPr>
        <ns0:t>supported</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teste de uma repetição máxima (1-RM)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além da avaliação da composição corporal por um equipamento de bioimpedância elétrica tetrapolar.  A segunda sessão ocorrerá no Laboratório de Biomecânica e Controle Motor (LaBioCoM) e incluirá a avaliação da execução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por meio de sistema de captura de movimento (Vicon®, Oxford, Reino Unido) para aquisição de dados cinemáticos: ângulos articulares (punhos, ombros, quadril e cabeça), base de apoio (distância entre mãos), altura do centro de massa (CoM) e comprimentos dos membros; e determinar parâmetros espaço-temporais, incluindo distância percorrida, tempo de execução, velocidade média, comprimento médio das passadas, cadência, tempo de contato das mãos com o solo e variabilidade entre passadas; e de plataforma de força (Bertec®, Columbus, OH, USA) para quantificação de parâmetros estabilométricos, como variabilidade do CoP, distância CoP-CoM e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Para garantir a validade das medidas de força, em que os efeitos da fadiga neuromuscular são detrimentais, a coleta de dados sempre começará com a sessão das avaliações de força [34]. A sessão de avaliação do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será conduzida em até sete dias após, este curto intervalo também impede que ocorram mudanças significativas no condicionamento físico dos participantes, preservando a comparabilidade entre as sessões. Paralelamente, os participantes serão instruídos a evitar atividades físicas intensas nas 48 horas que antecedem cada avaliação. Todas as avaliações seguirão controle de mesmas condições ambientais, como temperatura e iluminação, e instruções verbais padronizadas a todos os participantes.</ns0:t>
      </ns0:r>
    </ns0:p>
    <ns0:p ns2:paraId="5BC4660C">
      <ns0:pPr>
        <ns0:spacing ns0:line="360" ns0:lineRule="auto"/>
        <ns0:ind ns0:firstLine="426"/>
        <ns0:rPr>
          <ns0:rFonts ns0:hint="default" ns0:ascii="Times New Roman" ns0:hAnsi="Times New Roman" ns0:cs="Times New Roman"/>
          <ns0:color ns0:val="auto"/>
        </ns0:rPr>
      </ns0:pPr>
      <ns0:r>
        <ns0:rPr>
          <ns0:rFonts ns0:ascii="Times New Roman" ns0:hAnsi="Times New Roman" ns0:cs="Times New Roman"/>
          <ns0:color ns0:val="auto"/>
        </ns0:rPr>
        <ns0:t xml:space="preserve">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será definido pelo tempo máximo de sustentação (s), que associado as outras variáveis poderão distinguir a proficiência de praticantes que sustentam por mais tempo em condições de maior estabilidade, em contraste com aqueles que recorrem a ajustes excessivos e apresentam maior variabilidade oscilatória.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por sua vez, o desempenho será avaliado pela mediana da distância percorrida (m) das tentativas, devido a sua robustez frente a valores extremos, evitando que uma queda precoce ou uma única tentativa ótima distorça o desempenho representativo do indivíduo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{"citationID":"jJ5oUpwe","properties":{"formattedCitation":"[29]","plainCitation":"[29]","noteIndex":0},"citationItems":[{"id":323,"uris":["http://zotero.org/users/17274952/items/JY2NY8BU"],"itemData":{"id":323,"type":"book","call-number":"612.76","edition":"4th ed","ISBN":"978-0-470-39818-0","language":"en","publisher":"Wiley","publisher-place":"Hoboken, N.J","source":"BnF ISBN","title":"Biomechanics and motor control of human movement","author":[{"family":"Winter","given":"David A."}],"issued":{"date-parts":[["2009"]]}}}],"schema":"https://github.com/citation-style-language/schema/raw/master/csl-citation.json"}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[29]</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Todos os parâmetros avaliados poderão comparar estratégias de estabilidade e caracterizar os perfis de cada modalidade. As variáveis coletadas, métodos de medição e justificativa que serão correlacionados ao nível de desempenho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estão apresentadas no Quadro 1 </ns0:t>
      </ns0:r>
      <ns0:bookmarkStart ns0:id="3" ns0:name="docs-internal-guid-8216d3de-7fff-2599-8c"/>
      <ns0:bookmarkEnd ns0:id="3"/>
      <ns0:r>
        <ns0:rPr>
          <ns0:rFonts ns0:ascii="Times New Roman" ns0:hAnsi="Times New Roman" ns0:cs="Times New Roman"/>
          <ns0:color ns0:val="auto"/>
        </ns0:rPr>
        <ns0:t xml:space="preserve">e as correlacionadas ao nível de desempenho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no Quadro 2.</ns0:t>
      </ns0:r>
      <ns0:bookmarkStart ns0:id="4" ns0:name="_heading=h.3d7ijnhyh4lu_Copia_1"/>
      <ns0:bookmarkEnd ns0:id="4"/>
    </ns0:p>
    <ns0:p ns2:paraId="188BD1DF">
      <ns0:pPr>
        <ns0:spacing ns0:line="360" ns0:lineRule="auto"/>
        <ns0:ind ns0:firstLine="426"/>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QUADRO 1 – Variáveis relacionadas ao desempenho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ns0:t>
      </ns0:r>
    </ns0:p>
    <ns0:tbl>
      <ns0:tblPr>
        <ns0:tblStyle ns0:val="7"/>
        <ns0:tblW ns0:w="11718" ns0:type="dxa"/>
        <ns0:jc ns0:val="center"/>
        <ns0:tblLayout ns0:type="fixed"/>
        <ns0:tblCellMar>
          <ns0:top ns0:w="0" ns0:type="dxa"/>
          <ns0:left ns0:w="108" ns0:type="dxa"/>
          <ns0:bottom ns0:w="0" ns0:type="dxa"/>
          <ns0:right ns0:w="108" ns0:type="dxa"/>
        </ns0:tblCellMar>
      </ns0:tblPr>
      <ns0:tblGrid>
        <ns0:gridCol ns0:w="2992"/>
        <ns0:gridCol ns0:w="2532"/>
        <ns0:gridCol ns0:w="2532"/>
        <ns0:gridCol ns0:w="3662"/>
      </ns0:tblGrid>
      <ns0:tr ns2:paraId="08901776">
        <ns0:tblPrEx>
          <ns0:tblCellMar>
            <ns0:top ns0:w="0" ns0:type="dxa"/>
            <ns0:left ns0:w="108" ns0:type="dxa"/>
            <ns0:bottom ns0:w="0" ns0:type="dxa"/>
            <ns0:right ns0:w="108" ns0:type="dxa"/>
          </ns0:tblCellMar>
        </ns0:tblPrEx>
        <ns0:trPr>
          <ns0:tblHeade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46FF26FC">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Variável</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3F6AE53D">
            <ns0:pPr>
              <ns0:spacing ns0:line="360" ns0:lineRule="auto"/>
              <ns0:jc ns0:val="left"/>
              <ns0:rPr>
                <ns0:rFonts ns0:hint="default" ns0:ascii="Times New Roman" ns0:hAnsi="Times New Roman" ns0:eastAsia="Times New Roman" ns0:cs="Times New Roman"/>
                <ns0:b/>
                <ns0:bCs/>
                <ns0:color ns0:val="auto"/>
                <ns0:lang ns0:val="pt-BR"/>
              </ns0:rPr>
            </ns0:pPr>
            <ns0:r>
              <ns0:rPr>
                <ns0:rFonts ns0:hint="default" ns0:ascii="Times New Roman" ns0:hAnsi="Times New Roman" ns0:eastAsia="Times New Roman" ns0:cs="Times New Roman"/>
                <ns0:b/>
                <ns0:bCs/>
                <ns0:color ns0:val="auto"/>
                <ns0:lang ns0:val="pt-BR"/>
              </ns0:rPr>
              <ns0:t>Unidade</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45877C9F">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Método de Medição</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79C4A8E3">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Justificativa</ns0:t>
            </ns0:r>
          </ns0:p>
        </ns0:tc>
      </ns0:tr>
      <ns0:tr ns2:paraId="5B65BD35">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AE0BB3F">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rPr>
              <ns0:t>Melhor tempo de sustentação</ns0:t>
            </ns0:r>
            <ns0:r>
              <ns0:rPr>
                <ns0:rFonts ns0:hint="default" ns0:ascii="Times New Roman" ns0:hAnsi="Times New Roman" ns0:eastAsia="Times New Roman" ns0:cs="Times New Roman"/>
                <ns0:color ns0:val="auto"/>
                <ns0:lang ns0:val="pt-BR"/>
              </ns0:rPr>
              <ns0:t xml:space="preserve"> (desfecho)</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374F73B">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Segundos (s)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A7C2E4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49079A0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3ACE8A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Reflete a capacidade de manutenção do equilíbrio.</ns0:t>
            </ns0:r>
          </ns0:p>
        </ns0:tc>
      </ns0:tr>
      <ns0:tr ns2:paraId="5F430EE5">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1459FE9">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Autonomia de Estabilização (desfecho)</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EF94285">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Binária (Sucesso / Falha)</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8A451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D8ABFC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5AC258B">
            <ns0:pPr>
              <ns0:keepNext ns0:val="0"/>
              <ns0:keepLines ns0:val="0"/>
              <ns0:widowControl/>
              <ns0:suppressLineNumbers ns0:val="0"/>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sz ns0:val="24"/>
                <ns0:szCs ns0:val="24"/>
                <ns0:lang ns0:val="en-US" ns0:eastAsia="zh-CN" ns0:bidi="ar-SA"/>
              </ns0:rPr>
              <ns0:t>Avalia o êxito na entrada autônoma e estabilização livre por ≥</ns0:t>
            </ns0:r>
            <ns0:r>
              <ns0:rPr>
                <ns0:rFonts ns0:hint="default" ns0:ascii="Times New Roman" ns0:hAnsi="Times New Roman" ns0:eastAsia="Times New Roman" ns0:cs="Times New Roman"/>
                <ns0:color ns0:val="auto"/>
                <ns0:sz ns0:val="24"/>
                <ns0:szCs ns0:val="24"/>
                <ns0:lang ns0:val="pt-BR" ns0:eastAsia="zh-CN" ns0:bidi="ar-SA"/>
              </ns0:rPr>
              <ns0:t>3</ns0:t>
            </ns0:r>
            <ns0:r>
              <ns0:rPr>
                <ns0:rFonts ns0:hint="default" ns0:ascii="Times New Roman" ns0:hAnsi="Times New Roman" ns0:eastAsia="Times New Roman" ns0:cs="Times New Roman"/>
                <ns0:color ns0:val="auto"/>
                <ns0:sz ns0:val="24"/>
                <ns0:szCs ns0:val="24"/>
                <ns0:lang ns0:val="en-US" ns0:eastAsia="zh-CN" ns0:bidi="ar-SA"/>
              </ns0:rPr>
              <ns0:t xml:space="preserve">s. </ns0:t>
            </ns0:r>
          </ns0:p>
        </ns0:tc>
      </ns0:tr>
      <ns0:tr ns2:paraId="0F04AB69">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9188E17">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Índice de Verticalidade</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4BD8219">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Graus (º)</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E10018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7716F3C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(Vicon®) </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692F66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Eficiência do alinhamento angular segmentar 3D absoluto entre ombro e quadril.</ns0:t>
            </ns0:r>
          </ns0:p>
        </ns0:tc>
      </ns0:tr>
      <ns0:tr ns2:paraId="666E8B98">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23E0E09">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Extensão Cervical</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3C5241A">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Graus (º)</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B0DAA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56CCF34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(Vicon®) </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13385CA">
            <ns0:pPr>
              <ns0:keepNext ns0:val="0"/>
              <ns0:keepLines ns0:val="0"/>
              <ns0:widowControl/>
              <ns0:suppressLineNumbers ns0:val="0"/>
              <ns0:jc ns0:val="left"/>
              <ns0:rPr>
                <ns0:rFonts ns0:hint="default" ns0:ascii="Times New Roman" ns0:hAnsi="Times New Roman" ns0:eastAsia="SimSun" ns0:cs="Times New Roman"/>
                <ns0:color ns0:val="auto"/>
                <ns0:sz ns0:val="24"/>
                <ns0:szCs ns0:val="24"/>
              </ns0:rPr>
            </ns0:pPr>
            <ns0:r>
              <ns0:rPr>
                <ns0:rFonts ns0:hint="default" ns0:ascii="Times New Roman" ns0:hAnsi="Times New Roman" ns0:eastAsia="sans-serif" ns0:cs="Times New Roman"/>
                <ns0:color ns0:val="auto"/>
                <ns0:kern ns0:val="0"/>
                <ns0:sz ns0:val="24"/>
                <ns0:szCs ns0:val="24"/>
                <ns0:lang ns0:val="en-US" ns0:eastAsia="zh-CN" ns0:bidi="ar"/>
              </ns0:rPr>
              <ns0:t>Influência da orientação da cabeça no feedback visual e organização postural.</ns0:t>
            </ns0:r>
            <ns0:r>
              <ns0:rPr>
                <ns0:rFonts ns0:hint="default" ns0:ascii="Times New Roman" ns0:hAnsi="Times New Roman" ns0:eastAsia="SimSun" ns0:cs="Times New Roman"/>
                <ns0:color ns0:val="auto"/>
                <ns0:kern ns0:val="0"/>
                <ns0:sz ns0:val="24"/>
                <ns0:szCs ns0:val="24"/>
                <ns0:lang ns0:val="en-US" ns0:eastAsia="zh-CN" ns0:bidi="ar"/>
              </ns0:rPr>
              <ns0:t xml:space="preserve"> </ns0:t>
            </ns0:r>
          </ns0:p>
        </ns0:tc>
      </ns0:tr>
      <ns0:tr ns2:paraId="2D777F44">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73F03A4">
            <ns0:pPr>
              <ns0:rPr>
                <ns0:rFonts ns0:hint="default" ns0:ascii="Times New Roman" ns0:hAnsi="Times New Roman" ns0:cs="Times New Roman"/>
                <ns0:color ns0:val="auto"/>
                <ns0:lang ns0:val="pt-BR"/>
              </ns0:rPr>
            </ns0:pPr>
            <ns0:r>
              <ns0:rPr>
                <ns0:rFonts ns0:hint="default" ns0:ascii="Times New Roman" ns0:hAnsi="Times New Roman" ns0:cs="Times New Roman"/>
                <ns0:color ns0:val="auto"/>
              </ns0:rPr>
              <ns0:t xml:space="preserve">Flexão Plantar do Tornozelo </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868CB16">
            <ns0:pPr>
              <ns0:rPr>
                <ns0:rFonts ns0:hint="default" ns0:ascii="Times New Roman" ns0:hAnsi="Times New Roman" ns0:cs="Times New Roman"/>
                <ns0:color ns0:val="auto"/>
                <ns0:lang ns0:val="pt-BR"/>
              </ns0:rPr>
            </ns0:pPr>
            <ns0:r>
              <ns0:rPr>
                <ns0:rFonts ns0:hint="default" ns0:ascii="Times New Roman" ns0:hAnsi="Times New Roman" ns0:cs="Times New Roman"/>
                <ns0:color ns0:val="auto"/>
                <ns0:lang ns0:val="pt-BR"/>
              </ns0:rPr>
              <ns0:t>Graus (º)</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1E533FB">
            <ns0:pPr>
              <ns0:rPr>
                <ns0:rFonts ns0:hint="default" ns0:ascii="Times New Roman" ns0:hAnsi="Times New Roman" ns0:cs="Times New Roman"/>
                <ns0:color ns0:val="auto"/>
              </ns0:rPr>
            </ns0:pPr>
            <ns0:r>
              <ns0:rPr>
                <ns0:rFonts ns0:hint="default" ns0:ascii="Times New Roman" ns0:hAnsi="Times New Roman" ns0:cs="Times New Roman"/>
                <ns0:color ns0:val="auto"/>
              </ns0:rPr>
              <ns0:t xml:space="preserve">Captura de Movimento </ns0:t>
            </ns0:r>
          </ns0:p>
          <ns0:p ns2:paraId="26CE6D70">
            <ns0:pPr>
              <ns0:rPr>
                <ns0:rFonts ns0:hint="default" ns0:ascii="Times New Roman" ns0:hAnsi="Times New Roman" ns0:cs="Times New Roman"/>
                <ns0:color ns0:val="auto"/>
              </ns0:rPr>
            </ns0:pPr>
            <ns0:r>
              <ns0:rPr>
                <ns0:rFonts ns0:hint="default" ns0:ascii="Times New Roman" ns0:hAnsi="Times New Roman" ns0:cs="Times New Roman"/>
                <ns0:color ns0:val="auto"/>
              </ns0:rPr>
              <ns0:t xml:space="preserve">(Vicon®) </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C8D7A68">
            <ns0:pPr>
              <ns0:rPr>
                <ns0:rFonts ns0:hint="default" ns0:ascii="Times New Roman" ns0:hAnsi="Times New Roman" ns0:cs="Times New Roman"/>
                <ns0:color ns0:val="auto"/>
                <ns0:lang ns0:val="pt-BR" ns0:eastAsia="zh-CN"/>
              </ns0:rPr>
            </ns0:pPr>
            <ns0:r>
              <ns0:rPr>
                <ns0:rFonts ns0:hint="default" ns0:ascii="Times New Roman" ns0:hAnsi="Times New Roman" ns0:cs="Times New Roman"/>
                <ns0:color ns0:val="auto"/>
              </ns0:rPr>
              <ns0:t xml:space="preserve">Avalia a rigidez segmentar distal e </ns0:t>
            </ns0:r>
            <ns0:r>
              <ns0:rPr>
                <ns0:rFonts ns0:hint="default" ns0:ascii="Times New Roman" ns0:hAnsi="Times New Roman" ns0:cs="Times New Roman"/>
                <ns0:color ns0:val="auto"/>
                <ns0:lang ns0:val="pt-BR"/>
              </ns0:rPr>
              <ns0:t>engajamento muscular</ns0:t>
            </ns0:r>
            <ns0:r>
              <ns0:rPr>
                <ns0:rFonts ns0:hint="default" ns0:ascii="Times New Roman" ns0:hAnsi="Times New Roman" ns0:cs="Times New Roman"/>
                <ns0:color ns0:val="auto"/>
              </ns0:rPr>
              <ns0:t xml:space="preserve"> </ns0:t>
            </ns0:r>
            <ns0:r>
              <ns0:rPr>
                <ns0:rFonts ns0:hint="default" ns0:ascii="Times New Roman" ns0:hAnsi="Times New Roman" ns0:cs="Times New Roman"/>
                <ns0:i/>
                <ns0:iCs/>
                <ns0:color ns0:val="auto"/>
              </ns0:rPr>
              <ns0:t>single-link</ns0:t>
            </ns0:r>
            <ns0:r>
              <ns0:rPr>
                <ns0:rFonts ns0:hint="default" ns0:ascii="Times New Roman" ns0:hAnsi="Times New Roman" ns0:cs="Times New Roman"/>
                <ns0:color ns0:val="auto"/>
                <ns0:lang ns0:val="pt-BR"/>
              </ns0:rPr>
              <ns0:t xml:space="preserve"> (rígido)</ns0:t>
            </ns0:r>
            <ns0:r>
              <ns0:rPr>
                <ns0:rFonts ns0:hint="default" ns0:ascii="Times New Roman" ns0:hAnsi="Times New Roman" ns0:cs="Times New Roman"/>
                <ns0:color ns0:val="auto"/>
              </ns0:rPr>
              <ns0:t> vs. </ns0:t>
            </ns0:r>
            <ns0:r>
              <ns0:rPr>
                <ns0:rFonts ns0:hint="default" ns0:ascii="Times New Roman" ns0:hAnsi="Times New Roman" ns0:cs="Times New Roman"/>
                <ns0:i/>
                <ns0:iCs/>
                <ns0:color ns0:val="auto"/>
              </ns0:rPr>
              <ns0:t>multi-link</ns0:t>
            </ns0:r>
            <ns0:r>
              <ns0:rPr>
                <ns0:rFonts ns0:hint="default" ns0:ascii="Times New Roman" ns0:hAnsi="Times New Roman" ns0:cs="Times New Roman"/>
                <ns0:color ns0:val="auto"/>
              </ns0:rPr>
              <ns0:t> </ns0:t>
            </ns0:r>
            <ns0:r>
              <ns0:rPr>
                <ns0:rFonts ns0:hint="default" ns0:ascii="Times New Roman" ns0:hAnsi="Times New Roman" ns0:cs="Times New Roman"/>
                <ns0:color ns0:val="auto"/>
                <ns0:lang ns0:val="pt-BR"/>
              </ns0:rPr>
              <ns0:t>(os</ns0:t>
            </ns0:r>
            <ns0:r>
              <ns0:rPr>
                <ns0:rFonts ns0:hint="default" ns0:ascii="Times New Roman" ns0:hAnsi="Times New Roman" ns0:cs="Times New Roman"/>
                <ns0:color ns0:val="auto"/>
              </ns0:rPr>
              <ns0:t>ila</ns0:t>
            </ns0:r>
            <ns0:r>
              <ns0:rPr>
                <ns0:rFonts ns0:hint="default" ns0:ascii="Times New Roman" ns0:hAnsi="Times New Roman" ns0:cs="Times New Roman"/>
                <ns0:color ns0:val="auto"/>
                <ns0:lang ns0:val="pt-BR"/>
              </ns0:rPr>
              <ns0:t>nte)</ns0:t>
            </ns0:r>
          </ns0:p>
        </ns0:tc>
      </ns0:tr>
      <ns0:tr ns2:paraId="4E59BBC5">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1309FA1">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 xml:space="preserve">Largura da </ns0:t>
            </ns0:r>
            <ns0:r>
              <ns0:rPr>
                <ns0:rFonts ns0:hint="default" ns0:ascii="Times New Roman" ns0:hAnsi="Times New Roman" ns0:eastAsia="Times New Roman" ns0:cs="Times New Roman"/>
                <ns0:color ns0:val="auto"/>
              </ns0:rPr>
              <ns0:t>Base de apoio</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15C7CC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Milímetros (mm)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68BE1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A50CFE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9445ABB">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Distância mediolateral linear entre as articulações dos punhos na base.</ns0:t>
            </ns0:r>
          </ns0:p>
        </ns0:tc>
      </ns0:tr>
      <ns0:tr ns2:paraId="0E9DA64D">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A222E5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Orientação angular das mãos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3E00FE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Graus (°)</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D431B7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5C57F19B">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4DC9DC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Grau de rotação externa das mãos sobre o solo como estratégia compensatória.</ns0:t>
            </ns0:r>
          </ns0:p>
        </ns0:tc>
      </ns0:tr>
      <ns0:tr ns2:paraId="2CA5C87F">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7CF4A6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Velocidade do CoP</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F04989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mm/s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665DE01">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Plataforma de Força (Bertec®)</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D02B9F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Expressa a frequência e a rapidez do esforço neuromuscular corretivo.</ns0:t>
            </ns0:r>
          </ns0:p>
        </ns0:tc>
      </ns0:tr>
      <ns0:tr ns2:paraId="5022C843">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20D3F07">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Entropia Aproximada (</ns0:t>
            </ns0:r>
            <ns0:r>
              <ns0:rPr>
                <ns0:rFonts ns0:hint="default" ns0:ascii="Times New Roman" ns0:hAnsi="Times New Roman" ns0:eastAsia="Times New Roman" ns0:cs="Times New Roman"/>
                <ns0:color ns0:val="auto"/>
              </ns0:rPr>
              <ns0:t>ApEn</ns0:t>
            </ns0:r>
            <ns0:r>
              <ns0:rPr>
                <ns0:rFonts ns0:hint="default" ns0:ascii="Times New Roman" ns0:hAnsi="Times New Roman" ns0:eastAsia="Times New Roman" ns0:cs="Times New Roman"/>
                <ns0:color ns0:val="auto"/>
                <ns0:lang ns0:val="pt-BR"/>
              </ns0:rPr>
              <ns0:t>)</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4030F0">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Unidades Arbitrárias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137D778">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Plataforma de Força (Bertec®)</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651EDF6">
            <ns0:pPr>
              <ns0:spacing ns0:line="360" ns0:lineRule="auto"/>
              <ns0:jc ns0:val="left"/>
              <ns0:rPr>
                <ns0:rFonts ns0:hint="default" ns0:ascii="Times New Roman" ns0:hAnsi="Times New Roman" ns0:cs="Times New Roman"/>
                <ns0:color ns0:val="auto"/>
              </ns0:rPr>
            </ns0:pPr>
            <ns0:r>
              <ns0:rPr>
                <ns0:rFonts ns0:hint="default" ns0:ascii="Times New Roman" ns0:hAnsi="Times New Roman" ns0:eastAsia="SimSun" ns0:cs="Times New Roman"/>
                <ns0:color ns0:val="auto"/>
                <ns0:sz ns0:val="24"/>
                <ns0:szCs ns0:val="24"/>
              </ns0:rPr>
              <ns0:t>Mensura a regularidade, complexidade e automaticidade do controle postural.</ns0:t>
            </ns0:r>
          </ns0:p>
        </ns0:tc>
      </ns0:tr>
      <ns0:tr ns2:paraId="19E6843A">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CB981D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Distância média entre CoP-CoM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0817CB3">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Milímetros (mm)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63F49E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43B7C278">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 + Plataforma de Força (Bertec®)</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BAC3E7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Quantifica o erro real de equilíbrio (braço de momento do torque gravitacional).</ns0:t>
            </ns0:r>
          </ns0:p>
        </ns0:tc>
      </ns0:tr>
      <ns0:tr ns2:paraId="32BA1A80">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F1F3A35">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Pico de torque</ns0:t>
            </ns0:r>
            <ns0:r>
              <ns0:rPr>
                <ns0:rFonts ns0:hint="default" ns0:ascii="Times New Roman" ns0:hAnsi="Times New Roman" ns0:eastAsia="Times New Roman" ns0:cs="Times New Roman"/>
                <ns0:color ns0:val="auto"/>
              </ns0:rPr>
              <ns0:t xml:space="preserve"> flexores de punhos</ns0:t>
            </ns0:r>
            <ns0:r>
              <ns0:rPr>
                <ns0:rFonts ns0:hint="default" ns0:ascii="Times New Roman" ns0:hAnsi="Times New Roman" ns0:eastAsia="Times New Roman" ns0:cs="Times New Roman"/>
                <ns0:color ns0:val="auto"/>
                <ns0:lang ns0:val="pt-BR"/>
              </ns0:rPr>
              <ns0:t xml:space="preserve"> (FFP)</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4E18B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N·m/kg</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C08BC5A">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Dinamometria Isométrica (Biodex® PRO)</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62E8BE8">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Média bilateral normalizada de torque no ângulo funcional de teste (70° extensão).</ns0:t>
            </ns0:r>
          </ns0:p>
        </ns0:tc>
      </ns0:tr>
      <ns0:tr ns2:paraId="1F601C18">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976476">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Força de preensão manual (FPM)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FBD6DD2">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kgf/kg</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2F5D30A">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Dinamômetro Hidráulico (Saehan® SH5001)</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BAE0E1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Média bilateral normalizada da força digital para microajustes de pressão.</ns0:t>
            </ns0:r>
          </ns0:p>
        </ns0:tc>
      </ns0:tr>
      <ns0:tr ns2:paraId="69BCD1FF">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52288FA">
            <ns0:pPr>
              <ns0:spacing ns0:line="360" ns0:lineRule="auto"/>
              <ns0:jc ns0:val="left"/>
              <ns0:rPr>
                <ns0:rFonts ns0:hint="default" ns0:ascii="Times New Roman" ns0:hAnsi="Times New Roman" ns0:eastAsia="Times New Roman" ns0:cs="Times New Roman"/>
                <ns0:i/>
                <ns0:iCs/>
                <ns0:color ns0:val="auto"/>
                <ns0:lang ns0:val="pt-BR"/>
              </ns0:rPr>
            </ns0:pPr>
            <ns0:r>
              <ns0:rPr>
                <ns0:rFonts ns0:hint="default" ns0:ascii="Times New Roman" ns0:hAnsi="Times New Roman" ns0:eastAsia="Times New Roman" ns0:cs="Times New Roman"/>
                <ns0:color ns0:val="auto"/>
              </ns0:rPr>
              <ns0:t>Força máxima relativa à massa corporal no shoulder press</ns0:t>
            </ns0:r>
            <ns0:r>
              <ns0:rPr>
                <ns0:rFonts ns0:hint="default" ns0:ascii="Times New Roman" ns0:hAnsi="Times New Roman" ns0:eastAsia="Times New Roman" ns0:cs="Times New Roman"/>
                <ns0:color ns0:val="auto"/>
                <ns0:lang ns0:val="pt-BR"/>
              </ns0:rPr>
              <ns0:t xml:space="preserve"> (%</ns0:t>
            </ns0:r>
            <ns0:r>
              <ns0:rPr>
                <ns0:rFonts ns0:hint="default" ns0:ascii="Times New Roman" ns0:hAnsi="Times New Roman" ns0:eastAsia="Times New Roman" ns0:cs="Times New Roman"/>
                <ns0:i/>
                <ns0:iCs/>
                <ns0:color ns0:val="auto"/>
                <ns0:lang ns0:val="pt-BR"/>
              </ns0:rPr>
              <ns0:t>SP</ns0:t>
            </ns0:r>
            <ns0:r>
              <ns0:rPr>
                <ns0:rFonts ns0:hint="default" ns0:ascii="Times New Roman" ns0:hAnsi="Times New Roman" ns0:eastAsia="Times New Roman" ns0:cs="Times New Roman"/>
                <ns0:color ns0:val="auto"/>
                <ns0:lang ns0:val="pt-BR"/>
              </ns0:rPr>
              <ns0:t>)</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0ED519">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Kg/Kg</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8EDCAD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Teste de 1-RM</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58C7DA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Capacidade relativa de suporte e estabilidade articular do complexo do ombro.</ns0:t>
            </ns0:r>
          </ns0:p>
        </ns0:tc>
      </ns0:tr>
      <ns0:tr ns2:paraId="7192C65B">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D1002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Resistência em posição invertida (</ns0:t>
            </ns0:r>
            <ns0:r>
              <ns0:rPr>
                <ns0:rFonts ns0:hint="default" ns0:ascii="Times New Roman" ns0:hAnsi="Times New Roman" ns0:eastAsia="Times New Roman" ns0:cs="Times New Roman"/>
                <ns0:i/>
                <ns0:iCs/>
                <ns0:color ns0:val="auto"/>
              </ns0:rPr>
              <ns0:t>wall-supported HS</ns0:t>
            </ns0:r>
            <ns0:r>
              <ns0:rPr>
                <ns0:rFonts ns0:hint="default" ns0:ascii="Times New Roman" ns0:hAnsi="Times New Roman" ns0:eastAsia="Times New Roman" ns0:cs="Times New Roman"/>
                <ns0:color ns0:val="auto"/>
              </ns0:rPr>
              <ns0:t>)</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9441101">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Segundos (s)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C007E5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Cronometro Digital</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9FB87B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Tolerância à fadiga isométrica dos membros superiores em suporte vertical.</ns0:t>
            </ns0:r>
          </ns0:p>
        </ns0:tc>
      </ns0:tr>
      <ns0:tr ns2:paraId="4D39B1C7">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6D07E7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Altura do CoM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237380B">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Milímetros (mm)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790097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5BC83EE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C22C70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Determina a altura do pêndulo invertido e a instabilidade mecânica intrínseca.</ns0:t>
            </ns0:r>
          </ns0:p>
        </ns0:tc>
      </ns0:tr>
      <ns0:tr ns2:paraId="6AD48F0F">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9660A84">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rPr>
              <ns0:t>Comprimentos dos Membros</ns0:t>
            </ns0:r>
            <ns0:r>
              <ns0:rPr>
                <ns0:rFonts ns0:hint="default" ns0:ascii="Times New Roman" ns0:hAnsi="Times New Roman" ns0:eastAsia="Times New Roman" ns0:cs="Times New Roman"/>
                <ns0:color ns0:val="auto"/>
                <ns0:lang ns0:val="pt-BR"/>
              </ns0:rPr>
              <ns0:t xml:space="preserve"> Superiores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393A9E0">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Milímetros (mm)</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AAE410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A01393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FC584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Efeito do braço de alavanca anatômico na magnitude dos torques corretores.</ns0:t>
            </ns0:r>
          </ns0:p>
        </ns0:tc>
      </ns0:tr>
      <ns0:tr ns2:paraId="3CF3178E">
        <ns0:tblPrEx>
          <ns0:tblCellMar>
            <ns0:top ns0:w="0" ns0:type="dxa"/>
            <ns0:left ns0:w="108" ns0:type="dxa"/>
            <ns0:bottom ns0:w="0" ns0:type="dxa"/>
            <ns0:right ns0:w="108" ns0:type="dxa"/>
          </ns0:tblCellMar>
        </ns0:tblPrEx>
        <ns0:trPr>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78133C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Composição Corporal: % de Gordura</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B609E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2AC208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Bioimpedância Tetrapolar (Sanny®)</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069912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Impacto da adiposidade (lastro inerte desestabilizador) na capacidade de sustentação. A massa livre de gordura (kg) é aferida para caracterização geral da amostra.</ns0:t>
            </ns0:r>
          </ns0:p>
        </ns0:tc>
      </ns0:tr>
      <ns0:tr ns2:paraId="2D5EC2E0">
        <ns0:tblPrEx>
          <ns0:tblCellMar>
            <ns0:top ns0:w="0" ns0:type="dxa"/>
            <ns0:left ns0:w="108" ns0:type="dxa"/>
            <ns0:bottom ns0:w="0" ns0:type="dxa"/>
            <ns0:right ns0:w="108" ns0:type="dxa"/>
          </ns0:tblCellMar>
        </ns0:tblPrEx>
        <ns0:trPr>
          <ns0:trHeight ns0:val="1216" ns0:hRule="atLeast"/>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3004A0F">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cs="Times New Roman"/>
                <ns0:color ns0:val="auto"/>
              </ns0:rPr>
              <ns0:t>Volume de Prática Acumulada</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E95CFF4">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Horas totais estimadas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D25C32B">
            <ns0:pPr>
              <ns0:spacing ns0:line="360" ns0:lineRule="auto"/>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rPr>
              <ns0:t xml:space="preserve">Questionário </ns0:t>
            </ns0:r>
            <ns0:r>
              <ns0:rPr>
                <ns0:rFonts ns0:hint="default" ns0:ascii="Times New Roman" ns0:hAnsi="Times New Roman" ns0:eastAsia="Times New Roman" ns0:cs="Times New Roman"/>
                <ns0:color ns0:val="auto"/>
                <ns0:lang ns0:val="pt-BR"/>
              </ns0:rPr>
              <ns0:t>Padronizado</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CBD186B">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Avalia se experiência prévia está associada a maior estabilidade e proficiência técnica.</ns0:t>
            </ns0:r>
          </ns0:p>
        </ns0:tc>
      </ns0:tr>
      <ns0:tr ns2:paraId="41CB3420">
        <ns0:tblPrEx>
          <ns0:tblCellMar>
            <ns0:top ns0:w="0" ns0:type="dxa"/>
            <ns0:left ns0:w="108" ns0:type="dxa"/>
            <ns0:bottom ns0:w="0" ns0:type="dxa"/>
            <ns0:right ns0:w="108" ns0:type="dxa"/>
          </ns0:tblCellMar>
        </ns0:tblPrEx>
        <ns0:trPr>
          <ns0:trHeight ns0:val="1216" ns0:hRule="atLeast"/>
          <ns0:jc ns0:val="center"/>
        </ns0:trPr>
        <ns0:tc>
          <ns0:tcPr>
            <ns0:tcW ns0:w="299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029603">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I</ns0:t>
            </ns0:r>
            <ns0:r>
              <ns0:rPr>
                <ns0:rFonts ns0:hint="default" ns0:ascii="Times New Roman" ns0:hAnsi="Times New Roman" ns0:eastAsia="Times New Roman" ns0:cs="Times New Roman"/>
                <ns0:color ns0:val="auto"/>
              </ns0:rPr>
              <ns0:t xml:space="preserve">dade </ns0:t>
            </ns0:r>
            <ns0:r>
              <ns0:rPr>
                <ns0:rFonts ns0:hint="default" ns0:ascii="Times New Roman" ns0:hAnsi="Times New Roman" ns0:eastAsia="Times New Roman" ns0:cs="Times New Roman"/>
                <ns0:color ns0:val="auto"/>
                <ns0:lang ns0:val="pt-BR"/>
              </ns0:rPr>
              <ns0:t>C</ns0:t>
            </ns0:r>
            <ns0:r>
              <ns0:rPr>
                <ns0:rFonts ns0:hint="default" ns0:ascii="Times New Roman" ns0:hAnsi="Times New Roman" ns0:eastAsia="Times New Roman" ns0:cs="Times New Roman"/>
                <ns0:color ns0:val="auto"/>
              </ns0:rPr>
              <ns0:t xml:space="preserve">ronológica </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37B820A">
            <ns0:pPr>
              <ns0:spacing ns0:line="360" ns0:lineRule="auto"/>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Anos</ns0:t>
            </ns0:r>
          </ns0:p>
        </ns0:tc>
        <ns0:tc>
          <ns0:tcPr>
            <ns0:tcW ns0:w="253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AE384E">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Questionário </ns0:t>
            </ns0:r>
            <ns0:r>
              <ns0:rPr>
                <ns0:rFonts ns0:hint="default" ns0:ascii="Times New Roman" ns0:hAnsi="Times New Roman" ns0:eastAsia="Times New Roman" ns0:cs="Times New Roman"/>
                <ns0:color ns0:val="auto"/>
                <ns0:lang ns0:val="pt-BR"/>
              </ns0:rPr>
              <ns0:t>Padronizado</ns0:t>
            </ns0:r>
          </ns0:p>
        </ns0:tc>
        <ns0:tc>
          <ns0:tcPr>
            <ns0:tcW ns0:w="366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0AC96E3">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Impacto da idade versus experiência na qualidade do controle sensório-motor</ns0:t>
            </ns0:r>
          </ns0:p>
        </ns0:tc>
      </ns0:tr>
    </ns0:tbl>
    <ns0:p ns2:paraId="613C078A">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Fonte: Elaborado pelo autor (2025).</ns0:t>
      </ns0:r>
    </ns0:p>
    <ns0:p ns2:paraId="5C2A99B7">
      <ns0:pPr>
        <ns0:spacing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QUADRO 2 – Variáveis relacionadas ao desempenho no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ns0:t>
      </ns0:r>
    </ns0:p>
    <ns0:tbl>
      <ns0:tblPr>
        <ns0:tblStyle ns0:val="7"/>
        <ns0:tblpPr ns0:leftFromText="180" ns0:rightFromText="180" ns0:vertAnchor="text" ns0:horzAnchor="page" ns0:tblpX="367" ns0:tblpY="425"/>
        <ns0:tblOverlap ns0:val="never"/>
        <ns0:tblW ns0:w="11634" ns0:type="dxa"/>
        <ns0:tblInd ns0:w="0" ns0:type="dxa"/>
        <ns0:tblLayout ns0:type="fixed"/>
        <ns0:tblCellMar>
          <ns0:top ns0:w="0" ns0:type="dxa"/>
          <ns0:left ns0:w="108" ns0:type="dxa"/>
          <ns0:bottom ns0:w="0" ns0:type="dxa"/>
          <ns0:right ns0:w="108" ns0:type="dxa"/>
        </ns0:tblCellMar>
      </ns0:tblPr>
      <ns0:tblGrid>
        <ns0:gridCol ns0:w="2970"/>
        <ns0:gridCol ns0:w="2552"/>
        <ns0:gridCol ns0:w="2552"/>
        <ns0:gridCol ns0:w="3560"/>
      </ns0:tblGrid>
      <ns0:tr ns2:paraId="72B9A940">
        <ns0:tblPrEx>
          <ns0:tblCellMar>
            <ns0:top ns0:w="0" ns0:type="dxa"/>
            <ns0:left ns0:w="108" ns0:type="dxa"/>
            <ns0:bottom ns0:w="0" ns0:type="dxa"/>
            <ns0:right ns0:w="108" ns0:type="dxa"/>
          </ns0:tblCellMar>
        </ns0:tblPrEx>
        <ns0:trPr>
          <ns0:tblHeader/>
        </ns0:trPr>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6957D745">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Variável</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396C7E5E">
            <ns0:pPr>
              <ns0:spacing ns0:line="360" ns0:lineRule="auto"/>
              <ns0:jc ns0:val="left"/>
              <ns0:rPr>
                <ns0:rFonts ns0:hint="default" ns0:ascii="Times New Roman" ns0:hAnsi="Times New Roman" ns0:eastAsia="Times New Roman" ns0:cs="Times New Roman"/>
                <ns0:b/>
                <ns0:bCs/>
                <ns0:color ns0:val="auto"/>
                <ns0:lang ns0:val="pt-BR"/>
              </ns0:rPr>
            </ns0:pPr>
            <ns0:r>
              <ns0:rPr>
                <ns0:rFonts ns0:hint="default" ns0:ascii="Times New Roman" ns0:hAnsi="Times New Roman" ns0:eastAsia="Times New Roman" ns0:cs="Times New Roman"/>
                <ns0:b/>
                <ns0:bCs/>
                <ns0:color ns0:val="auto"/>
                <ns0:lang ns0:val="pt-BR"/>
              </ns0:rPr>
              <ns0:t>Unidade</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69EA7171">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Método de Medição</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D9D9D9"/>
            <ns0:vAlign ns0:val="center"/>
          </ns0:tcPr>
          <ns0:p ns2:paraId="620EF429">
            <ns0:pPr>
              <ns0:spacing ns0:line="360" ns0:lineRule="auto"/>
              <ns0:jc ns0:val="left"/>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Justificativa</ns0:t>
            </ns0:r>
          </ns0:p>
        </ns0:tc>
      </ns0:tr>
      <ns0:tr ns2:paraId="5C8EBA1D">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79EECB7">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 xml:space="preserve">Mediana da </ns0:t>
            </ns0:r>
            <ns0:r>
              <ns0:rPr>
                <ns0:rFonts ns0:hint="default" ns0:ascii="Times New Roman" ns0:hAnsi="Times New Roman" ns0:eastAsia="Times New Roman" ns0:cs="Times New Roman"/>
                <ns0:color ns0:val="auto"/>
              </ns0:rPr>
              <ns0:t xml:space="preserve">Distância </ns0:t>
            </ns0:r>
            <ns0:r>
              <ns0:rPr>
                <ns0:rFonts ns0:hint="default" ns0:ascii="Times New Roman" ns0:hAnsi="Times New Roman" ns0:eastAsia="Times New Roman" ns0:cs="Times New Roman"/>
                <ns0:color ns0:val="auto"/>
                <ns0:lang ns0:val="pt-BR"/>
              </ns0:rPr>
              <ns0:t>P</ns0:t>
            </ns0:r>
            <ns0:r>
              <ns0:rPr>
                <ns0:rFonts ns0:hint="default" ns0:ascii="Times New Roman" ns0:hAnsi="Times New Roman" ns0:eastAsia="Times New Roman" ns0:cs="Times New Roman"/>
                <ns0:color ns0:val="auto"/>
              </ns0:rPr>
              <ns0:t>ercorrida</ns0:t>
            </ns0:r>
            <ns0:r>
              <ns0:rPr>
                <ns0:rFonts ns0:hint="default" ns0:ascii="Times New Roman" ns0:hAnsi="Times New Roman" ns0:eastAsia="Times New Roman" ns0:cs="Times New Roman"/>
                <ns0:color ns0:val="auto"/>
                <ns0:lang ns0:val="pt-BR"/>
              </ns0:rPr>
              <ns0:t xml:space="preserve"> (desfecho)</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53973B6">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Metros (m)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EC1B0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AD66AC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ECB692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Reflete a capacidade de manter a posição invertida em deslocamento contínuo.</ns0:t>
            </ns0:r>
          </ns0:p>
        </ns0:tc>
      </ns0:tr>
      <ns0:tr ns2:paraId="6DF308A5">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69E274B">
            <ns0:pPr>
              <ns0:spacing ns0:line="360" ns0:lineRule="auto"/>
              <ns0:jc ns0:val="left"/>
              <ns0:rPr>
                <ns0:rFonts ns0:hint="default" ns0:ascii="Times New Roman" ns0:hAnsi="Times New Roman" ns0:eastAsia="Times New Roman" ns0:cs="Times New Roman"/>
                <ns0:i/>
                <ns0:iCs/>
                <ns0:color ns0:val="auto"/>
              </ns0:rPr>
            </ns0:pPr>
            <ns0:r>
              <ns0:rPr>
                <ns0:rFonts ns0:hint="default" ns0:ascii="Times New Roman" ns0:hAnsi="Times New Roman" ns0:eastAsia="Times New Roman" ns0:cs="Times New Roman"/>
                <ns0:color ns0:val="auto"/>
              </ns0:rPr>
              <ns0:t xml:space="preserve">Melhor tempo de sustentação no </ns0:t>
            </ns0:r>
            <ns0:r>
              <ns0:rPr>
                <ns0:rFonts ns0:hint="default" ns0:ascii="Times New Roman" ns0:hAnsi="Times New Roman" ns0:eastAsia="Times New Roman" ns0:cs="Times New Roman"/>
                <ns0:i/>
                <ns0:iCs/>
                <ns0:color ns0:val="auto"/>
              </ns0:rPr>
              <ns0:t>HS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D4A7927">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Segundos (s)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C563D2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3374603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29B615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Transferência da capacidade de equilíbrio estático para a locomoção dinâmica.</ns0:t>
            </ns0:r>
          </ns0:p>
        </ns0:tc>
      </ns0:tr>
      <ns0:tr ns2:paraId="3A84A8E8">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776A34D">
            <ns0:pPr>
              <ns0:spacing ns0:line="360" ns0:lineRule="auto"/>
              <ns0:jc ns0:val="left"/>
              <ns0:rPr>
                <ns0:rFonts ns0:hint="default" ns0:ascii="Times New Roman" ns0:hAnsi="Times New Roman" ns0:eastAsia="Times New Roman" ns0:cs="Times New Roman"/>
                <ns0:i/>
                <ns0:iCs/>
                <ns0:color ns0:val="auto"/>
              </ns0:rPr>
            </ns0:pPr>
            <ns0:r>
              <ns0:rPr>
                <ns0:rFonts ns0:hint="default" ns0:ascii="Times New Roman" ns0:hAnsi="Times New Roman" ns0:eastAsia="Times New Roman" ns0:cs="Times New Roman"/>
                <ns0:color ns0:val="auto"/>
              </ns0:rPr>
              <ns0:t xml:space="preserve">ApEn no </ns0:t>
            </ns0:r>
            <ns0:r>
              <ns0:rPr>
                <ns0:rFonts ns0:hint="default" ns0:ascii="Times New Roman" ns0:hAnsi="Times New Roman" ns0:eastAsia="Times New Roman" ns0:cs="Times New Roman"/>
                <ns0:i/>
                <ns0:iCs/>
                <ns0:color ns0:val="auto"/>
              </ns0:rPr>
              <ns0:t>HS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4BDC88">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Unidades Arbitrárias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D63BDF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Plataforma de Força (Bertec®)</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67B129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Transferência da qualidade de controle postural estático para a dinâmica.</ns0:t>
            </ns0:r>
          </ns0:p>
        </ns0:tc>
      </ns0:tr>
      <ns0:tr ns2:paraId="70A4382C">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9F964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Comprimento médio das passadas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A2A220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Milímetros (mm)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E33A0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48560B9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808B21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Identifica o padrão de locomoção, distinguindo estratégias de propulsão ou estabilidade.</ns0:t>
            </ns0:r>
          </ns0:p>
        </ns0:tc>
      </ns0:tr>
      <ns0:tr ns2:paraId="3886BF87">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70BF5C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Cadência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253AD4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Passadas / segundo</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92C892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50E1C98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0FE581B">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Avalia a frequência dos apoios e sua relação com eficiência ou fadiga.</ns0:t>
            </ns0:r>
          </ns0:p>
        </ns0:tc>
      </ns0:tr>
      <ns0:tr ns2:paraId="3C1C36BA">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1D7EE51">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Variabilidade </ns0:t>
            </ns0:r>
            <ns0:r>
              <ns0:rPr>
                <ns0:rFonts ns0:hint="default" ns0:ascii="Times New Roman" ns0:hAnsi="Times New Roman" ns0:eastAsia="Times New Roman" ns0:cs="Times New Roman"/>
                <ns0:color ns0:val="auto"/>
                <ns0:lang ns0:val="pt-BR"/>
              </ns0:rPr>
              <ns0:t>E</ns0:t>
            </ns0:r>
            <ns0:r>
              <ns0:rPr>
                <ns0:rFonts ns0:hint="default" ns0:ascii="Times New Roman" ns0:hAnsi="Times New Roman" ns0:eastAsia="Times New Roman" ns0:cs="Times New Roman"/>
                <ns0:color ns0:val="auto"/>
              </ns0:rPr>
              <ns0:t xml:space="preserve">spacial entre </ns0:t>
            </ns0:r>
            <ns0:r>
              <ns0:rPr>
                <ns0:rFonts ns0:hint="default" ns0:ascii="Times New Roman" ns0:hAnsi="Times New Roman" ns0:eastAsia="Times New Roman" ns0:cs="Times New Roman"/>
                <ns0:color ns0:val="auto"/>
                <ns0:lang ns0:val="pt-BR"/>
              </ns0:rPr>
              <ns0:t>P</ns0:t>
            </ns0:r>
            <ns0:r>
              <ns0:rPr>
                <ns0:rFonts ns0:hint="default" ns0:ascii="Times New Roman" ns0:hAnsi="Times New Roman" ns0:eastAsia="Times New Roman" ns0:cs="Times New Roman"/>
                <ns0:color ns0:val="auto"/>
              </ns0:rPr>
              <ns0:t>assadas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85ABD0C">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CV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EE9515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63DE86D2">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AE7079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Coeficiente de variação do comprimento das passadas (consistência motora)</ns0:t>
            </ns0:r>
          </ns0:p>
        </ns0:tc>
      </ns0:tr>
      <ns0:tr ns2:paraId="2D8EF073">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F50E38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Variabilidade </ns0:t>
            </ns0:r>
            <ns0:r>
              <ns0:rPr>
                <ns0:rFonts ns0:hint="default" ns0:ascii="Times New Roman" ns0:hAnsi="Times New Roman" ns0:eastAsia="Times New Roman" ns0:cs="Times New Roman"/>
                <ns0:color ns0:val="auto"/>
                <ns0:lang ns0:val="pt-BR"/>
              </ns0:rPr>
              <ns0:t>T</ns0:t>
            </ns0:r>
            <ns0:r>
              <ns0:rPr>
                <ns0:rFonts ns0:hint="default" ns0:ascii="Times New Roman" ns0:hAnsi="Times New Roman" ns0:eastAsia="Times New Roman" ns0:cs="Times New Roman"/>
                <ns0:color ns0:val="auto"/>
              </ns0:rPr>
              <ns0:t>emporal  entre passadas)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AD809E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CV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71EDEE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0D368F70">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1296ED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Coeficiente de variação do tempo entre passadas (ritmicidade motora)</ns0:t>
            </ns0:r>
          </ns0:p>
        </ns0:tc>
      </ns0:tr>
      <ns0:tr ns2:paraId="1423362E">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AFE99A7">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Índice de Verticalidade</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80DF4B6">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Graus (º)</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E735FC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459713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659F54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Alinhamento angular tridimensional médio durante o deslocamento.</ns0:t>
            </ns0:r>
          </ns0:p>
        </ns0:tc>
      </ns0:tr>
      <ns0:tr ns2:paraId="0CD9A39A">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01CAF80">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Extensão Cervical</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4AB27568">
            <ns0:pPr>
              <ns0:spacing ns0:line="360" ns0:lineRule="auto"/>
              <ns0:jc ns0:val="left"/>
              <ns0:rPr>
                <ns0:rFonts ns0:hint="default" ns0:ascii="Times New Roman" ns0:hAnsi="Times New Roman" ns0:eastAsia="Times New Roman" ns0:cs="Times New Roman"/>
                <ns0:color ns0:val="auto"/>
                <ns0:sz ns0:val="24"/>
                <ns0:szCs ns0:val="24"/>
                <ns0:lang ns0:val="pt-BR" ns0:eastAsia="pt-BR" ns0:bidi="ar-SA"/>
              </ns0:rPr>
            </ns0:pPr>
            <ns0:r>
              <ns0:rPr>
                <ns0:rFonts ns0:hint="default" ns0:ascii="Times New Roman" ns0:hAnsi="Times New Roman" ns0:eastAsia="Times New Roman" ns0:cs="Times New Roman"/>
                <ns0:color ns0:val="auto"/>
                <ns0:lang ns0:val="pt-BR"/>
              </ns0:rPr>
              <ns0:t>Graus (º)</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1E8E2F5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91FF67E">
            <ns0:pPr>
              <ns0:spacing ns0:line="360" ns0:lineRule="auto"/>
              <ns0:jc ns0:val="left"/>
              <ns0:rPr>
                <ns0:rFonts ns0:hint="default" ns0:ascii="Times New Roman" ns0:hAnsi="Times New Roman" ns0:eastAsia="Times New Roman" ns0:cs="Times New Roman"/>
                <ns0:color ns0:val="auto"/>
                <ns0:sz ns0:val="24"/>
                <ns0:szCs ns0:val="24"/>
                <ns0:lang ns0:val="pt-BR" ns0:eastAsia="pt-BR" ns0:bidi="ar-SA"/>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B916295">
            <ns0:pPr>
              <ns0:spacing ns0:line="360" ns0:lineRule="auto"/>
              <ns0:jc ns0:val="left"/>
              <ns0:rPr>
                <ns0:rFonts ns0:hint="default" ns0:ascii="Times New Roman" ns0:hAnsi="Times New Roman" ns0:eastAsia="SimSun" ns0:cs="Times New Roman"/>
                <ns0:color ns0:val="auto"/>
                <ns0:sz ns0:val="24"/>
                <ns0:szCs ns0:val="24"/>
              </ns0:rPr>
            </ns0:pPr>
            <ns0:r>
              <ns0:rPr>
                <ns0:rFonts ns0:hint="default" ns0:ascii="Times New Roman" ns0:hAnsi="Times New Roman" ns0:eastAsia="SimSun" ns0:cs="Times New Roman"/>
                <ns0:color ns0:val="auto"/>
                <ns0:sz ns0:val="24"/>
                <ns0:szCs ns0:val="24"/>
              </ns0:rPr>
              <ns0:t>Influência da cabeça na visibilidade e na inclinação de progressão.</ns0:t>
            </ns0:r>
          </ns0:p>
        </ns0:tc>
      </ns0:tr>
      <ns0:tr ns2:paraId="1A98BC3A">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4D45438F">
            <ns0:pPr>
              <ns0:rPr>
                <ns0:rFonts ns0:hint="default" ns0:ascii="Times New Roman" ns0:hAnsi="Times New Roman" ns0:eastAsia="Times New Roman" ns0:cs="Times New Roman"/>
                <ns0:color ns0:val="auto"/>
                <ns0:sz ns0:val="24"/>
                <ns0:szCs ns0:val="24"/>
                <ns0:lang ns0:val="pt-BR" ns0:eastAsia="pt-BR" ns0:bidi="ar-SA"/>
              </ns0:rPr>
            </ns0:pPr>
            <ns0:r>
              <ns0:rPr>
                <ns0:rFonts ns0:hint="default" ns0:ascii="Times New Roman" ns0:hAnsi="Times New Roman" ns0:cs="Times New Roman"/>
                <ns0:color ns0:val="auto"/>
              </ns0:rPr>
              <ns0:t xml:space="preserve">Flexão Plantar do Tornozelo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574CB787">
            <ns0:pPr>
              <ns0:rPr>
                <ns0:rFonts ns0:hint="default" ns0:ascii="Times New Roman" ns0:hAnsi="Times New Roman" ns0:eastAsia="Times New Roman" ns0:cs="Times New Roman"/>
                <ns0:color ns0:val="auto"/>
                <ns0:sz ns0:val="24"/>
                <ns0:szCs ns0:val="24"/>
                <ns0:lang ns0:val="pt-BR" ns0:eastAsia="pt-BR" ns0:bidi="ar-SA"/>
              </ns0:rPr>
            </ns0:pPr>
            <ns0:r>
              <ns0:rPr>
                <ns0:rFonts ns0:hint="default" ns0:ascii="Times New Roman" ns0:hAnsi="Times New Roman" ns0:cs="Times New Roman"/>
                <ns0:color ns0:val="auto"/>
                <ns0:lang ns0:val="pt-BR"/>
              </ns0:rPr>
              <ns0:t>Graus (º)</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092DE94A">
            <ns0:pPr>
              <ns0:rPr>
                <ns0:rFonts ns0:hint="default" ns0:ascii="Times New Roman" ns0:hAnsi="Times New Roman" ns0:cs="Times New Roman"/>
                <ns0:color ns0:val="auto"/>
              </ns0:rPr>
            </ns0:pPr>
            <ns0:r>
              <ns0:rPr>
                <ns0:rFonts ns0:hint="default" ns0:ascii="Times New Roman" ns0:hAnsi="Times New Roman" ns0:cs="Times New Roman"/>
                <ns0:color ns0:val="auto"/>
              </ns0:rPr>
              <ns0:t xml:space="preserve">Captura de Movimento </ns0:t>
            </ns0:r>
          </ns0:p>
          <ns0:p ns2:paraId="3CC5A01D">
            <ns0:pPr>
              <ns0:rPr>
                <ns0:rFonts ns0:hint="default" ns0:ascii="Times New Roman" ns0:hAnsi="Times New Roman" ns0:eastAsia="Times New Roman" ns0:cs="Times New Roman"/>
                <ns0:color ns0:val="auto"/>
                <ns0:sz ns0:val="24"/>
                <ns0:szCs ns0:val="24"/>
                <ns0:lang ns0:val="pt-BR" ns0:eastAsia="pt-BR" ns0:bidi="ar-SA"/>
              </ns0:rPr>
            </ns0:pPr>
            <ns0:r>
              <ns0:rPr>
                <ns0:rFonts ns0:hint="default" ns0:ascii="Times New Roman" ns0:hAnsi="Times New Roman" ns0:cs="Times New Roman"/>
                <ns0:color ns0:val="auto"/>
              </ns0:rPr>
              <ns0:t xml:space="preserve">(Vicon®) </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shd ns0:val="clear" ns0:color="auto" ns0:fill="auto"/>
            <ns0:vAlign ns0:val="center"/>
          </ns0:tcPr>
          <ns0:p ns2:paraId="52C56440">
            <ns0:pPr>
              <ns0:rPr>
                <ns0:rFonts ns0:hint="default" ns0:ascii="Times New Roman" ns0:hAnsi="Times New Roman" ns0:eastAsia="Times New Roman" ns0:cs="Times New Roman"/>
                <ns0:color ns0:val="auto"/>
                <ns0:sz ns0:val="24"/>
                <ns0:szCs ns0:val="24"/>
                <ns0:lang ns0:val="pt-BR" ns0:eastAsia="zh-CN" ns0:bidi="ar-SA"/>
              </ns0:rPr>
            </ns0:pPr>
            <ns0:r>
              <ns0:rPr>
                <ns0:rFonts ns0:hint="default" ns0:ascii="Times New Roman" ns0:hAnsi="Times New Roman" ns0:cs="Times New Roman"/>
                <ns0:color ns0:val="auto"/>
              </ns0:rPr>
              <ns0:t xml:space="preserve">Avalia a rigidez segmentar distal e </ns0:t>
            </ns0:r>
            <ns0:r>
              <ns0:rPr>
                <ns0:rFonts ns0:hint="default" ns0:ascii="Times New Roman" ns0:hAnsi="Times New Roman" ns0:cs="Times New Roman"/>
                <ns0:color ns0:val="auto"/>
                <ns0:lang ns0:val="pt-BR"/>
              </ns0:rPr>
              <ns0:t>engajamento muscular</ns0:t>
            </ns0:r>
            <ns0:r>
              <ns0:rPr>
                <ns0:rFonts ns0:hint="default" ns0:ascii="Times New Roman" ns0:hAnsi="Times New Roman" ns0:cs="Times New Roman"/>
                <ns0:color ns0:val="auto"/>
              </ns0:rPr>
              <ns0:t xml:space="preserve"> </ns0:t>
            </ns0:r>
            <ns0:r>
              <ns0:rPr>
                <ns0:rFonts ns0:hint="default" ns0:ascii="Times New Roman" ns0:hAnsi="Times New Roman" ns0:cs="Times New Roman"/>
                <ns0:i/>
                <ns0:iCs/>
                <ns0:color ns0:val="auto"/>
              </ns0:rPr>
              <ns0:t>single-link</ns0:t>
            </ns0:r>
            <ns0:r>
              <ns0:rPr>
                <ns0:rFonts ns0:hint="default" ns0:ascii="Times New Roman" ns0:hAnsi="Times New Roman" ns0:cs="Times New Roman"/>
                <ns0:color ns0:val="auto"/>
                <ns0:lang ns0:val="pt-BR"/>
              </ns0:rPr>
              <ns0:t xml:space="preserve"> (rígido)</ns0:t>
            </ns0:r>
            <ns0:r>
              <ns0:rPr>
                <ns0:rFonts ns0:hint="default" ns0:ascii="Times New Roman" ns0:hAnsi="Times New Roman" ns0:cs="Times New Roman"/>
                <ns0:color ns0:val="auto"/>
              </ns0:rPr>
              <ns0:t> vs. </ns0:t>
            </ns0:r>
            <ns0:r>
              <ns0:rPr>
                <ns0:rFonts ns0:hint="default" ns0:ascii="Times New Roman" ns0:hAnsi="Times New Roman" ns0:cs="Times New Roman"/>
                <ns0:i/>
                <ns0:iCs/>
                <ns0:color ns0:val="auto"/>
              </ns0:rPr>
              <ns0:t>multi-link</ns0:t>
            </ns0:r>
            <ns0:r>
              <ns0:rPr>
                <ns0:rFonts ns0:hint="default" ns0:ascii="Times New Roman" ns0:hAnsi="Times New Roman" ns0:cs="Times New Roman"/>
                <ns0:color ns0:val="auto"/>
              </ns0:rPr>
              <ns0:t> </ns0:t>
            </ns0:r>
            <ns0:r>
              <ns0:rPr>
                <ns0:rFonts ns0:hint="default" ns0:ascii="Times New Roman" ns0:hAnsi="Times New Roman" ns0:cs="Times New Roman"/>
                <ns0:color ns0:val="auto"/>
                <ns0:lang ns0:val="pt-BR"/>
              </ns0:rPr>
              <ns0:t>(os</ns0:t>
            </ns0:r>
            <ns0:r>
              <ns0:rPr>
                <ns0:rFonts ns0:hint="default" ns0:ascii="Times New Roman" ns0:hAnsi="Times New Roman" ns0:cs="Times New Roman"/>
                <ns0:color ns0:val="auto"/>
              </ns0:rPr>
              <ns0:t>ila</ns0:t>
            </ns0:r>
            <ns0:r>
              <ns0:rPr>
                <ns0:rFonts ns0:hint="default" ns0:ascii="Times New Roman" ns0:hAnsi="Times New Roman" ns0:cs="Times New Roman"/>
                <ns0:color ns0:val="auto"/>
                <ns0:lang ns0:val="pt-BR"/>
              </ns0:rPr>
              <ns0:t>nte)</ns0:t>
            </ns0:r>
          </ns0:p>
        </ns0:tc>
      </ns0:tr>
      <ns0:tr ns2:paraId="4D0F4E66">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5E23B9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 xml:space="preserve">Largura da </ns0:t>
            </ns0:r>
            <ns0:r>
              <ns0:rPr>
                <ns0:rFonts ns0:hint="default" ns0:ascii="Times New Roman" ns0:hAnsi="Times New Roman" ns0:eastAsia="Times New Roman" ns0:cs="Times New Roman"/>
                <ns0:color ns0:val="auto"/>
              </ns0:rPr>
              <ns0:t xml:space="preserve">Base de </ns0:t>
            </ns0:r>
            <ns0:r>
              <ns0:rPr>
                <ns0:rFonts ns0:hint="default" ns0:ascii="Times New Roman" ns0:hAnsi="Times New Roman" ns0:eastAsia="Times New Roman" ns0:cs="Times New Roman"/>
                <ns0:color ns0:val="auto"/>
                <ns0:lang ns0:val="pt-BR"/>
              </ns0:rPr>
              <ns0:t>A</ns0:t>
            </ns0:r>
            <ns0:r>
              <ns0:rPr>
                <ns0:rFonts ns0:hint="default" ns0:ascii="Times New Roman" ns0:hAnsi="Times New Roman" ns0:eastAsia="Times New Roman" ns0:cs="Times New Roman"/>
                <ns0:color ns0:val="auto"/>
              </ns0:rPr>
              <ns0:t xml:space="preserve">poio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BD8567F">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Milímetros (mm)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3FD7AF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781050B0">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4F4593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Distância mediolateral média entre as mãos durante as passadas.</ns0:t>
            </ns0:r>
          </ns0:p>
        </ns0:tc>
      </ns0:tr>
      <ns0:tr ns2:paraId="1EB02DF4">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FE36AB8">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Orientação angular das mãos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85D0A5">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Graus (º)</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F93A9D2">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0281FE7F">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00D061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Rotação externa das mãos facilitando o avanço do CoM.</ns0:t>
            </ns0:r>
          </ns0:p>
        </ns0:tc>
      </ns0:tr>
      <ns0:tr ns2:paraId="7FE5F618">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C8A191C">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lang ns0:val="pt-BR"/>
              </ns0:rPr>
              <ns0:t>Í</ns0:t>
            </ns0:r>
            <ns0:r>
              <ns0:rPr>
                <ns0:rFonts ns0:hint="default" ns0:ascii="Times New Roman" ns0:hAnsi="Times New Roman" ns0:eastAsia="SimSun" ns0:cs="Times New Roman"/>
                <ns0:color ns0:val="auto"/>
                <ns0:sz ns0:val="24"/>
                <ns0:szCs ns0:val="24"/>
              </ns0:rPr>
              <ns0:t>ndice de Simetria de Membros no punho (LSI_FFP)</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6E2E32">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40F69E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Dinamometria Isométrica (Biodex® PRO)</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073A9CA">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Relação do pico de torque da mão dominante x não dominante</ns0:t>
            </ns0:r>
          </ns0:p>
        </ns0:tc>
      </ns0:tr>
      <ns0:tr ns2:paraId="7DF76432">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4C325DE">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rPr>
              <ns0:t xml:space="preserve">Força máxima relativa à massa corporal no </ns0:t>
            </ns0:r>
            <ns0:r>
              <ns0:rPr>
                <ns0:rFonts ns0:hint="default" ns0:ascii="Times New Roman" ns0:hAnsi="Times New Roman" ns0:eastAsia="Times New Roman" ns0:cs="Times New Roman"/>
                <ns0:i/>
                <ns0:iCs/>
                <ns0:color ns0:val="auto"/>
                <ns0:lang ns0:val="pt-BR"/>
              </ns0:rPr>
              <ns0:t>SP</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FEE2117">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lang ns0:val="pt-BR"/>
              </ns0:rPr>
              <ns0:t>K</ns0:t>
            </ns0:r>
            <ns0:r>
              <ns0:rPr>
                <ns0:rFonts ns0:hint="default" ns0:ascii="Times New Roman" ns0:hAnsi="Times New Roman" ns0:eastAsia="SimSun" ns0:cs="Times New Roman"/>
                <ns0:color ns0:val="auto"/>
                <ns0:sz ns0:val="24"/>
                <ns0:szCs ns0:val="24"/>
              </ns0:rPr>
              <ns0:t>g/</ns0:t>
            </ns0:r>
            <ns0:r>
              <ns0:rPr>
                <ns0:rFonts ns0:hint="default" ns0:ascii="Times New Roman" ns0:hAnsi="Times New Roman" ns0:eastAsia="SimSun" ns0:cs="Times New Roman"/>
                <ns0:color ns0:val="auto"/>
                <ns0:sz ns0:val="24"/>
                <ns0:szCs ns0:val="24"/>
                <ns0:lang ns0:val="pt-BR"/>
              </ns0:rPr>
              <ns0:t>K</ns0:t>
            </ns0:r>
            <ns0:r>
              <ns0:rPr>
                <ns0:rFonts ns0:hint="default" ns0:ascii="Times New Roman" ns0:hAnsi="Times New Roman" ns0:eastAsia="SimSun" ns0:cs="Times New Roman"/>
                <ns0:color ns0:val="auto"/>
                <ns0:sz ns0:val="24"/>
                <ns0:szCs ns0:val="24"/>
              </ns0:rPr>
              <ns0:t>g</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D90A080">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Teste de 1-RM </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06A02BB">
            <ns0:pPr>
              <ns0:keepNext ns0:val="0"/>
              <ns0:keepLines ns0:val="0"/>
              <ns0:widowControl/>
              <ns0:suppressLineNumbers ns0:val="0"/>
              <ns0:jc ns0:val="left"/>
              <ns0:rPr>
                <ns0:rFonts ns0:hint="default" ns0:ascii="Times New Roman" ns0:hAnsi="Times New Roman" ns0:eastAsia="Times New Roman" ns0:cs="Times New Roman"/>
                <ns0:color ns0:val="auto"/>
              </ns0:rPr>
            </ns0:pPr>
            <ns0:r>
              <ns0:rPr>
                <ns0:rFonts ns0:hint="default" ns0:ascii="Times New Roman" ns0:hAnsi="Times New Roman" ns0:eastAsia="sans-serif" ns0:cs="Times New Roman"/>
                <ns0:color ns0:val="auto"/>
                <ns0:kern ns0:val="0"/>
                <ns0:sz ns0:val="24"/>
                <ns0:szCs ns0:val="24"/>
                <ns0:lang ns0:val="en-US" ns0:eastAsia="zh-CN" ns0:bidi="ar"/>
              </ns0:rPr>
              <ns0:t>Capacidade de suportar o impacto dinâmico e transferir carga a cada ciclo.</ns0:t>
            </ns0:r>
            <ns0:r>
              <ns0:rPr>
                <ns0:rFonts ns0:hint="default" ns0:ascii="Times New Roman" ns0:hAnsi="Times New Roman" ns0:eastAsia="SimSun" ns0:cs="Times New Roman"/>
                <ns0:color ns0:val="auto"/>
                <ns0:kern ns0:val="0"/>
                <ns0:sz ns0:val="24"/>
                <ns0:szCs ns0:val="24"/>
                <ns0:lang ns0:val="en-US" ns0:eastAsia="zh-CN" ns0:bidi="ar"/>
              </ns0:rPr>
              <ns0:t xml:space="preserve"> </ns0:t>
            </ns0:r>
          </ns0:p>
        </ns0:tc>
      </ns0:tr>
      <ns0:tr ns2:paraId="61F3D369">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6CBCF1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Resistência em posição invertida (wall-supported </ns0:t>
            </ns0:r>
            <ns0:r>
              <ns0:rPr>
                <ns0:rFonts ns0:hint="default" ns0:ascii="Times New Roman" ns0:hAnsi="Times New Roman" ns0:eastAsia="Times New Roman" ns0:cs="Times New Roman"/>
                <ns0:i/>
                <ns0:iCs/>
                <ns0:color ns0:val="auto"/>
              </ns0:rPr>
              <ns0:t>HS</ns0:t>
            </ns0:r>
            <ns0:r>
              <ns0:rPr>
                <ns0:rFonts ns0:hint="default" ns0:ascii="Times New Roman" ns0:hAnsi="Times New Roman" ns0:eastAsia="Times New Roman" ns0:cs="Times New Roman"/>
                <ns0:color ns0:val="auto"/>
              </ns0:rPr>
              <ns0:t>)</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C7D1842">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lang ns0:val="pt-BR"/>
              </ns0:rPr>
              <ns0:t>Segundos (s)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3D3C5F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Cronometro Digital</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E5EB288">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Tolerância à fadiga de suporte durante a marcha prolongada.</ns0:t>
            </ns0:r>
          </ns0:p>
        </ns0:tc>
      </ns0:tr>
      <ns0:tr ns2:paraId="29414099">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2025256">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Altura do CoM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4B6A094">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Milímetros (mm)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E1D9C5D">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21045D9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F869650">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Instabilidade do centro de gravidade durante o deslocamento invertido.</ns0:t>
            </ns0:r>
          </ns0:p>
        </ns0:tc>
      </ns0:tr>
      <ns0:tr ns2:paraId="40F25F37">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757F6A3">
            <ns0:pPr>
              <ns0:spacing ns0:line="360" ns0:lineRule="auto"/>
              <ns0:jc ns0:val="left"/>
              <ns0:rPr>
                <ns0:rFonts ns0:hint="default" ns0:ascii="Times New Roman" ns0:hAnsi="Times New Roman" ns0:eastAsia="Times New Roman" ns0:cs="Times New Roman"/>
                <ns0:color ns0:val="auto"/>
                <ns0:lang ns0:val="pt-BR"/>
              </ns0:rPr>
            </ns0:pPr>
            <ns0:r>
              <ns0:rPr>
                <ns0:rFonts ns0:hint="default" ns0:ascii="Times New Roman" ns0:hAnsi="Times New Roman" ns0:eastAsia="Times New Roman" ns0:cs="Times New Roman"/>
                <ns0:color ns0:val="auto"/>
              </ns0:rPr>
              <ns0:t xml:space="preserve">Comprimento dos </ns0:t>
            </ns0:r>
            <ns0:r>
              <ns0:rPr>
                <ns0:rFonts ns0:hint="default" ns0:ascii="Times New Roman" ns0:hAnsi="Times New Roman" ns0:eastAsia="Times New Roman" ns0:cs="Times New Roman"/>
                <ns0:color ns0:val="auto"/>
                <ns0:lang ns0:val="pt-BR"/>
              </ns0:rPr>
              <ns0:t>M</ns0:t>
            </ns0:r>
            <ns0:r>
              <ns0:rPr>
                <ns0:rFonts ns0:hint="default" ns0:ascii="Times New Roman" ns0:hAnsi="Times New Roman" ns0:eastAsia="Times New Roman" ns0:cs="Times New Roman"/>
                <ns0:color ns0:val="auto"/>
              </ns0:rPr>
              <ns0:t>embros</ns0:t>
            </ns0:r>
            <ns0:r>
              <ns0:rPr>
                <ns0:rFonts ns0:hint="default" ns0:ascii="Times New Roman" ns0:hAnsi="Times New Roman" ns0:eastAsia="Times New Roman" ns0:cs="Times New Roman"/>
                <ns0:color ns0:val="auto"/>
                <ns0:lang ns0:val="pt-BR"/>
              </ns0:rPr>
              <ns0:t xml:space="preserve"> Superiores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A2B703B">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Milímetros (mm)</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49DA8E1">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Captura de Movimento  </ns0:t>
            </ns0:r>
          </ns0:p>
          <ns0:p ns2:paraId="7F64752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(Vicon®)</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BEF934A">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Influência do comprimento da alavanca na amplitude das passadas.</ns0:t>
            </ns0:r>
          </ns0:p>
        </ns0:tc>
      </ns0:tr>
      <ns0:tr ns2:paraId="69ED7CA1">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2D3B98F3">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Composição Corporal: % de Gordura</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0708189">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62675F31">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Bioimpedância Tetrapolar (Sanny®)</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2BBCE7E">
            <ns0:pPr>
              <ns0:spacing ns0:line="360" ns0:lineRule="auto"/>
              <ns0:jc ns0:val="left"/>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Influência da adiposidade (lastro inerte) na eficiência locomotora. A massa livre de gordura (kg) é aferida para caracterização geral da amostra.</ns0:t>
            </ns0:r>
          </ns0:p>
        </ns0:tc>
      </ns0:tr>
      <ns0:tr ns2:paraId="2B12CB8E">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39362C1">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cs="Times New Roman"/>
                <ns0:color ns0:val="auto"/>
              </ns0:rPr>
              <ns0:t>Volume de Prática Acumulada</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0C29B919">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Horas totais estimadas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7DFBF8C1">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Questionário </ns0:t>
            </ns0:r>
            <ns0:r>
              <ns0:rPr>
                <ns0:rFonts ns0:hint="default" ns0:ascii="Times New Roman" ns0:hAnsi="Times New Roman" ns0:eastAsia="Times New Roman" ns0:cs="Times New Roman"/>
                <ns0:color ns0:val="auto"/>
                <ns0:lang ns0:val="pt-BR"/>
              </ns0:rPr>
              <ns0:t>Padronizado</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68302E4">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Avalia se experiência prévia está associada a maior estabilidade e proficiência técnica.</ns0:t>
            </ns0:r>
          </ns0:p>
        </ns0:tc>
      </ns0:tr>
      <ns0:tr ns2:paraId="63A4CFFA">
        <ns0:tblPrEx>
          <ns0:tblCellMar>
            <ns0:top ns0:w="0" ns0:type="dxa"/>
            <ns0:left ns0:w="108" ns0:type="dxa"/>
            <ns0:bottom ns0:w="0" ns0:type="dxa"/>
            <ns0:right ns0:w="108" ns0:type="dxa"/>
          </ns0:tblCellMar>
        </ns0:tblPrEx>
        <ns0:tc>
          <ns0:tcPr>
            <ns0:tcW ns0:w="297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1D21917D">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I</ns0:t>
            </ns0:r>
            <ns0:r>
              <ns0:rPr>
                <ns0:rFonts ns0:hint="default" ns0:ascii="Times New Roman" ns0:hAnsi="Times New Roman" ns0:eastAsia="Times New Roman" ns0:cs="Times New Roman"/>
                <ns0:color ns0:val="auto"/>
              </ns0:rPr>
              <ns0:t xml:space="preserve">dade </ns0:t>
            </ns0:r>
            <ns0:r>
              <ns0:rPr>
                <ns0:rFonts ns0:hint="default" ns0:ascii="Times New Roman" ns0:hAnsi="Times New Roman" ns0:eastAsia="Times New Roman" ns0:cs="Times New Roman"/>
                <ns0:color ns0:val="auto"/>
                <ns0:lang ns0:val="pt-BR"/>
              </ns0:rPr>
              <ns0:t>C</ns0:t>
            </ns0:r>
            <ns0:r>
              <ns0:rPr>
                <ns0:rFonts ns0:hint="default" ns0:ascii="Times New Roman" ns0:hAnsi="Times New Roman" ns0:eastAsia="Times New Roman" ns0:cs="Times New Roman"/>
                <ns0:color ns0:val="auto"/>
              </ns0:rPr>
              <ns0:t xml:space="preserve">ronológica </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416E4E2F">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lang ns0:val="pt-BR"/>
              </ns0:rPr>
              <ns0:t>Anos</ns0:t>
            </ns0:r>
          </ns0:p>
        </ns0:tc>
        <ns0:tc>
          <ns0:tcPr>
            <ns0:tcW ns0:w="2552"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3B02B381">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Questionário </ns0:t>
            </ns0:r>
            <ns0:r>
              <ns0:rPr>
                <ns0:rFonts ns0:hint="default" ns0:ascii="Times New Roman" ns0:hAnsi="Times New Roman" ns0:eastAsia="Times New Roman" ns0:cs="Times New Roman"/>
                <ns0:color ns0:val="auto"/>
                <ns0:lang ns0:val="pt-BR"/>
              </ns0:rPr>
              <ns0:t>Padronizado</ns0:t>
            </ns0:r>
          </ns0:p>
        </ns0:tc>
        <ns0:tc>
          <ns0:tcPr>
            <ns0:tcW ns0:w="3560" ns0:type="dxa"/>
            <ns0:tcBorders>
              <ns0:top ns0:val="single" ns0:color="000000" ns0:sz="4" ns0:space="0"/>
              <ns0:left ns0:val="single" ns0:color="000000" ns0:sz="4" ns0:space="0"/>
              <ns0:bottom ns0:val="single" ns0:color="000000" ns0:sz="4" ns0:space="0"/>
              <ns0:right ns0:val="single" ns0:color="000000" ns0:sz="4" ns0:space="0"/>
            </ns0:tcBorders>
            <ns0:vAlign ns0:val="center"/>
          </ns0:tcPr>
          <ns0:p ns2:paraId="5F34FF83">
            <ns0:pPr>
              <ns0:spacing ns0:line="360" ns0:lineRule="auto"/>
              <ns0:rPr>
                <ns0:rFonts ns0:hint="default" ns0:ascii="Times New Roman" ns0:hAnsi="Times New Roman" ns0:eastAsia="Times New Roman" ns0:cs="Times New Roman"/>
                <ns0:color ns0:val="auto"/>
              </ns0:rPr>
            </ns0:pPr>
            <ns0:r>
              <ns0:rPr>
                <ns0:rFonts ns0:hint="default" ns0:ascii="Times New Roman" ns0:hAnsi="Times New Roman" ns0:eastAsia="SimSun" ns0:cs="Times New Roman"/>
                <ns0:color ns0:val="auto"/>
                <ns0:sz ns0:val="24"/>
                <ns0:szCs ns0:val="24"/>
              </ns0:rPr>
              <ns0:t>Impacto da idade versus experiência na qualidade do controle sensório-motor</ns0:t>
            </ns0:r>
          </ns0:p>
        </ns0:tc>
      </ns0:tr>
    </ns0:tbl>
    <ns0:p ns2:paraId="0B17E18D">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Fonte: Elaborado pelo autor (2025).</ns0:t>
      </ns0:r>
    </ns0:p>
    <ns0:p ns2:paraId="2E34A555">
      <ns0:pPr>
        <ns0:spacing ns0:line="360" ns0:lineRule="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3.2 Participantes</ns0:t>
      </ns0:r>
    </ns0:p>
    <ns0:p ns2:paraId="34B76FD1">
      <ns0:pPr>
        <ns0:spacing ns0:line="360" ns0:lineRule="auto"/>
        <ns0:ind ns0:firstLine="708" ns0:firstLineChars="0"/>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Serão recrutados adultos, de ambos os sexos, com idade mínima de 18 anos, fisicamente ativos, praticantes de pelo menos uma modalidade que inclua o treinamento do </ns0:t>
      </ns0:r>
      <ns0:r>
        <ns0:rPr>
          <ns0:rFonts ns0:ascii="Times New Roman" ns0:hAnsi="Times New Roman" ns0:cs="Times New Roman"/>
          <ns0:i/>
          <ns0:iCs/>
          <ns0:color ns0:val="auto"/>
        </ns0:rPr>
        <ns0:t>handstand</ns0:t>
      </ns0:r>
      <ns0:r>
        <ns0:rPr>
          <ns0:rFonts ns0:ascii="Times New Roman" ns0:hAnsi="Times New Roman" ns0:cs="Times New Roman"/>
          <ns0:color ns0:val="auto"/>
        </ns0:rPr>
        <ns0:t xml:space="preserve">. Deverão ser capazes de manter o equilíbrio livre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por pelo menos 3 segundos e/ou conseguir realizar três passadas no </ns0:t>
      </ns0:r>
      <ns0:r>
        <ns0:rPr>
          <ns0:rFonts ns0:ascii="Times New Roman" ns0:hAnsi="Times New Roman" ns0:cs="Times New Roman"/>
          <ns0:i/>
          <ns0:iCs/>
          <ns0:color ns0:val="auto"/>
        </ns0:rPr>
        <ns0:t xml:space="preserve">HSW, </ns0:t>
      </ns0:r>
      <ns0:r>
        <ns0:rPr>
          <ns0:rFonts ns0:ascii="Times New Roman" ns0:hAnsi="Times New Roman" ns0:cs="Times New Roman"/>
          <ns0:color ns0:val="auto"/>
        </ns0:rPr>
        <ns0:t xml:space="preserve">condições essas que servirão como critério de exclusão juntamente com: impossibilidade de realizar todas as sessões de testes, histórico de lesão musculoesquelética nos membros superiores nos últimos 12 meses; apresentar qualquer problema de saúde que interfira na execução dos exercícios e avaliações propostas. Os participantes serão convidados por meio de cartaz virtual compartilhado ao público nas redes sociais: </ns0:t>
      </ns0:r>
      <ns0:r>
        <ns0:rPr>
          <ns0:rFonts ns0:ascii="Times New Roman" ns0:hAnsi="Times New Roman" ns0:cs="Times New Roman"/>
          <ns0:i/>
          <ns0:iCs/>
          <ns0:color ns0:val="auto"/>
        </ns0:rPr>
        <ns0:t>instagram</ns0:t>
      </ns0:r>
      <ns0:r>
        <ns0:rPr>
          <ns0:rFonts ns0:ascii="Times New Roman" ns0:hAnsi="Times New Roman" ns0:cs="Times New Roman"/>
          <ns0:color ns0:val="auto"/>
        </ns0:rPr>
        <ns0:t xml:space="preserve"> e </ns0:t>
      </ns0:r>
      <ns0:r>
        <ns0:rPr>
          <ns0:rFonts ns0:ascii="Times New Roman" ns0:hAnsi="Times New Roman" ns0:cs="Times New Roman"/>
          <ns0:i/>
          <ns0:iCs/>
          <ns0:color ns0:val="auto"/>
        </ns0:rPr>
        <ns0:t>facebook</ns0:t>
      </ns0:r>
      <ns0:r>
        <ns0:rPr>
          <ns0:rFonts ns0:ascii="Times New Roman" ns0:hAnsi="Times New Roman" ns0:cs="Times New Roman"/>
          <ns0:color ns0:val="auto"/>
        </ns0:rPr>
        <ns0:t xml:space="preserve">, e aplicativo de mensagem </ns0:t>
      </ns0:r>
      <ns0:r>
        <ns0:rPr>
          <ns0:rFonts ns0:ascii="Times New Roman" ns0:hAnsi="Times New Roman" ns0:cs="Times New Roman"/>
          <ns0:i/>
          <ns0:iCs/>
          <ns0:color ns0:val="auto"/>
        </ns0:rPr>
        <ns0:t xml:space="preserve">whatsapp, </ns0:t>
      </ns0:r>
      <ns0:r>
        <ns0:rPr>
          <ns0:rFonts ns0:ascii="Times New Roman" ns0:hAnsi="Times New Roman" ns0:cs="Times New Roman"/>
          <ns0:color ns0:val="auto"/>
        </ns0:rPr>
        <ns0:t>além de busca ativa por participantes</ns0:t>
      </ns0:r>
      <ns0:r>
        <ns0:rPr>
          <ns0:rFonts ns0:ascii="Times New Roman" ns0:hAnsi="Times New Roman" ns0:cs="Times New Roman"/>
          <ns0:i/>
          <ns0:iCs/>
          <ns0:color ns0:val="auto"/>
        </ns0:rPr>
        <ns0:t xml:space="preserve"> </ns0:t>
      </ns0:r>
      <ns0:r>
        <ns0:rPr>
          <ns0:rFonts ns0:ascii="Times New Roman" ns0:hAnsi="Times New Roman" ns0:cs="Times New Roman"/>
          <ns0:color ns0:val="auto"/>
        </ns0:rPr>
        <ns0:t xml:space="preserve">junto a academias de ginástica, </ns0:t>
      </ns0:r>
      <ns0:r>
        <ns0:rPr>
          <ns0:rFonts ns0:ascii="Times New Roman" ns0:hAnsi="Times New Roman" ns0:cs="Times New Roman"/>
          <ns0:i/>
          <ns0:iCs/>
          <ns0:color ns0:val="auto"/>
        </ns0:rPr>
        <ns0:t>boxes</ns0:t>
      </ns0:r>
      <ns0:r>
        <ns0:rPr>
          <ns0:rFonts ns0:ascii="Times New Roman" ns0:hAnsi="Times New Roman" ns0:cs="Times New Roman"/>
          <ns0:color ns0:val="auto"/>
        </ns0:rPr>
        <ns0:t xml:space="preserve"> de </ns0:t>
      </ns0:r>
      <ns0:r>
        <ns0:rPr>
          <ns0:rFonts ns0:ascii="Times New Roman" ns0:hAnsi="Times New Roman" ns0:cs="Times New Roman"/>
          <ns0:i/>
          <ns0:iCs/>
          <ns0:color ns0:val="auto"/>
        </ns0:rPr>
        <ns0:t>CrossFit</ns0:t>
      </ns0:r>
      <ns0:r>
        <ns0:rPr>
          <ns0:rFonts ns0:ascii="Times New Roman" ns0:hAnsi="Times New Roman" ns0:cs="Times New Roman"/>
          <ns0:color ns0:val="auto"/>
        </ns0:rPr>
        <ns0:t>®, estúdios de dança, centros de treinamento circenses e grupos de calistenia da região.</ns0:t>
      </ns0:r>
    </ns0:p>
    <ns0:p ns2:paraId="7C4978C4">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Cada voluntário preencherá um formulário online padronizado na plataforma </ns0:t>
      </ns0:r>
      <ns0:r>
        <ns0:rPr>
          <ns0:rFonts ns0:ascii="Times New Roman" ns0:hAnsi="Times New Roman" ns0:cs="Times New Roman"/>
          <ns0:i/>
          <ns0:iCs/>
          <ns0:color ns0:val="auto"/>
        </ns0:rPr>
        <ns0:t>Google Forms</ns0:t>
      </ns0:r>
      <ns0:r>
        <ns0:rPr>
          <ns0:rFonts ns0:ascii="Times New Roman" ns0:hAnsi="Times New Roman" ns0:cs="Times New Roman"/>
          <ns0:color ns0:val="auto"/>
        </ns0:rPr>
        <ns0:t xml:space="preserve">, estruturado em: dados sociodemográficos e de contato (idade, sexo, telefone e e-mail), triagem de segurança em saúde por meio do Questionário de Prontidão para Atividade Física (PAR-Q), garantindo a aptidão cardiovascular e osteomuscular para os testes de esforço físico máximo, histórico de lesões musculoesqueléticas nos membros superiores nos últimos 12 meses, modalidades praticadas que tenha </ns0:t>
      </ns0:r>
      <ns0:r>
        <ns0:rPr>
          <ns0:rFonts ns0:ascii="Times New Roman" ns0:hAnsi="Times New Roman" ns0:cs="Times New Roman"/>
          <ns0:i/>
          <ns0:iCs/>
          <ns0:color ns0:val="auto"/>
        </ns0:rPr>
        <ns0:t>HS como habilidade</ns0:t>
      </ns0:r>
      <ns0:r>
        <ns0:rPr>
          <ns0:rFonts ns0:ascii="Times New Roman" ns0:hAnsi="Times New Roman" ns0:cs="Times New Roman"/>
          <ns0:color ns0:val="auto"/>
        </ns0:rPr>
        <ns0:t xml:space="preserve"> (permitindo seleção única ou múltipla entre Calistenia, </ns0:t>
      </ns0:r>
      <ns0:r>
        <ns0:rPr>
          <ns0:rFonts ns0:ascii="Times New Roman" ns0:hAnsi="Times New Roman" ns0:cs="Times New Roman"/>
          <ns0:i/>
          <ns0:iCs/>
          <ns0:color ns0:val="auto"/>
        </ns0:rPr>
        <ns0:t>CrossFit</ns0:t>
      </ns0:r>
      <ns0:r>
        <ns0:rPr>
          <ns0:rFonts ns0:ascii="Times New Roman" ns0:hAnsi="Times New Roman" ns0:cs="Times New Roman"/>
          <ns0:color ns0:val="auto"/>
        </ns0:rPr>
        <ns0:t xml:space="preserve">®, Ginástica Artística, Circo, Dança, Yoga, </ns0:t>
      </ns0:r>
      <ns0:r>
        <ns0:rPr>
          <ns0:rFonts ns0:ascii="Times New Roman" ns0:hAnsi="Times New Roman" ns0:cs="Times New Roman"/>
          <ns0:i/>
          <ns0:iCs/>
          <ns0:color ns0:val="auto"/>
        </ns0:rPr>
        <ns0:t>Movement culture, Prática isolada da HS</ns0:t>
      </ns0:r>
      <ns0:r>
        <ns0:rPr>
          <ns0:rFonts ns0:ascii="Times New Roman" ns0:hAnsi="Times New Roman" ns0:cs="Times New Roman"/>
          <ns0:color ns0:val="auto"/>
        </ns0:rPr>
        <ns0:t xml:space="preserve"> e Outras) e histórico de treinamento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mensurado pelo tempo de prática acumulada (em meses) e pelo volume semanal médio dedicado especificamente ao treinamento da postura invertida (horas por semana). A partir dessas informações, será calculado o Volume de Prática Acumulada (horas totais estimadas) como métrica de exposição motora real. Todos os participantes elegíveis assinarão um termo de consentimento livre e esclarecido, aprovado pelo Comitê de Ética em Pesquisa da Escola de Educação Física e Esporte de Ribeirão Preto antes de iniciar os testes. </ns0:t>
      </ns0:r>
    </ns0:p>
    <ns0:p ns2:paraId="507F55D2">
      <ns0:pPr>
        <ns0:pStyle ns0:val="11"/>
        <ns0:spacing ns0:before="0" ns0:beforeAutospacing="0" ns0:after="0" ns0:afterAutospacing="0"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3.3 Dimensionamento e Poder Amostral</ns0:t>
      </ns0:r>
    </ns0:p>
    <ns0:p ns2:paraId="29336C30">
      <ns0:pPr>
        <ns0:pStyle ns0:val="11"/>
        <ns0:spacing ns0:before="0" ns0:beforeAutospacing="0" ns0:after="0" ns0:afterAutospacing="0" ns0:line="360" ns0:lineRule="auto"/>
        <ns0:ind ns0:firstLine="360"/>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O dimensionamento amostral foi calculado a priori por meio do software </ns0:t>
      </ns0:r>
      <ns0:r>
        <ns0:rPr>
          <ns0:rFonts ns0:ascii="Times New Roman" ns0:hAnsi="Times New Roman" ns0:cs="Times New Roman"/>
          <ns0:i/>
          <ns0:iCs/>
          <ns0:color ns0:val="auto"/>
        </ns0:rPr>
        <ns0:t>G*Power</ns0:t>
      </ns0:r>
      <ns0:r>
        <ns0:rPr>
          <ns0:rFonts ns0:ascii="Times New Roman" ns0:hAnsi="Times New Roman" ns0:cs="Times New Roman"/>
          <ns0:color ns0:val="auto"/>
        </ns0:rPr>
        <ns0:t xml:space="preserve"> (versão 3.1.9.7)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{"citationID":"oPZR8SSe","properties":{"unsorted":false,"formattedCitation":"[40], [41]","plainCitation":"[40], [41]","noteIndex":0},"citationItems":[{"id":316,"uris":["http://zotero.org/users/17274952/items/K4E2624D"],"itemData":{"id":316,"type":"article-journal","container-title":"Behavior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volume":"39","author":[{"family":"Faul","given":"Franz"},{"family":"Erdfelder","given":"Edgar"},{"family":"Lang","given":"Albert-Georg"},{"family":"Buchner","given":"Axel"}],"issued":{"date-parts":[["2007",5]]}}},{"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[40], [41]</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fundamentando-se nos delineamentos de regressão linear múltipla e regressão logística binária propostos: </ns0:t>
      </ns0:r>
    </ns0:p>
    <ns0:p ns2:paraId="0EF7C61C">
      <ns0:pPr>
        <ns0:pStyle ns0:val="11"/>
        <ns0:numPr>
          <ns0:ilvl ns0:val="0"/>
          <ns0:numId ns0:val="2"/>
        </ns0:numPr>
        <ns0:spacing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Modelos Temáticos de Regressão Linear Múltipla: Para as análises organizadas por domínios, considerando o modelo linear fixo de desvio do R² em relação a zero (</ns0:t>
      </ns0:r>
      <ns0:r>
        <ns0:rPr>
          <ns0:rFonts ns0:ascii="Times New Roman" ns0:hAnsi="Times New Roman" ns0:cs="Times New Roman"/>
          <ns0:i/>
          <ns0:iCs/>
          <ns0:color ns0:val="auto"/>
        </ns0:rPr>
        <ns0:t>Linear</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multiple</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regression</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Fixed</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model</ns0:t>
      </ns0:r>
      <ns0:r>
        <ns0:rPr>
          <ns0:rFonts ns0:ascii="Times New Roman" ns0:hAnsi="Times New Roman" ns0:cs="Times New Roman"/>
          <ns0:color ns0:val="auto"/>
        </ns0:rPr>
        <ns0:t xml:space="preserve">, R² </ns0:t>
      </ns0:r>
      <ns0:r>
        <ns0:rPr>
          <ns0:rFonts ns0:ascii="Times New Roman" ns0:hAnsi="Times New Roman" ns0:cs="Times New Roman"/>
          <ns0:i/>
          <ns0:iCs/>
          <ns0:color ns0:val="auto"/>
        </ns0:rPr>
        <ns0:t>deviation</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from</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zero</ns0:t>
      </ns0:r>
      <ns0:r>
        <ns0:rPr>
          <ns0:rFonts ns0:ascii="Times New Roman" ns0:hAnsi="Times New Roman" ns0:cs="Times New Roman"/>
          <ns0:color ns0:val="auto"/>
        </ns0:rPr>
        <ns0:t xml:space="preserve">), adotou-se um tamanho de efeito moderado (f² = 0,15, correspondente a um R² aproximado de 0,13 sob as convenções de Cohen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{"citationID":"hrbBWQIg","properties":{"unsorted":false,"formattedCitation":"[42]","plainCitation":"[42]","noteIndex":0},"citationItems":[{"id":314,"uris":["http://zotero.org/users/17274952/items/EBM2FGG5"],"itemData":{"id":314,"type":"book","edition":"2. ed., reprint","ISBN":"978-0-8058-0283-2","language":"en","number-of-pages":"567","publisher":"Psychology Press","publisher-place":"New York, NY","source":"K10plus ISBN","title":"Statistical power analysis for the behavioral sciences","author":[{"family":"Cohen","given":"Jacob"}],"issued":{"date-parts":[["2009"]]}}}],"schema":"https://github.com/citation-style-language/schema/raw/master/csl-citation.json"}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[42]</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nível de significância de α = 0,05, poder estatístico de (1 - β) = 0,80 e o número máximo de até 5 preditores simultâneos (atendendo ao modelo de técnica cinemática). O cálculo indicou a necessidade de um tamanho amostral mínimo de N = 92 participantes (parâmetro de não-centralidade λ = 13,80; F crítico = 2,320; poder real = 0,804). </ns0:t>
      </ns0:r>
    </ns0:p>
    <ns0:p ns2:paraId="398764AA">
      <ns0:pPr>
        <ns0:pStyle ns0:val="11"/>
        <ns0:numPr>
          <ns0:ilvl ns0:val="0"/>
          <ns0:numId ns0:val="2"/>
        </ns0:numPr>
        <ns0:spacing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Modelo de Regressão Logística Binária (Autonomia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Para o modelo logístico de autonomia de estabilização com 3 preditores (força relativa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melhor tempo de sustentação assistido e volume de prática acumulada em horas), adotou-se um nível de significância de α = 0,05, poder estatístico de (1 - β) = 0,80 e uma razão de chances (</ns0:t>
      </ns0:r>
      <ns0:r>
        <ns0:rPr>
          <ns0:rFonts ns0:ascii="Times New Roman" ns0:hAnsi="Times New Roman" ns0:cs="Times New Roman"/>
          <ns0:i/>
          <ns0:iCs/>
          <ns0:color ns0:val="auto"/>
        </ns0:rPr>
        <ns0:t>Odds</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Ratio</ns0:t>
      </ns0:r>
      <ns0:r>
        <ns0:rPr>
          <ns0:rFonts ns0:ascii="Times New Roman" ns0:hAnsi="Times New Roman" ns0:cs="Times New Roman"/>
          <ns0:color ns0:val="auto"/>
        </ns0:rPr>
        <ns0:t xml:space="preserve">) mínima esperada de 2,0 para preditores contínuos padronizados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{"citationID":"emky6ZlS","properties":{"unsorted":false,"formattedCitation":"[41], [43]","plainCitation":"[41], [43]","noteIndex":0},"citationItems":[{"id":315,"uris":["http://zotero.org/users/17274952/items/XHK7HA2Z"],"itemData":{"id":315,"type":"article-journal","container-title":"Behavior Research Methods","DOI":"10.3758/BRM.41.4.1149","ISSN":"1554-351X, 1554-3528","issue":"4","journalAbbreviation":"Behavior Research Methods","language":"en","license":"http://www.springer.com/tdm","page":"1149-1160","source":"DOI.org (Crossref)","title":"Statistical power analyses using G*Power 3.1: Tests for correlation and regression analyses","title-short":"Statistical power analyses using G*Power 3.1","volume":"41","author":[{"family":"Faul","given":"Franz"},{"family":"Erdfelder","given":"Edgar"},{"family":"Buchner","given":"Axel"},{"family":"Lang","given":"Albert-Georg"}],"issued":{"date-parts":[["2009",11]]}}},{"id":14,"uris":["http://zotero.org/users/17274952/items/FIG95YIC"],"itemData":{"id":14,"type":"article-journal","container-title":"Communications in Statistics - Simulation and Computation","DOI":"10.1080/03610911003650383","ISSN":"0361-0918, 1532-4141","issue":"4","journalAbbreviation":"Communications in Statistics - Simulation and Computation","language":"en","page":"860-864","source":"DOI.org (Crossref)","title":"How Big is a Big Odds Ratio? Interpreting the Magnitudes of Odds Ratios in Epidemiological Studies","title-short":"How Big is a Big Odds Ratio?","volume":"39","author":[{"family":"Chen","given":"Henian"},{"family":"Cohen","given":"Patricia"},{"family":"Chen","given":"Sophie"}],"issued":{"date-parts":[["2010",3,31]]}}}],"schema":"https://github.com/citation-style-language/schema/raw/master/csl-citation.json"}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[41], [43]</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O cálculo indicou a necessidade de uma amostra mínima entre 70 e 90 participantes, atendendo adicionalmente ao pressuposto clássico de eventos por variável (</ns0:t>
      </ns0:r>
      <ns0:r>
        <ns0:rPr>
          <ns0:rFonts ns0:ascii="Times New Roman" ns0:hAnsi="Times New Roman" ns0:cs="Times New Roman"/>
          <ns0:i/>
          <ns0:iCs/>
          <ns0:color ns0:val="auto"/>
        </ns0:rPr>
        <ns0:t>EPV</ns0:t>
      </ns0:r>
      <ns0:r>
        <ns0:rPr>
          <ns0:rFonts ns0:ascii="Times New Roman" ns0:hAnsi="Times New Roman" ns0:cs="Times New Roman"/>
          <ns0:color ns0:val="auto"/>
        </ns0:rPr>
        <ns0:t xml:space="preserve"> maior ou igual a 10 a 15 eventos para cada preditor no modelo)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{"citationID":"NUGvpRyn","properties":{"unsorted":false,"formattedCitation":"[44]","plainCitation":"[44]","noteIndex":0},"citationItems":[{"id":13,"uris":["http://zotero.org/users/17274952/items/RRLNZB4G"],"itemData":{"id":13,"type":"article-journal","container-title":"Journal of Clinical Epidemiology","DOI":"10.1016/S0895-4356(96)00236-3","ISSN":"08954356","issue":"12","journalAbbreviation":"Journal of Clinical Epidemiology","language":"en","page":"1373-1379","source":"DOI.org (Crossref)","title":"A simulation study of the number of events per variable in logistic regression analysis","volume":"49","author":[{"family":"Peduzzi","given":"Peter"},{"family":"Concato","given":"John"},{"family":"Kemper","given":"Elizabeth"},{"family":"Holford","given":"Theodore R."},{"family":"Feinstein","given":"Alvan R."}],"issued":{"date-parts":[["1996",12]]}}}],"schema":"https://github.com/citation-style-language/schema/raw/master/csl-citation.json"}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[44]</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ns0:t>
      </ns0:r>
    </ns0:p>
    <ns0:p ns2:paraId="6310C0E3">
      <ns0:pPr>
        <ns0:pStyle ns0:val="11"/>
        <ns0:spacing ns0:line="360" ns0:lineRule="auto"/>
        <ns0:ind ns0:firstLine="360"/>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Para mitigar a inflação da taxa de Erro Tipo I decorrente dos múltiplos modelos testados sem comprometer excessivamente o poder estatístico, será aplicada a correção de </ns0:t>
      </ns0:r>
      <ns0:r>
        <ns0:rPr>
          <ns0:rFonts ns0:ascii="Times New Roman" ns0:hAnsi="Times New Roman" ns0:cs="Times New Roman"/>
          <ns0:i/>
          <ns0:iCs/>
          <ns0:color ns0:val="auto"/>
        </ns0:rPr>
        <ns0:t>False Discovery Rate</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FDR</ns0:t>
      </ns0:r>
      <ns0:r>
        <ns0:rPr>
          <ns0:rFonts ns0:ascii="Times New Roman" ns0:hAnsi="Times New Roman" ns0:cs="Times New Roman"/>
          <ns0:color ns0:val="auto"/>
        </ns0:rPr>
        <ns0:t xml:space="preserv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{"citationID":"cLgHBl3x","properties":{"unsorted":false,"formattedCitation":"[45]","plainCitation":"[45]","noteIndex":0},"citationItems":[{"id":313,"uris":["http://zotero.org/users/17274952/items/F5P6TDDP"],"itemData":{"id":313,"type":"article-journal","abstract":"SUMMARY\n            The common approach to the multiplicity problem calls for controlling the familywise error rate (FWER). This approach, though, has faults, and we point out a few. A different approach to problems of multiple significance testing is presented. It calls for controlling the expected proportion of falsely rejected hypotheses — the false discovery rate. This error rate is equivalent to the FWER when all hypotheses are true but is smaller otherwise. Therefore, in problems where the control of the false discovery rate rather than that of the FWER is desired, there is potential for a gain in power. A simple sequential Bonferronitype procedure is proved to control the false discovery rate for independent test statistics, and a simulation study shows that the gain in power is substantial. The use of the new procedure and the appropriateness of the criterion are illustrated with examples.","container-title":"Journal of the Royal Statistical Society Series B: Statistical Methodology","DOI":"10.1111/j.2517-6161.1995.tb02031.x","ISSN":"1369-7412, 1467-9868","issue":"1","language":"en","license":"https://academic.oup.com/journals/pages/open_access/funder_policies/chorus/standard_publication_model","page":"289-300","source":"DOI.org (Crossref)","title":"Controlling the False Discovery Rate: A Practical and Powerful Approach to Multiple Testing","title-short":"Controlling the False Discovery Rate","volume":"57","author":[{"family":"Benjamini","given":"Yoav"},{"family":"Hochberg","given":"Yosef"}],"issued":{"date-parts":[["1995",1,1]]}}}],"schema":"https://github.com/citation-style-language/schema/raw/master/csl-citation.json"}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com taxa de falso-descoberta fixada em Q = 0,05. </ns0:t>
      </ns0:r>
    </ns0:p>
    <ns0:p ns2:paraId="2253C75E">
      <ns0:pPr>
        <ns0:pStyle ns0:val="11"/>
        <ns0:numPr>
          <ns0:ilvl ns0:val="0"/>
          <ns0:numId ns0:val="3"/>
        </ns0:numPr>
        <ns0:spacing ns0:before="240" ns0:line="360" ns0:lineRule="auto"/>
        <ns0:ind ns0:left="709" ns0:hanging="283"/>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Modelo Final Refinado: A partir dos modelos temáticos, os preditores que apresentarem significância estatística após o controle da </ns0:t>
      </ns0:r>
      <ns0:r>
        <ns0:rPr>
          <ns0:rFonts ns0:ascii="Times New Roman" ns0:hAnsi="Times New Roman" ns0:cs="Times New Roman"/>
          <ns0:i/>
          <ns0:iCs/>
          <ns0:color ns0:val="auto"/>
        </ns0:rPr>
        <ns0:t>FDR</ns0:t>
      </ns0:r>
      <ns0:r>
        <ns0:rPr>
          <ns0:rFonts ns0:ascii="Times New Roman" ns0:hAnsi="Times New Roman" ns0:cs="Times New Roman"/>
          <ns0:color ns0:val="auto"/>
        </ns0:rPr>
        <ns0:t xml:space="preserve"> e maior relevância prática (maiores coeficientes β padronizados) serão combinados em um modelo de regressão linear múltipla final consolidado para cada desfecho (</ns0:t>
      </ns0:r>
      <ns0:r>
        <ns0:rPr>
          <ns0:rFonts ns0:ascii="Times New Roman" ns0:hAnsi="Times New Roman" ns0:cs="Times New Roman"/>
          <ns0:i/>
          <ns0:iCs/>
          <ns0:color ns0:val="auto"/>
        </ns0:rPr>
        <ns0:t xml:space="preserve">HS </ns0:t>
      </ns0:r>
      <ns0:r>
        <ns0:rPr>
          <ns0:rFonts ns0:ascii="Times New Roman" ns0:hAnsi="Times New Roman" ns0:cs="Times New Roman"/>
          <ns0:color ns0:val="auto"/>
        </ns0:rPr>
        <ns0:t xml:space="preserve">e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Projetando a retenção máxima de variáveis independentes centrais nesse modelo final (f² = 0,15, α= 0,05 e poder = 0,80), o tamanho amostral necessário N = 98 participantes (λ = 14,70; F crítico = 2,199; poder real = 0,804).</ns0:t>
      </ns0:r>
    </ns0:p>
    <ns0:p ns2:paraId="53300BC2">
      <ns0:pPr>
        <ns0:pStyle ns0:val="11"/>
        <ns0:spacing ns0:line="360" ns0:lineRule="auto"/>
        <ns0:ind ns0:firstLine="426"/>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Considerando potenciais perdas amostrais, desistências e a necessidade de preservar alta precisão estatística, o estudo estabeleceu como meta o recrutamento de 100 a 110 participantes. Este tamanho amostral confere um poder estatístico superior a 88% para os modelos temáticos primários (N = 85), garante ampla robustez para a regressão logística  e assegura uma amostra substancialmente superior à literatura prévia de biomecânica em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caracterizada predominantemente por amostras reduzidas e restritas a populações homogêneas</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{"citationID":"BYixKyMI","properties":{"unsorted":false,"formattedCitation":"[15]","plainCitation":"[15]","noteIndex":0},"citationItems":[{"id":303,"uris":["http://zotero.org/users/17274952/items/GMN3DDXM"],"itemData":{"id":303,"type":"article-journal","abstract":"Purpose: The aim of this systematic review was to investigate the biomechanical analysis of the handstand.\nMethods: Systematic searches were conducted using databases SPORTDiscus, ScienceDirect, and PubMed up to August 2025. The search included the following terms: “EMG or Electromyography and Handstand AND Gymnastics,” “Kinetics AND Kinematics and Handstand AND Gymnastics,” “Kinetics AND Handstand,” and “Kinematics AND Handstand.” Initially, 491 publications were identiﬁed. Of these, 21 studies were included in this systematic review, each of which conducted a biomechanical analysis of the handstand. Data from the 21 articles were extracted to conduct a biomechanical analysis of the handstand.\nResults: Of the included studies, 31% analyzed balance control strategies of the handstand, 57% performed a kinetic and kinematic analysis of the handstand, and 10% compared muscle activity during the handstand. Furthermore, 42% of the publications analyzed the center of pressure of the handstand, 36% analyzed joint angles, 21% reported on velocity, 21% examined joint torque contributions, 15% investigated angular velocity, 10% analyzed ground reaction forces (GRFs), 10% investigated electromyography (EMG) data, and 5% assessed vertical ground reaction forces (vGRFs).\nConclusion: The ﬁndings of this study indicate that gymnasts minimize problems related to disturbed balance during the handstand using a “wrist strategy” to secure a ﬁxed-body conﬁguration. If the “wrist strategy” fails, then the wrists, shoulders, hips, and elbows are utilized, which can be interpreted as a mixed control strategy. Visual conditions and head positions also affect handstand balance. In particular, closing the eyes leads to decreased stability, and neck ﬂexion impairs performance during the handstand. Gymnasts with greater strength possess better balance control. Other factors that also inﬂuence handstand performance are participation level and age of the performers.","container-title":"Frontiers in Sports and Active Living","DOI":"10.3389/fspor.2025.1694648","ISSN":"2624-9367","journalAbbreviation":"Front. Sports Act. Living","language":"en","page":"1694648","source":"DOI.org (Crossref)","title":"Biomechanical analyses of the handstand: a systematic review","title-short":"Biomechanical analyses of the handstand","volume":"7","author":[{"family":"McDonald","given":"Mahri"},{"family":"Baker","given":"Julien S."},{"family":"Gu","given":"Yaodong"},{"family":"Ugbolue","given":"Ukadike C."}],"issued":{"date-parts":[["2025",12,15]]}}}],"schema":"https://github.com/citation-style-language/schema/raw/master/csl-citation.json"}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rPr>
        <ns0:t>[15]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ns0:t>
      </ns0:r>
    </ns0:p>
    <ns0:p ns2:paraId="205AB1AA">
      <ns0:pPr>
        <ns0:spacing ns0:line="360" ns0:lineRule="auto"/>
        <ns0:rPr>
          <ns0:rFonts ns0:hint="default" ns0:ascii="Times New Roman" ns0:hAnsi="Times New Roman" ns0:eastAsia="Times New Roman" ns0:cs="Times New Roman"/>
          <ns0:color ns0:val="auto"/>
          <ns0:lang ns0:val="pt-BR"/>
        </ns0:rPr>
      </ns0:pPr>
      <ns0:r>
        <ns0:rPr>
          <ns0:rFonts ns0:ascii="Times New Roman" ns0:hAnsi="Times New Roman" ns0:cs="Times New Roman"/>
          <ns0:color ns0:val="auto"/>
        </ns0:rPr>
        <ns0:t>3.4 Procedimentos Experimentais</ns0:t>
      </ns0:r>
    </ns0:p>
    <ns0:p ns2:paraId="525E84F3">
      <ns0:pPr>
        <ns0:widowControl ns0:val="0"/>
        <ns0:spacing ns0:line="360" ns0:lineRule="auto"/>
        <ns0:rPr>
          <ns0:rFonts ns0:hint="default" ns0:ascii="Times New Roman" ns0:hAnsi="Times New Roman" ns0:eastAsia="Times New Roman" ns0:cs="Times New Roman"/>
          <ns0:color ns0:val="auto"/>
          <ns0:u ns0:val="none"/>
        </ns0:rPr>
      </ns0:pPr>
      <ns0:r>
        <ns0:rPr>
          <ns0:rFonts ns0:ascii="Times New Roman" ns0:hAnsi="Times New Roman" ns0:cs="Times New Roman"/>
          <ns0:color ns0:val="auto"/>
        </ns0:rPr>
        <ns0:t>3.4.1 Sessão 1 - Avaliação de Variáveis de Força e Composição Corporal</ns0:t>
      </ns0:r>
    </ns0:p>
    <ns0:p ns2:paraId="1EC31854">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lang ns0:val="pt-BR"/>
        </ns0:rPr>
      </ns0:pPr>
      <ns0:r>
        <ns0:rPr>
          <ns0:rFonts ns0:ascii="Times New Roman" ns0:hAnsi="Times New Roman" ns0:cs="Times New Roman"/>
          <ns0:color ns0:val="auto"/>
        </ns0:rPr>
        <ns0:t xml:space="preserve">A primeira sessão de testes será realizada nas dependências do Laboratório de Cineantropometria e Desempenho Humano (LaCiDH) da EEFERP-USP. A ordem de aplicação dos testes a seguir, foi estruturada segundo as diretrizes da literatura científica para mitigar a interferência cumulativa da fadiga neuromuscular sobre as capacidades de produção de força máxima e preservar a validade interna das medidas </ns0:t>
      </ns0:r>
      <ns0:r>
        <ns0:rPr>
          <ns0:rFonts ns0:hint="default" ns0:ascii="Times New Roman" ns0:hAnsi="Times New Roman" ns0:cs="Times New Roman"/>
          <ns0:color ns0:val="auto"/>
          <ns0:lang ns0:val="pt-BR"/>
        </ns0:rPr>
        <ns0:fldChar ns0:fldCharType="begin"/>
      </ns0:r>
      <ns0:r>
        <ns0:rPr>
          <ns0:rFonts ns0:hint="default" ns0:ascii="Times New Roman" ns0:hAnsi="Times New Roman" ns0:cs="Times New Roman"/>
          <ns0:color ns0:val="auto"/>
          <ns0:lang ns0:val="pt-BR"/>
        </ns0:rPr>
        <ns0:instrText xml:space="preserve"> ADDIN ZOTERO_ITEM CSL_CITATION {"citationID":"avlK7lu0","properties":{"unsorted":false,"formattedCitation":"[46],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ns0:instrText>
      </ns0:r>
      <ns0:r>
        <ns0:rPr>
          <ns0:rFonts ns0:hint="default" ns0:ascii="Times New Roman" ns0:hAnsi="Times New Roman" ns0:cs="Times New Roman"/>
          <ns0:color ns0:val="auto"/>
          <ns0:lang ns0:val="pt-BR"/>
        </ns0:rPr>
        <ns0:fldChar ns0:fldCharType="separate"/>
      </ns0:r>
      <ns0:r>
        <ns0:rPr>
          <ns0:rFonts ns0:hint="default" ns0:ascii="Times New Roman" ns0:hAnsi="Times New Roman" ns0:cs="Times New Roman"/>
          <ns0:color ns0:val="auto"/>
          <ns0:lang ns0:val="pt-BR"/>
        </ns0:rPr>
        <ns0:t>[46], [47]</ns0:t>
      </ns0:r>
      <ns0:r>
        <ns0:rPr>
          <ns0:rFonts ns0:hint="default" ns0:ascii="Times New Roman" ns0:hAnsi="Times New Roman" ns0:cs="Times New Roman"/>
          <ns0:color ns0:val="auto"/>
          <ns0:lang ns0:val="pt-BR"/>
        </ns0:rPr>
        <ns0:fldChar ns0:fldCharType="end"/>
      </ns0:r>
      <ns0:r>
        <ns0:rPr>
          <ns0:rFonts ns0:ascii="Times New Roman" ns0:hAnsi="Times New Roman" ns0:cs="Times New Roman"/>
          <ns0:color ns0:val="auto"/>
        </ns0:rPr>
        <ns0:t>.</ns0:t>
      </ns0:r>
    </ns0:p>
    <ns0:p ns2:paraId="3C4FDAFE">
      <ns0:pPr>
        <ns0:pStyle ns0:val="11"/>
        <ns0:spacing ns0:before="0" ns0:beforeAutospacing="0" ns0:after="0" ns0:afterAutospacing="0"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a) Composição Corporal por Bioimpedância Elétrica (BIA)</ns0:t>
      </ns0:r>
    </ns0:p>
    <ns0:p ns2:paraId="2796D672">
      <ns0:pPr>
        <ns0:pStyle ns0:val="11"/>
        <ns0:spacing ns0:before="0" ns0:beforeAutospacing="0" ns0:after="0" ns0:afterAutospacing="0" ns0:line="360" ns0:lineRule="auto"/>
        <ns0:ind ns0:firstLine="708" ns0:firstLineChars="0"/>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 composição corporal (percentual de gordura corporal, massa livre de gordura e ângulo de fase) será avaliada por meio de um analisador de bioimpedância elétrica tetrapolar (Sanny®, modelo BIA1011AF, American Medical do Brasil, São Bernardo do Campo,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Brasil; Reg. ANVISA nº 81540240002). Este método não invasivo e indolor estima a composição corporal através da oposição dos tecidos biológicos (resistência e reatância) à passagem de uma corrente elétrica alternada de baixa intensidade e alta frequência (50 kHz, 800 µA), permitindo a determinação do ângulo de fase e apresentando forte correlação validada com o padrão-ouro de absorciometria de raios-X de dupla energia (DEXA) e equações específicas validadas para a população brasileira </ns0:t>
      </ns0:r>
      <ns0:r>
        <ns0:rPr>
          <ns0:rFonts ns0:hint="default" ns0:ascii="Times New Roman" ns0:hAnsi="Times New Roman" ns0:cs="Times New Roman"/>
          <ns0:color ns0:val="auto"/>
          <ns0:lang ns0:val="pt-BR"/>
        </ns0:rPr>
        <ns0:fldChar ns0:fldCharType="begin"/>
      </ns0:r>
      <ns0:r>
        <ns0:rPr>
          <ns0:rFonts ns0:hint="default" ns0:ascii="Times New Roman" ns0:hAnsi="Times New Roman" ns0:cs="Times New Roman"/>
          <ns0:color ns0:val="auto"/>
          <ns0:lang ns0:val="pt-BR"/>
        </ns0:rPr>
        <ns0:instrText xml:space="preserve"> ADDIN ZOTERO_ITEM CSL_CITATION {"citationID":"0oN44gWa","properties":{"unsorted":false,"formattedCitation":"[48], [49]","plainCitation":"[48], [49]","noteIndex":0},"citationItems":[{"id":442,"uris":["http://zotero.org/users/17274952/items/RFK7DA44"],"itemData":{"id":442,"type":"article-journal","container-title":"Clinical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analysis?","volume":"23","author":[{"family":"Kyle","given":"U"}],"issued":{"date-parts":[["2004",10]]}}},{"id":443,"uris":["http://zotero.org/users/17274952/items/URWUP22Z"],"itemData":{"id":443,"type":"article-journal","abstract":"This study was conducted to validate the relationship between bioelectrical conductance (ht2/R) and densitometrically determined fat-free mass, and to compare the prediction errors of body fatness derived from the tetrapolar impedance method and skinfold thicknesses, relative to hydrodensitometry. One-hundred and fourteen male and female subjects, aged 18–50 yr, with a wide range of fat-free mass (34–96 kg) and percent body fat (4–41%), participated. For males, densitometrically determined fat-free mass was correlated highly (r = 0.979), with fat-free mass predicted from tetrapolar conductance measures using an equation developed for males in a previous study. For females, the correlation between measured fat-free mass and values predicted from the combined (previous and present male data) equation for men also was strong (r = 0.954). The regression coefficients in the male and female regression equations were not significantly different. Relative to hydrodensitometry, the impedance method had a lower predictive error or standard error of the estimates of estimating body fatness than did a standard anthropometric technique (2.7 vs. 3.9%). Therefore this study establishes the validity and reliability of the tetrapolar impedance method for use in assessment of body composition in healthy humans.","container-title":"Journal of Applied Physiology","DOI":"10.1152/jappl.1986.60.4.1327","ISSN":"8750-7587, 1522-1601","issue":"4","journalAbbreviation":"Journal of Applied Physiology","language":"en","page":"1327-1332","source":"DOI.org (Crossref)","title":"Validation of tetrapolar bioelectrical impedance method to assess human body composition","volume":"60","author":[{"family":"Lukaski","given":"H. C."},{"family":"Bolonchuk","given":"W. W."},{"family":"Hall","given":"C. B."},{"family":"Siders","given":"W. A."}],"issued":{"date-parts":[["1986",4,1]]}}}],"schema":"https://github.com/citation-style-language/schema/raw/master/csl-citation.json"} </ns0:instrText>
      </ns0:r>
      <ns0:r>
        <ns0:rPr>
          <ns0:rFonts ns0:hint="default" ns0:ascii="Times New Roman" ns0:hAnsi="Times New Roman" ns0:cs="Times New Roman"/>
          <ns0:color ns0:val="auto"/>
          <ns0:lang ns0:val="pt-BR"/>
        </ns0:rPr>
        <ns0:fldChar ns0:fldCharType="separate"/>
      </ns0:r>
      <ns0:r>
        <ns0:rPr>
          <ns0:rFonts ns0:hint="default" ns0:ascii="Times New Roman" ns0:hAnsi="Times New Roman" ns0:cs="Times New Roman"/>
          <ns0:color ns0:val="auto"/>
          <ns0:lang ns0:val="pt-BR"/>
        </ns0:rPr>
        <ns0:t>[48], [49]</ns0:t>
      </ns0:r>
      <ns0:r>
        <ns0:rPr>
          <ns0:rFonts ns0:hint="default" ns0:ascii="Times New Roman" ns0:hAnsi="Times New Roman" ns0:cs="Times New Roman"/>
          <ns0:color ns0:val="auto"/>
          <ns0:lang ns0:val="pt-BR"/>
        </ns0:rPr>
        <ns0:fldChar ns0:fldCharType="end"/>
      </ns0:r>
      <ns0:r>
        <ns0:rPr>
          <ns0:rFonts ns0:ascii="Times New Roman" ns0:hAnsi="Times New Roman" ns0:cs="Times New Roman"/>
          <ns0:color ns0:val="auto"/>
        </ns0:rPr>
        <ns0:t xml:space="preserve">. Para a estimativa da massa livre de gordura e percentual de gordura corporal, será padronizada a equação preditiva desenvolvida por Sun et al. (2003) </ns0:t>
      </ns0:r>
      <ns0:r>
        <ns0:rPr>
          <ns0:rFonts ns0:hint="default" ns0:ascii="Times New Roman" ns0:hAnsi="Times New Roman" ns0:cs="Times New Roman"/>
          <ns0:color ns0:val="auto"/>
          <ns0:lang ns0:val="pt-BR"/>
        </ns0:rPr>
        <ns0:fldChar ns0:fldCharType="begin"/>
      </ns0:r>
      <ns0:r>
        <ns0:rPr>
          <ns0:rFonts ns0:hint="default" ns0:ascii="Times New Roman" ns0:hAnsi="Times New Roman" ns0:cs="Times New Roman"/>
          <ns0:color ns0:val="auto"/>
          <ns0:lang ns0:val="pt-BR"/>
        </ns0:rPr>
        <ns0:instrText xml:space="preserve"> ADDIN ZOTERO_ITEM CSL_CITATION {"citationID":"ZhKoA3QW","properties":{"unsorted":false,"formattedCitation":"[72]","plainCitation":"[72]","noteIndex":0},"citationItems":[{"id":453,"uris":["http://zotero.org/users/17274952/items/U3HW93FD"],"itemData":{"id":453,"type":"article-journal","container-title":"The American Journal of Clinical Nutrition","DOI":"10.1093/ajcn/77.2.331","ISSN":"00029165","issue":"2","journalAbbreviation":"The American Journal of Clinical Nutrition","language":"en","page":"331-340","source":"DOI.org (Crossref)","title":"Development of bioelectrical impedance analysis prediction equations for body composition with the use of a multicomponent model for use in epidemiologic surveys","volume":"77","author":[{"family":"Sun","given":"Shumei S"},{"family":"Chumlea","given":"W Cameron"},{"family":"Heymsfield","given":"Steven B"},{"family":"Lukaski","given":"Henry C"},{"family":"Schoeller","given":"Dale"},{"family":"Friedl","given":"Karl"},{"family":"Kuczmarski","given":"Robert J"},{"family":"Flegal","given":"Katherine M"},{"family":"Johnson","given":"Clifford L"},{"family":"Hubbard","given":"Van S"}],"issued":{"date-parts":[["2003",2]]}}}],"schema":"https://github.com/citation-style-language/schema/raw/master/csl-citation.json"} </ns0:instrText>
      </ns0:r>
      <ns0:r>
        <ns0:rPr>
          <ns0:rFonts ns0:hint="default" ns0:ascii="Times New Roman" ns0:hAnsi="Times New Roman" ns0:cs="Times New Roman"/>
          <ns0:color ns0:val="auto"/>
          <ns0:lang ns0:val="pt-BR"/>
        </ns0:rPr>
        <ns0:fldChar ns0:fldCharType="separate"/>
      </ns0:r>
      <ns0:r>
        <ns0:rPr>
          <ns0:rFonts ns0:hint="default" ns0:ascii="Times New Roman" ns0:hAnsi="Times New Roman" ns0:cs="Times New Roman"/>
          <ns0:color ns0:val="auto"/>
          <ns0:lang ns0:val="pt-BR"/>
        </ns0:rPr>
        <ns0:t>[72]</ns0:t>
      </ns0:r>
      <ns0:r>
        <ns0:rPr>
          <ns0:rFonts ns0:hint="default" ns0:ascii="Times New Roman" ns0:hAnsi="Times New Roman" ns0:cs="Times New Roman"/>
          <ns0:color ns0:val="auto"/>
          <ns0:lang ns0:val="pt-BR"/>
        </ns0:rPr>
        <ns0:fldChar ns0:fldCharType="end"/>
      </ns0:r>
      <ns0:r>
        <ns0:rPr>
          <ns0:rFonts ns0:ascii="Times New Roman" ns0:hAnsi="Times New Roman" ns0:cs="Times New Roman"/>
          <ns0:color ns0:val="auto"/>
        </ns0:rPr>
        <ns0:t xml:space="preserve">, calibrada a partir de um modelo multicompartimental (4C: hidrodensitometria, diluição com deutério e DEXA). Diferentemente de equações populacionais empíricas que penalizam o peso corporal total elevado pelo IMC, a equação de Sun prioriza o índice de condutividade elétrica e volume tecidual (Estatura2/Resistência), apresentando elevada acurácia para populações ativas e com maior densidade musculoesquelética de membros superiores e tronco, evitando a superestimação de adiposidade.  A avaliação será conduzida com o participante em decúbito dorsal sobre uma maca isolada não condutora, com membros superiores abduzidos a 30° em relação ao tronco e membros inferiores afastados a 45° entre si, após um período prévio de repouso passivo de 5 minutos para estabilização e redistribuição homogênea dos fluidos corporais. Serão afixados quatro eletrodos adesivos descartáveis de prata/cloreto de prata (Ag/AgCl) na superfície dorsal da mão e do pé direitos, respeitando a distância padrão de 5 cm entre os eletrodos sensores e injetores, após assepsia local com álcool a 70%. O participante será avaliado antes de qualquer esforço físico, seguindo rigorosamente os protocolos pré-teste padronizados: jejum prévio de 4 horas, ausência de consumo de bebidas alcoólicas ou cafeinadas nas 24 horas antecedentes e esvaziamento vesical imediato antes da medida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pl41XISY","properties":{"unsorted":false,"formattedCitation":"[48]","plainCitation":"[48]","noteIndex":0},"citationItems":[{"id":442,"uris":["http://zotero.org/users/17274952/items/RFK7DA44"],"itemData":{"id":442,"type":"article-journal","container-title":"Clinical Nutrition","DOI":"10.1016/j.clnu.2004.06.004","ISSN":"02615614","issue":"5","journalAbbreviation":"Clinical Nutrition","language":"en","license":"https://www.elsevier.com/tdm/userlicense/1.0/","page":"1226-1243","source":"DOI.org (Crossref)","title":"Bioelectrical impedance analysis?part I: review of principles and methods","title-short":"Bioelectrical impedance analysis?","volume":"23","author":[{"family":"Kyle","given":"U"}],"issued":{"date-parts":[["2004",10]]}}}],"schema":"https://github.com/citation-style-language/schema/raw/master/csl-citation.json"}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[48]</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ns0:t>
      </ns0:r>
    </ns0:p>
    <ns0:p ns2:paraId="014F066F">
      <ns0:pPr>
        <ns0:pStyle ns0:val="11"/>
        <ns0:spacing ns0:before="0" ns0:beforeAutospacing="0" ns0:after="0" ns0:afterAutospacing="0"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b) Avaliação da Força de Preensão Manual (FPM)</ns0:t>
      </ns0:r>
    </ns0:p>
    <ns0:p ns2:paraId="273EA8E8">
      <ns0:pPr>
        <ns0:pStyle ns0:val="11"/>
        <ns0:spacing ns0:before="0" ns0:beforeAutospacing="0" ns0:after="0" ns0:afterAutospacing="0" ns0:line="360" ns0:lineRule="auto"/>
        <ns0:ind ns0:firstLine="708" ns0:firstLineChars="0"/>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As avaliações serão feitas bilateralmente (membro dominante e não-dominante) por meio de um dinamômetro hidráulico portátil devidamente calibrado (Saehan Corporation, modelo SH5001, Changwon, Coreia do Sul), equipamento com validade concorrente e reprodutibilidade equivalente ao modelo Jamar®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{"citationID":"RCHSxARg","properties":{"unsorted":false,"formattedCitation":"[50], [51]","plainCitation":"[50], [51]","noteIndex":0},"citationItems":[{"id":10,"uris":["http://zotero.org/users/17274952/items/2MPKBVK5"],"itemData":{"id":10,"type":"article-journal","abstract":"Abstract\n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strength","volume":"9","author":[{"family":"Mathiowetz","given":"Virgil"}],"issued":{"date-parts":[["2002",8]]}}},{"id":11,"uris":["http://zotero.org/users/17274952/items/PMVQP5WP"],"itemData":{"id":11,"type":"article-journal","abstract":"Existe uma grande variedade de instrumentos utilizados para a avaliação da força de preensão manual. Porém, não existem estudos demonstrando a validade e a confiabilidade da maioria destes instrumentos. O objetivo deste estudo foi avaliar a validade concorrente e a confiabilidade intraexaminador do dinamômetro Saehan hidráulico comparado-o com o dinamômetro Jamar hidráulico. Cem indivíduos sadios (50 homens e 50 mulheres), entre 20 e 50 anos de idade, sem alterações cognitivas, deficiências físicas, disfunções neuromusculares e ortopédicas e história de lesões nos membros superiores, foram testados com os dinamômetros Jamar e Saehan. A validade concorrente entre o dinamômetro Jamar e o dinamômetro Saehan foi excelente para os testes de força de preensão realizados com as mãos direita (r=0,976) e esquerda (r=0,986). A confiabilidade intra-examinador foi excelente tanto para o dinamômetro Jamar (r=0,985 mãos direita e esquerda) quanto para o dinamômetro Saehan (r=0,981 mão direita e r=0,985 mão esquerda). O dinamômetro Saehan é válido, confiável e comparável com o dinamômetro Jamar. Portanto, dados coletados com o dinamômetro Jamar são equivalentes aos dados coletados com o dinamômetro Saehan. Consequentemente, valores de força obtidos por testes com dinamômetro Saehan podem ser comparados com valores de referência de força de preensão que foram obtidos com o dinamômetro Jamar.\n          , \n            There is a great variety of instruments available for evaluating hand grip strength. There is, however, a lack of studies showing the validity and reliability of most of these instruments. The purpose of this study was to examine the concurrent validity and test-retest reliability of the hydraulic Saehan dynamometer using the hydraulic Jamar dynamometer. One hundred healthy subjects (50 men and 50 women), between the ages of 20 and 50 years old, without cognitive impairment, physical disability, neuromuscular or orthopedic dysfunction, and history of upper extremity injuries were tested with the Jamar and Saehan dynamometers. The concurrent validity between the Jamar and the Saehan dynamometers was excellent for both the right hand (r=0.976) and the left hand (r=0.986). Test-retest reliability was excellent for both the Jamar (r=0.985 right and left hands) and the Saehan (r=0.981 right hand and r=0.985 left hand). The Saehan dynamometer is valid, reliable and comparable to the Jamar dynamometer. Therefore, the Jamar and Saehan dynamometers measure handgrip strength equivalently. As a result, strength values obtained with the Saehan dynamometer can be compared with reference values which were collected with the Jamar dynamometer.","container-title":"Fisioterapia e Pesquisa","DOI":"10.1590/S1809-29502011000200013","ISSN":"1809-2950","issue":"2","journalAbbreviation":"Fisioter. Pesqui.","page":"176-181","source":"DOI.org (Crossref)","title":"Medida da força de preensão manual- validade e confiabilidade do dinamômetro saehan","volume":"18","author":[{"family":"Reis","given":"Maurício Moreira"},{"family":"Arantes","given":"Paula Maria Machado"}],"issued":{"date-parts":[["2011",6]]}}}],"schema":"https://github.com/citation-style-language/schema/raw/master/csl-citation.json"}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[50], [51]</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O participante permanecerá sentado em cadeira sem braços, com coluna ereta, pés apoiados no solo, ombro aduzido em rotação neutra, cotovelo fletido a 90° e antebraço em posição neutra sem repouso sobre superfícies, seguindo a diretriz padronizada da </ns0:t>
      </ns0:r>
      <ns0:r>
        <ns0:rPr>
          <ns0:rFonts ns0:ascii="Times New Roman" ns0:hAnsi="Times New Roman" ns0:cs="Times New Roman"/>
          <ns0:i/>
          <ns0:iCs/>
          <ns0:color ns0:val="auto"/>
        </ns0:rPr>
        <ns0:t>American Society of Hand Therapists</ns0:t>
      </ns0:r>
      <ns0:r>
        <ns0:rPr>
          <ns0:rFonts ns0:ascii="Times New Roman" ns0:hAnsi="Times New Roman" ns0:cs="Times New Roman"/>
          <ns0:color ns0:val="auto"/>
        </ns0:rPr>
        <ns0:t xml:space="preserve"> (ASHT)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{"citationID":"lTDhzuNi","properties":{"unsorted":false,"formattedCitation":"[50], [52]","plainCitation":"[50], [52]","noteIndex":0},"citationItems":[{"id":10,"uris":["http://zotero.org/users/17274952/items/2MPKBVK5"],"itemData":{"id":10,"type":"article-journal","abstract":"Abstract\n            This study compared the Jamar and Rolyan hydraulic dynamometers to determine their concurrent validity with known weights as well as their inter‐instrument reliability and concurrent validity for measuring grip strength in a clinical setting. Thirty females and 30 males were tested on these two grip strength measurement devices using a repeated measure design. Results showed that the Jamar and Rolyan dynamometers have acceptable concurrent validity with known weights (that is, correlation coefficients were r ≥ 0.9994), excellent inter‐instrument reliability (that is, intraclass correlation coefficients ranged from 0.90 to 0.97) and strong concurrent validity (that is, no significant differences between dynamometers' scores). Data indicate that Jamar and Rolyan dynamometers measure grip strength equivalently and can be used interchangeably. Thus, therapists using the Rolyan dynamometer are justified in using published normative data, which were collected with the Jamar dynamometer. Copyright © 2002 Whurr Publishers Ltd.","container-title":"Occupational Therapy International","DOI":"10.1002/oti.165","ISSN":"0966-7903, 1557-0703","issue":"3","journalAbbreviation":"Occupation Therapy Intl","language":"en","license":"http://onlinelibrary.wiley.com/termsAndConditions#vor","page":"201-209","source":"DOI.org (Crossref)","title":"Comparison of Rolyan and Jamar dynamometers for measuring grip strength","volume":"9","author":[{"family":"Mathiowetz","given":"Virgil"}],"issued":{"date-parts":[["2002",8]]}}},{"id":308,"uris":["http://zotero.org/users/17274952/items/6363HPGD"],"itemData":{"id":308,"type":"article-journal","container-title":"Age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[50], [52]</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A manopla móvel será ajustada na 2ª posição padrão (cerca de 4,7 cm de abertura). O voluntário realizará três contrações voluntárias máximas de 3 a 5 segundos com estímulo verbal padronizado, respeitando um intervalo de 60 segundos de recuperação entre as tentativas no mesmo membro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{"citationID":"sBVeGGZo","properties":{"unsorted":false,"formattedCitation":"[52]","plainCitation":"[52]","noteIndex":0},"citationItems":[{"id":308,"uris":["http://zotero.org/users/17274952/items/6363HPGD"],"itemData":{"id":308,"type":"article-journal","container-title":"Age and Ageing","DOI":"10.1093/ageing/afr051","ISSN":"1468-2834, 0002-0729","issue":"4","language":"en","page":"423-429","source":"DOI.org (Crossref)","title":"A review of the measurement of grip strength in clinical and epidemiological studies: towards a standardised approach","title-short":"A review of the measurement of grip strength in clinical and epidemiological studies","volume":"40","author":[{"family":"Roberts","given":"Helen C."},{"family":"Denison","given":"Hayley J."},{"family":"Martin","given":"Helen J."},{"family":"Patel","given":"Harnish P."},{"family":"Syddall","given":"Holly"},{"family":"Cooper","given":"Cyrus"},{"family":"Sayer","given":"Avan Aihie"}],"issued":{"date-parts":[["2011",7]]}}}],"schema":"https://github.com/citation-style-language/schema/raw/master/csl-citation.json"}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[52]</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O maior valor de pico obtido em cada membro será registrado em quilogramas-força (Kgf) e posteriormente normalizado pela massa corporal total (Kgf/Kg)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{"citationID":"viSBB8Rj","properties":{"unsorted":false,"formattedCitation":"[53]","plainCitation":"[53]","noteIndex":0},"citationItems":[{"id":9,"uris":["http://zotero.org/users/17274952/items/PRWFRTC3"],"itemData":{"id":9,"type":"article-journal","container-title":"Sports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[53]</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ns0:t>
      </ns0:r>
    </ns0:p>
    <ns0:p ns2:paraId="1E58B391">
      <ns0:pPr>
        <ns0:pStyle ns0:val="11"/>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c) Pico de Torque Isométrico dos Flexores de Punho (FFP)</ns0:t>
      </ns0:r>
    </ns0:p>
    <ns0:p ns2:paraId="7581F6A6">
      <ns0:pPr>
        <ns0:pStyle ns0:val="11"/>
        <ns0:spacing ns0:before="0" ns0:beforeAutospacing="0" ns0:after="0" ns0:afterAutospacing="0" ns0:line="360" ns0:lineRule="auto"/>
        <ns0:ind ns0:firstLine="708" ns0:firstLineChars="0"/>
        <ns0:jc ns0:val="both"/>
        <ns0:rPr>
          <ns0:rFonts ns0:hint="default" ns0:ascii="Times New Roman" ns0:hAnsi="Times New Roman" ns0:cs="Times New Roman"/>
          <ns0:color ns0:val="auto"/>
        </ns0:rPr>
      </ns0:pPr>
      <ns0:r>
        <ns0:rPr>
          <ns0:rFonts ns0:ascii="Times New Roman" ns0:hAnsi="Times New Roman" ns0:cs="Times New Roman"/>
          <ns0:color ns0:val="auto"/>
        </ns0:rPr>
        <ns0:t>As avaliações serão feitas bilateralmente (membro dominante e não-dominante) por meio de um dinamômetro isocinético/isométrico (Biodex Multi-Joint System PRO, Biodex Medical Systems, Shirley, NY, EUA). O participante sentará na cadeira com o encosto ajustado a 85°, tronco estabilizado por cintos cruzados peitorais e pélvico. O antebraço do membro testado será posicionado em uma calha de suporte acolchoada (</ns0:t>
      </ns0:r>
      <ns0:r>
        <ns0:rPr>
          <ns0:rFonts ns0:ascii="Times New Roman" ns0:hAnsi="Times New Roman" ns0:cs="Times New Roman"/>
          <ns0:i/>
          <ns0:iCs/>
          <ns0:color ns0:val="auto"/>
        </ns0:rPr>
        <ns0:t>Limb-Support Pad</ns0:t>
      </ns0:r>
      <ns0:r>
        <ns0:rPr>
          <ns0:rFonts ns0:ascii="Times New Roman" ns0:hAnsi="Times New Roman" ns0:cs="Times New Roman"/>
          <ns0:color ns0:val="auto"/>
        </ns0:rPr>
        <ns0:t>) e rigidamente imobilizado por cintas inelásticas de velcro (com cotovelo a 90° e antebraço pronado) para eliminar a contribuição dos flexores de cotovelo e músculos do ombro. O eixo de rotação mecânico do dinamômetro será alinhado ao eixo anatômico da articulação radiocárpica (linha bissecante entre os processos estiloides do rádio e da ulna, na altura do osso capitato). A alavanca (</ns0:t>
      </ns0:r>
      <ns0:r>
        <ns0:rPr>
          <ns0:rFonts ns0:ascii="Times New Roman" ns0:hAnsi="Times New Roman" ns0:cs="Times New Roman"/>
          <ns0:i/>
          <ns0:iCs/>
          <ns0:color ns0:val="auto"/>
        </ns0:rPr>
        <ns0:t>wrist attachment</ns0:t>
      </ns0:r>
      <ns0:r>
        <ns0:rPr>
          <ns0:rFonts ns0:ascii="Times New Roman" ns0:hAnsi="Times New Roman" ns0:cs="Times New Roman"/>
          <ns0:color ns0:val="auto"/>
        </ns0:rPr>
        <ns0:t>) será travada no modo isométrico no ângulo articular de 70° de extensão de punho, simulando com alta especificidade a angulação funcional de suporte e a atuação da estratégia de punho (</ns0:t>
      </ns0:r>
      <ns0:r>
        <ns0:rPr>
          <ns0:rFonts ns0:ascii="Times New Roman" ns0:hAnsi="Times New Roman" ns0:cs="Times New Roman"/>
          <ns0:i/>
          <ns0:iCs/>
          <ns0:color ns0:val="auto"/>
        </ns0:rPr>
        <ns0:t>wrist strategy</ns0:t>
      </ns0:r>
      <ns0:r>
        <ns0:rPr>
          <ns0:rFonts ns0:ascii="Times New Roman" ns0:hAnsi="Times New Roman" ns0:cs="Times New Roman"/>
          <ns0:color ns0:val="auto"/>
        </ns0:rPr>
        <ns0:t xml:space="preserve">) durante o </ns0:t>
      </ns0:r>
      <ns0:r>
        <ns0:rPr>
          <ns0:rFonts ns0:ascii="Times New Roman" ns0:hAnsi="Times New Roman" ns0:cs="Times New Roman"/>
          <ns0:i/>
          <ns0:iCs/>
          <ns0:color ns0:val="auto"/>
        </ns0:rPr>
        <ns0:t xml:space="preserve">HS </ns0:t>
      </ns0:r>
      <ns0:r>
        <ns0:rPr>
          <ns0:rFonts ns0:hint="default" ns0:ascii="Times New Roman" ns0:hAnsi="Times New Roman" ns0:cs="Times New Roman"/>
          <ns0:i ns0:val="0"/>
          <ns0:iCs ns0:val="0"/>
          <ns0:color ns0:val="auto"/>
          <ns0:lang ns0:val="pt-BR"/>
        </ns0:rPr>
        <ns0:fldChar ns0:fldCharType="begin"/>
      </ns0:r>
      <ns0:r>
        <ns0:rPr>
          <ns0:rFonts ns0:hint="default" ns0:ascii="Times New Roman" ns0:hAnsi="Times New Roman" ns0:cs="Times New Roman"/>
          <ns0:i ns0:val="0"/>
          <ns0:iCs ns0:val="0"/>
          <ns0:color ns0:val="auto"/>
          <ns0:lang ns0:val="pt-BR"/>
        </ns0:rPr>
        <ns0:instrText xml:space="preserve"> ADDIN ZOTERO_ITEM CSL_CITATION {"citationID":"5xg4t7kb","properties":{"unsorted":false,"formattedCitation":"[3], [9], [54]","plainCitation":"[3], [9], [54]","noteIndex":0},"citationItems":[{"id":336,"uris":["http://zotero.org/users/17274952/items/P82NI7IB"],"itemData":{"id":336,"type":"article-journal","abstract":"KERWIN,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G."},{"family":"Trewartha","given":"Grant"}],"issued":{"date-parts":[["2001",7]]}}},{"id":8,"uris":["http://zotero.org/users/17274952/items/YSSQK76Z"],"itemData":{"id":8,"type":"article-journal","container-title":"Journal of Electromyography and Kinesiology","DOI":"10.1016/S1050-6411(97)00025-4","ISSN":"10506411","issue":"2","journalAbbreviation":"Journal of Electromyography and Kinesiology","language":"en","license":"https://www.elsevier.com/tdm/userlicense/1.0/","page":"93-100","source":"DOI.org (Crossref)","title":"Musculoskeletal balance of the human wrist elucidated using intraoperative laser diffraction","volume":"8","author":[{"family":"Lieber","given":"Richard L"},{"family":"Fridén","given":"Jan"}],"issued":{"date-parts":[["1998",4]]}}},{"id":299,"uris":["http://zotero.org/users/17274952/items/EJ28IYIX"],"itemData":{"id":299,"type":"article-journal","abstract":"In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NOVICES","volume":"11","author":[{"family":"Rohleder","given":"Jonas"},{"family":"Vogt","given":"Tobias"}],"issued":{"date-parts":[["2019",6,1]]}}}],"schema":"https://github.com/citation-style-language/schema/raw/master/csl-citation.json"} </ns0:instrText>
      </ns0:r>
      <ns0:r>
        <ns0:rPr>
          <ns0:rFonts ns0:hint="default" ns0:ascii="Times New Roman" ns0:hAnsi="Times New Roman" ns0:cs="Times New Roman"/>
          <ns0:i ns0:val="0"/>
          <ns0:iCs ns0:val="0"/>
          <ns0:color ns0:val="auto"/>
          <ns0:lang ns0:val="pt-BR"/>
        </ns0:rPr>
        <ns0:fldChar ns0:fldCharType="separate"/>
      </ns0:r>
      <ns0:r>
        <ns0:rPr>
          <ns0:rFonts ns0:hint="default" ns0:ascii="Times New Roman" ns0:hAnsi="Times New Roman" ns0:cs="Times New Roman"/>
          <ns0:i ns0:val="0"/>
          <ns0:iCs ns0:val="0"/>
          <ns0:color ns0:val="auto"/>
          <ns0:lang ns0:val="pt-BR"/>
        </ns0:rPr>
        <ns0:t>[3], [9], [54]</ns0:t>
      </ns0:r>
      <ns0:r>
        <ns0:rPr>
          <ns0:rFonts ns0:hint="default" ns0:ascii="Times New Roman" ns0:hAnsi="Times New Roman" ns0:cs="Times New Roman"/>
          <ns0:i ns0:val="0"/>
          <ns0:iCs ns0:val="0"/>
          <ns0:color ns0:val="auto"/>
          <ns0:lang ns0:val="pt-BR"/>
        </ns0:rPr>
        <ns0:fldChar ns0:fldCharType="end"/>
      </ns0:r>
      <ns0:r>
        <ns0:rPr>
          <ns0:rFonts ns0:ascii="Times New Roman" ns0:hAnsi="Times New Roman" ns0:cs="Times New Roman"/>
          <ns0:i/>
          <ns0:iCs/>
          <ns0:color ns0:val="auto"/>
        </ns0:rPr>
        <ns0:t xml:space="preserve"> </ns0:t>
      </ns0:r>
      <ns0:r>
        <ns0:rPr>
          <ns0:rFonts ns0:ascii="Times New Roman" ns0:hAnsi="Times New Roman" ns0:cs="Times New Roman"/>
          <ns0:color ns0:val="auto"/>
        </ns0:rPr>
        <ns0:t>. Após a calibração do zero anatômico e a correção automática do peso do membro e da alavanca (</ns0:t>
      </ns0:r>
      <ns0:r>
        <ns0:rPr>
          <ns0:rFonts ns0:ascii="Times New Roman" ns0:hAnsi="Times New Roman" ns0:cs="Times New Roman"/>
          <ns0:i/>
          <ns0:iCs/>
          <ns0:color ns0:val="auto"/>
        </ns0:rPr>
        <ns0:t>gravity correction</ns0:t>
      </ns0:r>
      <ns0:r>
        <ns0:rPr>
          <ns0:rFonts ns0:ascii="Times New Roman" ns0:hAnsi="Times New Roman" ns0:cs="Times New Roman"/>
          <ns0:color ns0:val="auto"/>
        </ns0:rPr>
        <ns0:t xml:space="preserve">), o participante realizará contrações voluntárias máximas de flexão de punho com duração de 5 segundos cada, intercaladas por 60 segundos de repouso passivo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4M4RcQOL","properties":{"unsorted":false,"formattedCitation":"[55]","plainCitation":"[55]","noteIndex":0},"citationItems":[{"id":7,"uris":["http://zotero.org/users/17274952/items/YBUZXYJB"],"itemData":{"id":7,"type":"book","DOI":"10.4324/9781003380719","edition":"3","ISBN":"978-1-003-38071-9","language":"en","publisher":"Routledge","publisher-place":"New York","source":"DOI.org (Crossref)","title":"Isokinetics: Muscle Testing, Interpretation and Clinical Applications","title-short":"Isokinetics","URL":"https://www.taylorfrancis.com/books/9781003380719","author":[{"family":"Dvir","given":"Zeevi"}],"accessed":{"date-parts":[["2026",8,27]]},"issued":{"date-parts":[["2025",5,9]]}}}],"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O maior valor de pico de torque (PT, em N·m) será registrado e normalizado pela massa corporal (N·m/kg) [53]. Adicionalmente, será calculado o Índice de Simetria de Membros [</ns0:t>
      </ns0:r>
      <ns0:r>
        <ns0:rPr>
          <ns0:rFonts ns0:ascii="Times New Roman" ns0:hAnsi="Times New Roman" ns0:cs="Times New Roman"/>
          <ns0:i/>
          <ns0:iCs/>
          <ns0:color ns0:val="auto"/>
        </ns0:rPr>
        <ns0:t>LSI</ns0:t>
      </ns0:r>
      <ns0:r>
        <ns0:rPr>
          <ns0:rFonts ns0:ascii="Times New Roman" ns0:hAnsi="Times New Roman" ns0:cs="Times New Roman"/>
          <ns0:color ns0:val="auto"/>
        </ns0:rPr>
        <ns0:t xml:space="preserve"> (%) = (PT não dominante / PT dominante) × 100] para posterior análise na locomoção dinâmica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{"citationID":"Tk2je6FQ","properties":{"unsorted":false,"formattedCitation":"[56]","plainCitation":"[56]","noteIndex":0},"citationItems":[{"id":4,"uris":["http://zotero.org/users/17274952/items/EFWZLII9"],"itemData":{"id":4,"type":"article-journal","abstract":"ABSTRACT\n            The concept of thresholds has commonly appeared in the literature for the topic of interlimb asymmetry. However, with an abundance of literature showing asymmetry to be task- and metric-specific, the use of thresholds seems flawed. When computed, practitioners are often left with a percentage figure and it is not always entirely obvious how to interpret this value. This article aims to provide practitioners with some guidelines on meaningful ways to use and interpret interlimb asymmetry data.","container-title":"Strength &amp; Conditioning Journal","DOI":"10.1519/SSC.0000000000000554","ISSN":"1524-1602","issue":"1","language":"en","page":"32-36","source":"DOI.org (Crossref)","title":"Interlimb Asymmetries: Are Thresholds a Usable Concept?","title-short":"Interlimb Asymmetries","volume":"43","author":[{"family":"Bishop","given":"Chris"}],"issued":{"date-parts":[["2021",2]]}}}],"schema":"https://github.com/citation-style-language/schema/raw/master/csl-citation.json"}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[56]</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Um intervalo de recuperação passiva de 5 minutos será respeitado entre o término da dinamometria e o início do aquecimento para o teste de 1-RM.</ns0:t>
      </ns0:r>
    </ns0:p>
    <ns0:p ns2:paraId="15E03332">
      <ns0:pPr>
        <ns0:pStyle ns0:val="11"/>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d) Teste de 1 Repetição Máxima (1-RM) no </ns0:t>
      </ns0:r>
      <ns0:r>
        <ns0:rPr>
          <ns0:rFonts ns0:ascii="Times New Roman" ns0:hAnsi="Times New Roman" ns0:cs="Times New Roman"/>
          <ns0:i/>
          <ns0:iCs/>
          <ns0:color ns0:val="auto"/>
        </ns0:rPr>
        <ns0:t>SP</ns0:t>
      </ns0:r>
    </ns0:p>
    <ns0:p ns2:paraId="1B36F705">
      <ns0:pPr>
        <ns0:suppressAutoHyphens ns0:val="0"/>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A força máxima dinâmica dos músculos de membros superiores em empurrar acima da cabeça será mensurada pelo teste de 1-RM no </ns0:t>
      </ns0:r>
      <ns0:r>
        <ns0:rPr>
          <ns0:rFonts ns0:ascii="Times New Roman" ns0:hAnsi="Times New Roman" ns0:cs="Times New Roman"/>
          <ns0:i/>
          <ns0:iCs/>
          <ns0:color ns0:val="auto"/>
        </ns0:rPr>
        <ns0:t>shoulder press</ns0:t>
      </ns0:r>
      <ns0:r>
        <ns0:rPr>
          <ns0:rFonts ns0:ascii="Times New Roman" ns0:hAnsi="Times New Roman" ns0:cs="Times New Roman"/>
          <ns0:color ns0:val="auto"/>
        </ns0:rPr>
        <ns0:t xml:space="preserve"> com barra e pesos livres, seguindo protocolo adaptado de teste progressivo de carga máxima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{"citationID":"pyYfeFLJ","properties":{"unsorted":false,"formattedCitation":"[47], [57], [58]","plainCitation":"[47], [57], [58]","noteIndex":0},"citationItems":[{"id":357,"uris":["http://zotero.org/users/17274952/items/PT598QVY"],"itemData":{"id":357,"type":"article-journal","abstract":"Embora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Association"}],"issued":{"date-parts":[["2027"]]}}},{"id":3,"uris":["http://zotero.org/users/17274952/items/QXK7H6DX"],"itemData":{"id":3,"type":"article-journal","container-title":"Sports Medicine","DOI":"10.1007/s40279-019-01096-8","ISSN":"0112-1642, 1179-2035","issue":"6","journalAbbreviation":"Sports Med","language":"en","page":"867-885","source":"DOI.org (Crossref)","title":"Weightlifting Overhead Pressing Derivatives: A Review of the Literature","title-short":"Weightlifting Overhead Pressing Derivatives","volume":"49","author":[{"family":"Soriano","given":"Marcos A."},{"family":"Suchomel","given":"Timothy J."},{"family":"Comfort","given":"Paul"}],"issued":{"date-parts":[["2019",6]]}}}],"schema":"https://github.com/citation-style-language/schema/raw/master/csl-citation.json"}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[47], [57], [58]</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Previamente ao teste de carga máxima, os participantes realizarão um protocolo padronizado de aquecimento e preparação articular específico composto por: mobilidade torácica e flexão de ombros apoiando as mãos na parede (</ns0:t>
      </ns0:r>
      <ns0:r>
        <ns0:rPr>
          <ns0:rFonts ns0:ascii="Times New Roman" ns0:hAnsi="Times New Roman" ns0:cs="Times New Roman"/>
          <ns0:i/>
          <ns0:iCs/>
          <ns0:color ns0:val="auto"/>
        </ns0:rPr>
        <ns0:t>wall opener</ns0:t>
      </ns0:r>
      <ns0:r>
        <ns0:rPr>
          <ns0:rFonts ns0:ascii="Times New Roman" ns0:hAnsi="Times New Roman" ns0:cs="Times New Roman"/>
          <ns0:color ns0:val="auto"/>
        </ns0:rPr>
        <ns0:t>, cinco respirações profundas em alinhamento articular); ativação do manguito rotador e estabilizadores escapulares em decúbito ventral no solo (</ns0:t>
      </ns0:r>
      <ns0:r>
        <ns0:rPr>
          <ns0:rFonts ns0:ascii="Times New Roman" ns0:hAnsi="Times New Roman" ns0:cs="Times New Roman"/>
          <ns0:i/>
          <ns0:iCs/>
          <ns0:color ns0:val="auto"/>
        </ns0:rPr>
        <ns0:t>prone</ns0:t>
      </ns0:r>
      <ns0:r>
        <ns0:rPr>
          <ns0:rFonts ns0:ascii="Times New Roman" ns0:hAnsi="Times New Roman" ns0:cs="Times New Roman"/>
          <ns0:color ns0:val="auto"/>
        </ns0:rPr>
        <ns0:t xml:space="preserve"> Y-T-W, cinco repetições controladas em cada posição com polegares elevados); ativação do serrátil anterior em prancha alta (</ns0:t>
      </ns0:r>
      <ns0:r>
        <ns0:rPr>
          <ns0:rFonts ns0:ascii="Times New Roman" ns0:hAnsi="Times New Roman" ns0:cs="Times New Roman"/>
          <ns0:i/>
          <ns0:iCs/>
          <ns0:color ns0:val="auto"/>
        </ns0:rPr>
        <ns0:t>scapular push-ups</ns0:t>
      </ns0:r>
      <ns0:r>
        <ns0:rPr>
          <ns0:rFonts ns0:ascii="Times New Roman" ns0:hAnsi="Times New Roman" ns0:cs="Times New Roman"/>
          <ns0:color ns0:val="auto"/>
        </ns0:rPr>
        <ns0:t>, oito a dez repetições); e familiarização específica com a barra metálica olímpica (FlexFit®, Franca, Brasil, pesando 20 kg para homens e 15 kg para mulheres), executando quatro a cinco repetições com fase concêntrica em velocidade máxima e bloqueio vertical controlado acima da cabeça por um segundo (</ns0:t>
      </ns0:r>
      <ns0:r>
        <ns0:rPr>
          <ns0:rFonts ns0:ascii="Times New Roman" ns0:hAnsi="Times New Roman" ns0:cs="Times New Roman"/>
          <ns0:i/>
          <ns0:iCs/>
          <ns0:color ns0:val="auto"/>
        </ns0:rPr>
        <ns0:t>lockout</ns0:t>
      </ns0:r>
      <ns0:r>
        <ns0:rPr>
          <ns0:rFonts ns0:ascii="Times New Roman" ns0:hAnsi="Times New Roman" ns0:cs="Times New Roman"/>
          <ns0:color ns0:val="auto"/>
        </ns0:rPr>
        <ns0:t xml:space="preserve">). Em seguida, anilhas calibradas (FlexFit®, Franca, Brasil) serão adicionadas para a progressão da carga. A distância de pegada das mãos na barra será padronizada ligeiramente além da largura dos ombros </ns0:t>
      </ns0:r>
      <ns0:r>
        <ns0:rPr>
          <ns0:rFonts ns0:hint="default" ns0:ascii="Times New Roman" ns0:hAnsi="Times New Roman" ns0:eastAsia="Times New Roman" ns0:cs="Times New Roman"/>
          <ns0:color ns0:val="auto"/>
          <ns0:lang ns0:val="pt-BR"/>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xtLaG6Gj","properties":{"unsorted":false,"formattedCitation":"[59]","plainCitation":"[59]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Paula"}],"issued":{"date-parts":[["2024"]]}}}],"schema":"https://github.com/citation-style-language/schema/raw/master/csl-citation.json"} </ns0:instrText>
      </ns0:r>
      <ns0:r>
        <ns0:rPr>
          <ns0:rFonts ns0:hint="default" ns0:ascii="Times New Roman" ns0:hAnsi="Times New Roman" ns0:eastAsia="Times New Roman" ns0:cs="Times New Roman"/>
          <ns0:color ns0:val="auto"/>
          <ns0:lang ns0:val="pt-BR"/>
        </ns0:rPr>
        <ns0:fldChar ns0:fldCharType="separate"/>
      </ns0:r>
      <ns0:r>
        <ns0:rPr>
          <ns0:rFonts ns0:hint="default" ns0:ascii="Times New Roman" ns0:hAnsi="Times New Roman" ns0:eastAsia="Times New Roman" ns0:cs="Times New Roman"/>
          <ns0:color ns0:val="auto"/>
          <ns0:lang ns0:val="pt-BR"/>
        </ns0:rPr>
        <ns0:t>[59]</ns0:t>
      </ns0:r>
      <ns0:r>
        <ns0:rPr>
          <ns0:rFonts ns0:hint="default" ns0:ascii="Times New Roman" ns0:hAnsi="Times New Roman" ns0:eastAsia="Times New Roman" ns0:cs="Times New Roman"/>
          <ns0:color ns0:val="auto"/>
          <ns0:lang ns0:val="pt-BR"/>
        </ns0:rPr>
        <ns0:fldChar ns0:fldCharType="end"/>
      </ns0:r>
      <ns0:r>
        <ns0:rPr>
          <ns0:rFonts ns0:ascii="Times New Roman" ns0:hAnsi="Times New Roman" ns0:cs="Times New Roman"/>
          <ns0:color ns0:val="auto"/>
        </ns0:rPr>
        <ns0:t>.</ns0:t>
      </ns0:r>
    </ns0:p>
    <ns0:p ns2:paraId="2D5E3914">
      <ns0:pPr>
        <ns0:keepNext ns0:val="0"/>
        <ns0:keepLines ns0:val="0"/>
        <ns0:pageBreakBefore ns0:val="0"/>
        <ns0:widowControl/>
        <ns0:suppressAutoHyphens ns0:val="0"/>
        <ns0:kinsoku/>
        <ns0:wordWrap/>
        <ns0:overflowPunct/>
        <ns0:topLinePunct ns0:val="0"/>
        <ns0:autoSpaceDE/>
        <ns0:autoSpaceDN/>
        <ns0:bidi ns0:val="0"/>
        <ns0:adjustRightInd/>
        <ns0:snapToGrid/>
        <ns0:spacing ns0:beforeAutospacing="0" ns0:after="0" ns0:afterAutospacing="0" ns0:line="360" ns0:lineRule="auto"/>
        <ns0:ind ns0:firstLine="708"/>
        <ns0:textAlignment ns0:val="auto"/>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rPr>
        <ns0:t xml:space="preserve">No primeiro estágio, a carga será ajustada para 50% do valor de 1-RM caso o participante conheça sua marca prévia (PR), ou utilizada carga correspondente a 40% da massa corporal para aqueles que desconhecem sua 1-RM, assegurando uma ativação inicial entre 40% e 60% da capacidade máxima estimada sem indução de fadiga prematura </ns0:t>
      </ns0:r>
      <ns0:r>
        <ns0:rPr>
          <ns0:rFonts ns0:hint="default" ns0:ascii="Times New Roman" ns0:hAnsi="Times New Roman" ns0:eastAsia="Times New Roman" ns0:cs="Times New Roman"/>
          <ns0:color ns0:val="auto"/>
          <ns0:highlight ns0:val="none"/>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{"citationID":"xK6D7HpQ","properties":{"unsorted":false,"formattedCitation":"[47]","plainCitation":"[47]","noteIndex":0},"citationItems":[{"id":1,"uris":["http://zotero.org/users/17274952/items/XDV7JVW7"],"itemData":{"id":1,"type":"book","edition":"Fifth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ns0:instrText>
      </ns0:r>
      <ns0:r>
        <ns0:rPr>
          <ns0:rFonts ns0:hint="default" ns0:ascii="Times New Roman" ns0:hAnsi="Times New Roman" ns0:eastAsia="Times New Roman" ns0:cs="Times New Roman"/>
          <ns0:color ns0:val="auto"/>
          <ns0:highlight ns0:val="none"/>
        </ns0:rPr>
        <ns0:fldChar ns0:fldCharType="separate"/>
      </ns0:r>
      <ns0:r>
        <ns0:rPr>
          <ns0:rFonts ns0:hint="default" ns0:ascii="Times New Roman" ns0:hAnsi="Times New Roman" ns0:eastAsia="Times New Roman" ns0:cs="Times New Roman"/>
          <ns0:color ns0:val="auto"/>
          <ns0:highlight ns0:val="none"/>
          <ns0:lang ns0:val="pt-BR"/>
        </ns0:rPr>
        <ns0:t>[47]</ns0:t>
      </ns0:r>
      <ns0:r>
        <ns0:rPr>
          <ns0:rFonts ns0:hint="default" ns0:ascii="Times New Roman" ns0:hAnsi="Times New Roman" ns0:eastAsia="Times New Roman" ns0:cs="Times New Roman"/>
          <ns0:color ns0:val="auto"/>
          <ns0:highlight ns0:val="none"/>
        </ns0:rPr>
        <ns0:fldChar ns0:fldCharType="end"/>
      </ns0:r>
      <ns0:r>
        <ns0:rPr>
          <ns0:rFonts ns0:ascii="Times New Roman" ns0:hAnsi="Times New Roman" ns0:cs="Times New Roman"/>
          <ns0:color ns0:val="auto"/>
        </ns0:rPr>
        <ns0:t xml:space="preserve">. Os estágios seguintes serão executados em incrementos progressivos de 10% (60%, 70%, 80%, 90% e 100% da estimativa máxima). O intervalo entre cada estágio será de 3 minutos para recuperação neuromuscular plena, realizando-se apenas uma repetição por tentativa para mitigar o acúmulo de fadiga </ns0:t>
      </ns0:r>
      <ns0:r>
        <ns0:rPr>
          <ns0:rFonts ns0:hint="default" ns0:ascii="Times New Roman" ns0:hAnsi="Times New Roman" ns0:eastAsia="Times New Roman" ns0:cs="Times New Roman"/>
          <ns0:color ns0:val="auto"/>
          <ns0:highlight ns0:val="none"/>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{"citationID":"IZPXcbao","properties":{"unsorted":false,"formattedCitation":"[57]","plainCitation":"[57]","noteIndex":0},"citationItems":[{"id":357,"uris":["http://zotero.org/users/17274952/items/PT598QVY"],"itemData":{"id":357,"type":"article-journal","abstract":"Embora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ns0:instrText>
      </ns0:r>
      <ns0:r>
        <ns0:rPr>
          <ns0:rFonts ns0:hint="default" ns0:ascii="Times New Roman" ns0:hAnsi="Times New Roman" ns0:eastAsia="Times New Roman" ns0:cs="Times New Roman"/>
          <ns0:color ns0:val="auto"/>
          <ns0:highlight ns0:val="none"/>
        </ns0:rPr>
        <ns0:fldChar ns0:fldCharType="separate"/>
      </ns0:r>
      <ns0:r>
        <ns0:rPr>
          <ns0:rFonts ns0:hint="default" ns0:ascii="Times New Roman" ns0:hAnsi="Times New Roman" ns0:eastAsia="Times New Roman" ns0:cs="Times New Roman"/>
          <ns0:color ns0:val="auto"/>
          <ns0:highlight ns0:val="none"/>
          <ns0:lang ns0:val="pt-BR"/>
        </ns0:rPr>
        <ns0:t>[57]</ns0:t>
      </ns0:r>
      <ns0:r>
        <ns0:rPr>
          <ns0:rFonts ns0:hint="default" ns0:ascii="Times New Roman" ns0:hAnsi="Times New Roman" ns0:eastAsia="Times New Roman" ns0:cs="Times New Roman"/>
          <ns0:color ns0:val="auto"/>
          <ns0:highlight ns0:val="none"/>
        </ns0:rPr>
        <ns0:fldChar ns0:fldCharType="end"/>
      </ns0:r>
      <ns0:r>
        <ns0:rPr>
          <ns0:rFonts ns0:ascii="Times New Roman" ns0:hAnsi="Times New Roman" ns0:cs="Times New Roman"/>
          <ns0:color ns0:val="auto"/>
        </ns0:rPr>
        <ns0:t xml:space="preserve">. Para a validação do movimento estrito, o participante deverá manter pés na largura do quadril, glúteos e abdômen ativados, sendo desconsiderada a repetição que apresentar auxílio de impulsão de membros inferiores, elevação dos calcanhares do solo ou hiperextensão lombar excessiva. A conclusão válida da repetição exige a extensão completa dos cotovelos com a barra estabilizada acima da cabeça no plano vertical. Caso uma tentativa não seja completada com técnica estrita no último estágio, uma segunda tentativa será realizada após 3 minutos de repouso com redução de 5% da carga em relação à tentativa anterior. Havendo sucesso fácil na carga estimada de 100%, o participante terá a opção de realizar novas tentativas com incrementos de 5% até a determinação exata da carga de 1-RM. A força máxima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será expressa pela carga absoluta em quilogramas (kg) e pela força relativa à massa corporal total (kg/kg) </ns0:t>
      </ns0:r>
      <ns0:r>
        <ns0:rPr>
          <ns0:rFonts ns0:hint="default" ns0:ascii="Times New Roman" ns0:hAnsi="Times New Roman" ns0:eastAsia="Times New Roman" ns0:cs="Times New Roman"/>
          <ns0:color ns0:val="auto"/>
          <ns0:highlight ns0:val="none"/>
        </ns0:rPr>
        <ns0:fldChar ns0:fldCharType="begin"/>
      </ns0:r>
      <ns0:r>
        <ns0:rPr>
          <ns0:rFonts ns0:hint="default" ns0:ascii="Times New Roman" ns0:hAnsi="Times New Roman" ns0:eastAsia="Times New Roman" ns0:cs="Times New Roman"/>
          <ns0:color ns0:val="auto"/>
          <ns0:highlight ns0:val="none"/>
          <ns0:lang ns0:val="pt-BR"/>
        </ns0:rPr>
        <ns0:instrText xml:space="preserve"> ADDIN ZOTERO_ITEM CSL_CITATION {"citationID":"KwvKTcbj","properties":{"unsorted":false,"formattedCitation":"[53], [59]","plainCitation":"[53], [59]","noteIndex":0},"citationItems":[{"id":332,"uris":["http://zotero.org/users/17274952/items/3G6MAY8K"],"itemData":{"id":332,"type":"thesis","language":"pt","source":"Zotero","title":"A força máxima no shoulder press relativa à massa corporal é uma medida preditiva do  desempenho no strict handstand push-up dentro da modalidade CrossFit®?","author":[{"family":"Lemos","given":"Guilherme De Paula"}],"issued":{"date-parts":[["2024"]]}}},{"id":9,"uris":["http://zotero.org/users/17274952/items/PRWFRTC3"],"itemData":{"id":9,"type":"article-journal","container-title":"Sports Medicine","DOI":"10.2165/00007256-200232100-00002","ISSN":"0112-1642","issue":"10","journalAbbreviation":"Sports Medicine","language":"en","page":"615-631","source":"DOI.org (Crossref)","title":"Muscle Strength Testing: Use of Normalisation for Body Size","title-short":"Muscle Strength Testing","volume":"32","author":[{"family":"Jaric","given":"Slobodan"}],"issued":{"date-parts":[["2002"]]}}}],"schema":"https://github.com/citation-style-language/schema/raw/master/csl-citation.json"} </ns0:instrText>
      </ns0:r>
      <ns0:r>
        <ns0:rPr>
          <ns0:rFonts ns0:hint="default" ns0:ascii="Times New Roman" ns0:hAnsi="Times New Roman" ns0:eastAsia="Times New Roman" ns0:cs="Times New Roman"/>
          <ns0:color ns0:val="auto"/>
          <ns0:highlight ns0:val="none"/>
        </ns0:rPr>
        <ns0:fldChar ns0:fldCharType="separate"/>
      </ns0:r>
      <ns0:r>
        <ns0:rPr>
          <ns0:rFonts ns0:hint="default" ns0:ascii="Times New Roman" ns0:hAnsi="Times New Roman" ns0:eastAsia="Times New Roman" ns0:cs="Times New Roman"/>
          <ns0:color ns0:val="auto"/>
          <ns0:highlight ns0:val="none"/>
          <ns0:lang ns0:val="pt-BR"/>
        </ns0:rPr>
        <ns0:t>[53], [59]</ns0:t>
      </ns0:r>
      <ns0:r>
        <ns0:rPr>
          <ns0:rFonts ns0:hint="default" ns0:ascii="Times New Roman" ns0:hAnsi="Times New Roman" ns0:eastAsia="Times New Roman" ns0:cs="Times New Roman"/>
          <ns0:color ns0:val="auto"/>
          <ns0:highlight ns0:val="none"/>
        </ns0:rPr>
        <ns0:fldChar ns0:fldCharType="end"/>
      </ns0:r>
      <ns0:r>
        <ns0:rPr>
          <ns0:rFonts ns0:ascii="Times New Roman" ns0:hAnsi="Times New Roman" ns0:cs="Times New Roman"/>
          <ns0:color ns0:val="auto"/>
        </ns0:rPr>
        <ns0:t>. Após a conclusão do teste de 1-RM, será concedido um período de repouso passivo de 8 minutos para a ressíntese dos estoques energéticos antes do teste final de resistência isométrica.</ns0:t>
      </ns0:r>
    </ns0:p>
    <ns0:p ns2:paraId="1F86B586">
      <ns0:pPr>
        <ns0:pStyle ns0:val="11"/>
        <ns0:keepNext ns0:val="0"/>
        <ns0:keepLines ns0:val="0"/>
        <ns0:pageBreakBefore ns0:val="0"/>
        <ns0:widowControl/>
        <ns0:kinsoku/>
        <ns0:wordWrap/>
        <ns0:overflowPunct/>
        <ns0:topLinePunct ns0:val="0"/>
        <ns0:autoSpaceDE/>
        <ns0:autoSpaceDN/>
        <ns0:bidi ns0:val="0"/>
        <ns0:adjustRightInd/>
        <ns0:snapToGrid/>
        <ns0:spacing ns0:before="0" ns0:beforeAutospacing="0" ns0:after="0" ns0:afterAutospacing="0" ns0:line="360" ns0:lineRule="auto"/>
        <ns0:textAlignment ns0:val="auto"/>
        <ns0:rPr>
          <ns0:rFonts ns0:hint="default" ns0:ascii="Times New Roman" ns0:hAnsi="Times New Roman" ns0:cs="Times New Roman"/>
          <ns0:color ns0:val="auto"/>
        </ns0:rPr>
      </ns0:pPr>
      <ns0:r>
        <ns0:rPr>
          <ns0:rFonts ns0:ascii="Times New Roman" ns0:hAnsi="Times New Roman" ns0:cs="Times New Roman"/>
          <ns0:color ns0:val="auto"/>
        </ns0:rPr>
        <ns0:t>e) Teste de Resistência em Posição Invertida (</ns0:t>
      </ns0:r>
      <ns0:r>
        <ns0:rPr>
          <ns0:rFonts ns0:ascii="Times New Roman" ns0:hAnsi="Times New Roman" ns0:cs="Times New Roman"/>
          <ns0:i/>
          <ns0:iCs/>
          <ns0:color ns0:val="auto"/>
        </ns0:rPr>
        <ns0:t>wall-supported HS</ns0:t>
      </ns0:r>
      <ns0:r>
        <ns0:rPr>
          <ns0:rFonts ns0:ascii="Times New Roman" ns0:hAnsi="Times New Roman" ns0:cs="Times New Roman"/>
          <ns0:color ns0:val="auto"/>
        </ns0:rPr>
        <ns0:t>)</ns0:t>
      </ns0:r>
    </ns0:p>
    <ns0:p ns2:paraId="294A95D0">
      <ns0:pPr>
        <ns0:keepNext ns0:val="0"/>
        <ns0:keepLines ns0:val="0"/>
        <ns0:pageBreakBefore ns0:val="0"/>
        <ns0:widowControl/>
        <ns0:suppressAutoHyphens ns0:val="0"/>
        <ns0:kinsoku/>
        <ns0:wordWrap/>
        <ns0:overflowPunct/>
        <ns0:topLinePunct ns0:val="0"/>
        <ns0:autoSpaceDE/>
        <ns0:autoSpaceDN/>
        <ns0:bidi ns0:val="0"/>
        <ns0:adjustRightInd/>
        <ns0:snapToGrid/>
        <ns0:spacing ns0:beforeAutospacing="0" ns0:after="0" ns0:afterAutospacing="0" ns0:line="360" ns0:lineRule="auto"/>
        <ns0:ind ns0:firstLine="708" ns0:firstLineChars="0"/>
        <ns0:jc ns0:val="both"/>
        <ns0:textAlignment ns0:val="auto"/>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A resistência muscular isométrica dos membros superiores em posição invertida será avaliada por meio do tempo máximo de sustentação (em segundos)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com o ventre voltado para a parede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{"citationID":"iSLUpIZV","properties":{"unsorted":false,"formattedCitation":"[19],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[19], [27]</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Para padronização da base de sustentação, será fixada uma fita adesiva no solo demarcando o limite de posicionamento das mãos a 20 cm da parede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{"citationID":"M2NMI0ab","properties":{"unsorted":false,"formattedCitation":"[60]","plainCitation":"[60]","noteIndex":0},"citationItems":[{"id":37,"uris":["http://zotero.org/users/17274952/items/QWZYMZ6N"],"itemData":{"id":37,"type":"book","collection-title":"Medicine and Sport Science","DOI":"10.1159/isbn.978-3-318-00894-4","ISBN":"978-3-8055-7476-1","language":"en","publisher":"S. Karger AG","source":"DOI.org (Crossref)","title":"Scientific Aspects of Women's Gymnastics","URL":"https://karger.com/book/doi/10.1159/isbn.978-3-318-00894-4","volume":"45","author":[{"family":"Sands","given":"W.A."},{"family":"Caine","given":"D.J."},{"family":"Borms","given":"J."}],"accessed":{"date-parts":[["2026",4,15]]},"issued":{"date-parts":[["2002",10,31]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[60]</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O participante assumirá a postura invertida por meio de escalada pela parede (</ns0:t>
      </ns0:r>
      <ns0:r>
        <ns0:rPr>
          <ns0:rFonts ns0:ascii="Times New Roman" ns0:hAnsi="Times New Roman" ns0:cs="Times New Roman"/>
          <ns0:i/>
          <ns0:iCs/>
          <ns0:color ns0:val="auto"/>
        </ns0:rPr>
        <ns0:t>wall</ns0:t>
      </ns0:r>
      <ns0:r>
        <ns0:rPr>
          <ns0:rFonts ns0:ascii="Times New Roman" ns0:hAnsi="Times New Roman" ns0:cs="Times New Roman"/>
          <ns0:color ns0:val="auto"/>
        </ns0:rPr>
        <ns0:t>-</ns0:t>
      </ns0:r>
      <ns0:r>
        <ns0:rPr>
          <ns0:rFonts ns0:ascii="Times New Roman" ns0:hAnsi="Times New Roman" ns0:cs="Times New Roman"/>
          <ns0:i/>
          <ns0:iCs/>
          <ns0:color ns0:val="auto"/>
        </ns0:rPr>
        <ns0:t>walk</ns0:t>
      </ns0:r>
      <ns0:r>
        <ns0:rPr>
          <ns0:rFonts ns0:ascii="Times New Roman" ns0:hAnsi="Times New Roman" ns0:cs="Times New Roman"/>
          <ns0:color ns0:val="auto"/>
        </ns0:rPr>
        <ns0:t xml:space="preserve">), alinhando as mãos na largura dos ombros com as pontas dos dedos sobre a demarcação e mantendo apenas o dorso dos pés e a ponta dos dedos em contato com a estrutura vertical, com o corpo posicionado no maior alinhamento vertical possível. O participante será instruído a sustentar a postura até a exaustão voluntária máxima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{"citationID":"MzlS9Q6b","properties":{"unsorted":false,"formattedCitation":"[46], [47]","plainCitation":"[46], [47]","noteIndex":0},"citationItems":[{"id":311,"uris":["http://zotero.org/users/17274952/items/JSG8TTN4"],"itemData":{"id":311,"type":"book","abstract":"\"ACSM's Guidelines for Exercise Testing and prescription delivers best-practice instructions on how to administer exercise tests across both healthy and clinical populations; and how to prescribe exercise to those populations after completing and interpreting those tests. It serves as the basis for practice for health and fitness professionals; allied health practitioners; researchers; and sports medicine practitioners teams physicians. Even other health and fitness organizations turn to ACSM for guidance on best practices\"--","call-number":"RC684.E9","edition":"Twelfth edition","ISBN":"978-1-9752-1920-8","publisher":"Wolters Kluwer","publisher-place":"Philadelphia, PA","source":"Library of Congress ISBN","title":"ACSM's guidelines for exercise testing and prescription","editor":[{"literal":"American College of Sports Medicine"},{"family":"Ozemek","given":"Cemal"},{"family":"Bonikowske","given":"Amanda R."},{"family":"Christle","given":"Jeffrey W."},{"family":"Gallo","given":"Paul M."}],"issued":{"date-parts":[["2026"]]}}},{"id":1,"uris":["http://zotero.org/users/17274952/items/XDV7JVW7"],"itemData":{"id":1,"type":"book","edition":"Fifth edition","ISBN":"978-1-7182-1627-3","language":"eng","number-of-pages":"851","publisher":"Human Kinetics","publisher-place":"Champaign, IL","source":"K10plus ISBN","title":"Essentials of strength training and conditioning","editor":[{"family":"Haff","given":"Greg"},{"family":"Triplett","given":"N. Travis"},{"literal":"National Strength &amp; Conditioning Association"}],"issued":{"date-parts":[["2027"]]}}}],"schema":"https://github.com/citation-style-language/schema/raw/master/csl-citation.json"}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[46], [47]</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Os critérios para interrupção do teste e registro do tempo final serão: incapacidade mecânica de manter a extensão dos cotovelos (flexão visível superior a 15°), perda do contato dos pés com a parede, colapso escapular com toque do tronco na parede ou término voluntário do esforço por fadiga </ns0:t>
      </ns0:r>
      <ns0:r>
        <ns0:rPr>
          <ns0:rFonts ns0:hint="default" ns0:ascii="Times New Roman" ns0:hAnsi="Times New Roman" ns0:eastAsia="Times New Roman" ns0:cs="Times New Roman"/>
          <ns0:color ns0:val="auto"/>
          <ns0:lang ns0:val="pt-BR"/>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{"citationID":"DEWyouRY","properties":{"unsorted":false,"formattedCitation":"[19], [27]","plainCitation":"[19], [27]","noteIndex":0},"citationItems":[{"id":319,"uris":["http://zotero.org/users/17274952/items/PUS5K2KW"],"itemData":{"id":319,"type":"article-journal","issue":"10","language":"en","source":"Zotero","title":"Influence of Strength Abilities on Quality of the Handstand","volume":"7","author":[{"family":"Hedbávný","given":"P"},{"family":"Bago","given":"G"},{"family":"Kalichová","given":"M"}],"issued":{"date-parts":[["2013"]]}}},{"id":339,"uris":["http://zotero.org/users/17274952/items/9539FXDG"],"itemData":{"id":339,"type":"article-journal","container-title":"Journal of NeuroEngineering and Rehabilitation","DOI":"10.1186/s12984-024-01442-6","ISSN":"1743-0003","issue":"1","journalAbbreviation":"J NeuroEngineering Rehabil","language":"en","page":"171","source":"DOI.org (Crossref)","title":"How does fatigue affect handstand balance? a non-linear approach to study fatigue influence in handstand performance","title-short":"How does fatigue affect handstand balance?","volume":"21","author":[{"family":"Sabido","given":"Rafael"},{"family":"García-Aguilar","given":"Fernando"},{"family":"Caballero","given":"Carla"},{"family":"Moreno","given":"Francisco J."}],"issued":{"date-parts":[["2024",9,27]]}}}],"schema":"https://github.com/citation-style-language/schema/raw/master/csl-citation.json"} </ns0:instrText>
      </ns0:r>
      <ns0:r>
        <ns0:rPr>
          <ns0:rFonts ns0:hint="default" ns0:ascii="Times New Roman" ns0:hAnsi="Times New Roman" ns0:eastAsia="Times New Roman" ns0:cs="Times New Roman"/>
          <ns0:color ns0:val="auto"/>
          <ns0:lang ns0:val="pt-BR"/>
        </ns0:rPr>
        <ns0:fldChar ns0:fldCharType="separate"/>
      </ns0:r>
      <ns0:r>
        <ns0:rPr>
          <ns0:rFonts ns0:hint="default" ns0:ascii="Times New Roman" ns0:hAnsi="Times New Roman" ns0:eastAsia="Times New Roman" ns0:cs="Times New Roman"/>
          <ns0:color ns0:val="auto"/>
          <ns0:lang ns0:val="pt-BR"/>
        </ns0:rPr>
        <ns0:t>[19], [27]</ns0:t>
      </ns0:r>
      <ns0:r>
        <ns0:rPr>
          <ns0:rFonts ns0:hint="default" ns0:ascii="Times New Roman" ns0:hAnsi="Times New Roman" ns0:eastAsia="Times New Roman" ns0:cs="Times New Roman"/>
          <ns0:color ns0:val="auto"/>
          <ns0:lang ns0:val="pt-BR"/>
        </ns0:rPr>
        <ns0:fldChar ns0:fldCharType="end"/>
      </ns0:r>
      <ns0:r>
        <ns0:rPr>
          <ns0:rFonts ns0:ascii="Times New Roman" ns0:hAnsi="Times New Roman" ns0:cs="Times New Roman"/>
          <ns0:color ns0:val="auto"/>
        </ns0:rPr>
        <ns0:t xml:space="preserve">. O tempo de sustentação será cronometrado com precisão de centésimos de segundo utilizando um cronômetro digital (Casio®, modelo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-80TW-BU, Tóquio, Japão). Serão realizadas duas tentativas máximas, intercaladas por um intervalo de recuperação passiva de 5 minutos, sendo o maior tempo retido para as análises estatísticas.</ns0:t>
      </ns0:r>
    </ns0:p>
    <ns0:p ns2:paraId="30BED911">
      <ns0:pPr>
        <ns0:widowControl ns0:val="0"/>
        <ns0:spacing ns0:line="360" ns0:lineRule="auto"/>
        <ns0:rPr>
          <ns0:rFonts ns0:hint="default" ns0:ascii="Times New Roman" ns0:hAnsi="Times New Roman" ns0:cs="Times New Roman"/>
          <ns0:color ns0:val="auto"/>
          <ns0:u ns0:val="none"/>
        </ns0:rPr>
      </ns0:pPr>
      <ns0:r>
        <ns0:rPr>
          <ns0:rFonts ns0:ascii="Times New Roman" ns0:hAnsi="Times New Roman" ns0:cs="Times New Roman"/>
          <ns0:color ns0:val="auto"/>
        </ns0:rPr>
        <ns0:t xml:space="preserve">3.4.2 Sessão 2 - Avaliação de desempenho </ns0:t>
      </ns0:r>
      <ns0:r>
        <ns0:rPr>
          <ns0:rFonts ns0:ascii="Times New Roman" ns0:hAnsi="Times New Roman" ns0:cs="Times New Roman"/>
          <ns0:i/>
          <ns0:iCs/>
          <ns0:color ns0:val="auto"/>
        </ns0:rPr>
        <ns0:t xml:space="preserve">do HS </ns0:t>
      </ns0:r>
      <ns0:r>
        <ns0:rPr>
          <ns0:rFonts ns0:ascii="Times New Roman" ns0:hAnsi="Times New Roman" ns0:cs="Times New Roman"/>
          <ns0:color ns0:val="auto"/>
        </ns0:rPr>
        <ns0:t xml:space="preserve">e </ns0:t>
      </ns0:r>
      <ns0:r>
        <ns0:rPr>
          <ns0:rFonts ns0:ascii="Times New Roman" ns0:hAnsi="Times New Roman" ns0:cs="Times New Roman"/>
          <ns0:i/>
          <ns0:iCs/>
          <ns0:color ns0:val="auto"/>
        </ns0:rPr>
        <ns0:t>HSW</ns0:t>
      </ns0:r>
    </ns0:p>
    <ns0:p ns2:paraId="3AB26515">
      <ns0:pPr>
        <ns0:widowControl ns0:val="0"/>
        <ns0:spacing ns0:line="360" ns0:lineRule="auto"/>
        <ns0:ind ns0:firstLine="720"/>
        <ns0:rPr>
          <ns0:rFonts ns0:hint="default" ns0:ascii="Times New Roman" ns0:hAnsi="Times New Roman" ns0:cs="Times New Roman"/>
          <ns0:color ns0:val="auto"/>
        </ns0:rPr>
      </ns0:pPr>
      <ns0:r>
        <ns0:rPr>
          <ns0:rFonts ns0:ascii="Times New Roman" ns0:hAnsi="Times New Roman" ns0:cs="Times New Roman"/>
          <ns0:color ns0:val="auto"/>
        </ns0:rPr>
        <ns0:t>Para a captura da cinemática tridimensional, serão fixados 39 marcadores esféricos retrorrefletivos sobre pontos anatômicos através de todo o corpo, seguindo o protocolo padronizado </ns0:t>
      </ns0:r>
      <ns0:r>
        <ns0:rPr>
          <ns0:rFonts ns0:ascii="Times New Roman" ns0:hAnsi="Times New Roman" ns0:cs="Times New Roman"/>
          <ns0:i/>
          <ns0:iCs/>
          <ns0:color ns0:val="auto"/>
        </ns0:rPr>
        <ns0:t>Plug-in Gait Full Body</ns0:t>
      </ns0:r>
      <ns0:r>
        <ns0:rPr>
          <ns0:rFonts ns0:ascii="Times New Roman" ns0:hAnsi="Times New Roman" ns0:cs="Times New Roman"/>
          <ns0:color ns0:val="auto"/>
        </ns0:rPr>
        <ns0:t xml:space="preserve"> (Vicon®, Oxford, Reino Unido), fundamentado no modelo biomecânico de Davis et al. (1991) e Kadaba et al. (1990)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{"citationID":"y3Pevodv","properties":{"unsorted":false,"formattedCitation":"[61], [62]","plainCitation":"[61], [62]","noteIndex":0},"citationItems":[{"id":19,"uris":["http://zotero.org/users/17274952/items/9YDQ4XD5"],"itemData":{"id":19,"type":"article-journal","container-title":"Human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R."}],"issued":{"date-parts":[["1991",10]]}}},{"id":20,"uris":["http://zotero.org/users/17274952/items/QUJ85GYE"],"itemData":{"id":20,"type":"article-journal","abstract":"Abstract\n            A simple external marker system and algorithms for computing lower extremity joint angle motion during level walking were developed and implemented on a computer‐aided video motion analysis system (VICON). The concept of embedded axes and Euler rotation angles was used to define the three‐dimensional joint angle motion based on a set of body surface markers. Gait analysis was peformed on 40 normal young adults three times on three different test days at least 1 Week apart using the marker system. Angular motion of the hip, knee, and ankle joints and of the pelvis were obtained throughout a gait cycle utilizing the three‐dimensional trajectories of markers. The effect of uncertainties in defining the embedded axis on joint angles was demonstrated using sensitivity analysis. The errors in the estimation of joint angle motion were quantified with respect to the degree of error in the construction of embedded axes. The limitations of the model and the marker system in evaluating pathologic gait are discussed. The relatively small number of body surface markers used in the system render it easy to implement for use in routine clinical gait evaluations. Additionally, data presented in this paper should be a useful reference for describing and comparing pathologic gait patterns.","container-title":"Journal of Orthopaedic Research","DOI":"10.1002/jor.1100080310","ISSN":"0736-0266, 1554-527X","issue":"3","journalAbbreviation":"Journal Orthopaedic Research","language":"en","page":"383-392","source":"DOI.org (Crossref)","title":"Measurement of lower extremity kinematics during level walking","volume":"8","author":[{"family":"Kadaba","given":"M. P."},{"family":"Ramakrishnan","given":"H. K."},{"family":"Wootten","given":"M. E."}],"issued":{"date-parts":[["1990",5]]}}}],"schema":"https://github.com/citation-style-language/schema/raw/master/csl-citation.json"}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[61], [62]</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Adicionalmente a este protocolo padrão, e de forma específica para solucionar o desafio de oclusão óptica impostos pela tarefa de locomoção invertida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sobretudo nos marcadores dos ombros (LSHO e RSHO), serão fixados dois marcadores retrorrefletivos extras na região dorsal do participante, alinhados lateralmente ao marcador T10. Esta adaptação metodológica permitiu que estes dois marcadores extras operassem em conjunto com o C7 e o T10, formando um </ns0:t>
      </ns0:r>
      <ns0:r>
        <ns0:rPr>
          <ns0:rFonts ns0:ascii="Times New Roman" ns0:hAnsi="Times New Roman" ns0:cs="Times New Roman"/>
          <ns0:i/>
          <ns0:iCs/>
          <ns0:color ns0:val="auto"/>
        </ns0:rPr>
        <ns0:t>cluster</ns0:t>
      </ns0:r>
      <ns0:r>
        <ns0:rPr>
          <ns0:rFonts ns0:ascii="Times New Roman" ns0:hAnsi="Times New Roman" ns0:cs="Times New Roman"/>
          <ns0:color ns0:val="auto"/>
        </ns0:rPr>
        <ns0:t xml:space="preserve"> de corpo rígido estável nas costas. Esta estrutura fixa fornece a base topográfica ininterrupta para que o algoritmo de reconstrução matemática (SVD) projete e recupere com precisão as coordenadas espaciais dos marcadores dos ombros em caso de falha de rastreamento pelas câmeras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{"citationID":"xn7f3MF5","properties":{"unsorted":false,"formattedCitation":"[63],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[63], [64]</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Ressalta-se que o marcador clavicular (CLAV), classicamente utilizado em modelos eretos, foi intencionalmente suprimido da malha de reconstrução por ser metodologicamente irrelevante para as variáveis de centro de massa e articulares do presente estudo, mitigando assim a introdução de ruídos mecânicos no bloco rígido torácico. </ns0:t>
      </ns0:r>
    </ns0:p>
    <ns0:p ns2:paraId="249A322D">
      <ns0:pPr>
        <ns0:widowControl ns0:val="0"/>
        <ns0:spacing ns0:line="360" ns0:lineRule="auto"/>
        <ns0:ind ns0:firstLine="720"/>
        <ns0:rPr>
          <ns0:rFonts ns0:hint="default" ns0:ascii="Times New Roman" ns0:hAnsi="Times New Roman" ns0:eastAsia="Times New Roman" ns0:cs="Times New Roman"/>
          <ns0:b ns0:val="0"/>
          <ns0:bCs ns0:val="0"/>
          <ns0:i ns0:val="0"/>
          <ns0:iCs ns0:val="0"/>
          <ns0:color ns0:val="auto"/>
        </ns0:rPr>
      </ns0:pPr>
      <ns0:r>
        <ns0:rPr>
          <ns0:rFonts ns0:ascii="Times New Roman" ns0:hAnsi="Times New Roman" ns0:cs="Times New Roman"/>
          <ns0:b ns0:val="0"/>
          <ns0:bCs ns0:val="0"/>
          <ns0:i ns0:val="0"/>
          <ns0:iCs ns0:val="0"/>
          <ns0:color ns0:val="auto"/>
        </ns0:rPr>
        <ns0:t xml:space="preserve">Com o participante já instrumentado com os marcadores retrorreflexivos, será executado um protocolo padronizado de aquecimento e preparação neuromuscular específico. O protocolo compreenderá: mobilidade dinâmica em pé com circundução de punhos e abertura torácica na parede </ns0:t>
      </ns0:r>
      <ns0:r>
        <ns0:rPr>
          <ns0:rFonts ns0:ascii="Times New Roman" ns0:hAnsi="Times New Roman" ns0:cs="Times New Roman"/>
          <ns0:b ns0:val="0"/>
          <ns0:bCs ns0:val="0"/>
          <ns0:i/>
          <ns0:iCs/>
          <ns0:color ns0:val="auto"/>
        </ns0:rPr>
        <ns0:t>(wall opener</ns0:t>
      </ns0:r>
      <ns0:r>
        <ns0:rPr>
          <ns0:rFonts ns0:ascii="Times New Roman" ns0:hAnsi="Times New Roman" ns0:cs="Times New Roman"/>
          <ns0:b ns0:val="0"/>
          <ns0:bCs ns0:val="0"/>
          <ns0:i ns0:val="0"/>
          <ns0:iCs ns0:val="0"/>
          <ns0:color ns0:val="auto"/>
        </ns0:rPr>
        <ns0:t xml:space="preserve">),  sobrecarga axial </ns0:t>
      </ns0:r>
      <ns0:r>
        <ns0:rPr>
          <ns0:rFonts ns0:hint="default" ns0:cs="Times New Roman"/>
          <ns0:b ns0:val="0"/>
          <ns0:bCs ns0:val="0"/>
          <ns0:i ns0:val="0"/>
          <ns0:iCs ns0:val="0"/>
          <ns0:color ns0:val="auto"/>
          <ns0:lang ns0:val="pt-BR"/>
        </ns0:rPr>
        <ns0:t>sobre os punhos</ns0:t>
      </ns0:r>
      <ns0:r>
        <ns0:rPr>
          <ns0:rFonts ns0:ascii="Times New Roman" ns0:hAnsi="Times New Roman" ns0:cs="Times New Roman"/>
          <ns0:b ns0:val="0"/>
          <ns0:bCs ns0:val="0"/>
          <ns0:i ns0:val="0"/>
          <ns0:iCs ns0:val="0"/>
          <ns0:color ns0:val="auto"/>
        </ns0:rPr>
        <ns0:t xml:space="preserve"> em quatro apoio</ns0:t>
      </ns0:r>
      <ns0:r>
        <ns0:rPr>
          <ns0:rFonts ns0:hint="default" ns0:cs="Times New Roman"/>
          <ns0:b ns0:val="0"/>
          <ns0:bCs ns0:val="0"/>
          <ns0:i ns0:val="0"/>
          <ns0:iCs ns0:val="0"/>
          <ns0:color ns0:val="auto"/>
          <ns0:lang ns0:val="pt-BR"/>
        </ns0:rPr>
        <ns0:t>,</ns0:t>
      </ns0:r>
      <ns0:r>
        <ns0:rPr>
          <ns0:rFonts ns0:ascii="Times New Roman" ns0:hAnsi="Times New Roman" ns0:cs="Times New Roman"/>
          <ns0:b ns0:val="0"/>
          <ns0:bCs ns0:val="0"/>
          <ns0:i ns0:val="0"/>
          <ns0:iCs ns0:val="0"/>
          <ns0:color ns0:val="auto"/>
        </ns0:rPr>
        <ns0:t xml:space="preserve"> ativação da cintura escapular e estabilidade unimanual por meio de flexões escapulares em prancha alta (</ns0:t>
      </ns0:r>
      <ns0:r>
        <ns0:rPr>
          <ns0:rFonts ns0:ascii="Times New Roman" ns0:hAnsi="Times New Roman" ns0:cs="Times New Roman"/>
          <ns0:b ns0:val="0"/>
          <ns0:bCs ns0:val="0"/>
          <ns0:i/>
          <ns0:iCs/>
          <ns0:color ns0:val="auto"/>
        </ns0:rPr>
        <ns0:t>scapular push-ups</ns0:t>
      </ns0:r>
      <ns0:r>
        <ns0:rPr>
          <ns0:rFonts ns0:ascii="Times New Roman" ns0:hAnsi="Times New Roman" ns0:cs="Times New Roman"/>
          <ns0:b ns0:val="0"/>
          <ns0:bCs ns0:val="0"/>
          <ns0:i ns0:val="0"/>
          <ns0:iCs ns0:val="0"/>
          <ns0:color ns0:val="auto"/>
        </ns0:rPr>
        <ns0:t xml:space="preserve">, oito a dez repetições) e toques alternados nos ombros em posição de V invertido </ns0:t>
      </ns0:r>
      <ns0:r>
        <ns0:rPr>
          <ns0:rFonts ns0:ascii="Times New Roman" ns0:hAnsi="Times New Roman" ns0:cs="Times New Roman"/>
          <ns0:b ns0:val="0"/>
          <ns0:bCs ns0:val="0"/>
          <ns0:i/>
          <ns0:iCs/>
          <ns0:color ns0:val="auto"/>
        </ns0:rPr>
        <ns0:t>(shoulder taps em pike</ns0:t>
      </ns0:r>
      <ns0:r>
        <ns0:rPr>
          <ns0:rFonts ns0:ascii="Times New Roman" ns0:hAnsi="Times New Roman" ns0:cs="Times New Roman"/>
          <ns0:b ns0:val="0"/>
          <ns0:bCs ns0:val="0"/>
          <ns0:i ns0:val="0"/>
          <ns0:iCs ns0:val="0"/>
          <ns0:color ns0:val="auto"/>
        </ns0:rPr>
        <ns0:t>, dez repetições)</ns0:t>
      </ns0:r>
      <ns0:r>
        <ns0:rPr>
          <ns0:rFonts ns0:hint="default" ns0:cs="Times New Roman"/>
          <ns0:b ns0:val="0"/>
          <ns0:bCs ns0:val="0"/>
          <ns0:i ns0:val="0"/>
          <ns0:iCs ns0:val="0"/>
          <ns0:color ns0:val="auto"/>
          <ns0:lang ns0:val="pt-BR"/>
        </ns0:rPr>
        <ns0:t>,</ns0:t>
      </ns0:r>
      <ns0:r>
        <ns0:rPr>
          <ns0:rFonts ns0:ascii="Times New Roman" ns0:hAnsi="Times New Roman" ns0:cs="Times New Roman"/>
          <ns0:b ns0:val="0"/>
          <ns0:bCs ns0:val="0"/>
          <ns0:i ns0:val="0"/>
          <ns0:iCs ns0:val="0"/>
          <ns0:color ns0:val="auto"/>
        </ns0:rPr>
        <ns0:t xml:space="preserve"> acomodação vestibular e calibração proprioceptiva da estratégia de equilíbrio, mediante uma subida rápida de frente para a parede (</ns0:t>
      </ns0:r>
      <ns0:r>
        <ns0:rPr>
          <ns0:rFonts ns0:ascii="Times New Roman" ns0:hAnsi="Times New Roman" ns0:cs="Times New Roman"/>
          <ns0:b ns0:val="0"/>
          <ns0:bCs ns0:val="0"/>
          <ns0:i/>
          <ns0:iCs/>
          <ns0:color ns0:val="auto"/>
        </ns0:rPr>
        <ns0:t>belly-to-wall</ns0:t>
      </ns0:r>
      <ns0:r>
        <ns0:rPr>
          <ns0:rFonts ns0:ascii="Times New Roman" ns0:hAnsi="Times New Roman" ns0:cs="Times New Roman"/>
          <ns0:b ns0:val="0"/>
          <ns0:bCs ns0:val="0"/>
          <ns0:i ns0:val="0"/>
          <ns0:iCs ns0:val="0"/>
          <ns0:color ns0:val="auto"/>
        </ns0:rPr>
        <ns0:t>, cinco a oito segundos) e uma subida de costas para a parede (</ns0:t>
      </ns0:r>
      <ns0:r>
        <ns0:rPr>
          <ns0:rFonts ns0:ascii="Times New Roman" ns0:hAnsi="Times New Roman" ns0:cs="Times New Roman"/>
          <ns0:b ns0:val="0"/>
          <ns0:bCs ns0:val="0"/>
          <ns0:i/>
          <ns0:iCs/>
          <ns0:color ns0:val="auto"/>
        </ns0:rPr>
        <ns0:t>back-to-wall</ns0:t>
      </ns0:r>
      <ns0:r>
        <ns0:rPr>
          <ns0:rFonts ns0:ascii="Times New Roman" ns0:hAnsi="Times New Roman" ns0:cs="Times New Roman"/>
          <ns0:b ns0:val="0"/>
          <ns0:bCs ns0:val="0"/>
          <ns0:i ns0:val="0"/>
          <ns0:iCs ns0:val="0"/>
          <ns0:color ns0:val="auto"/>
        </ns0:rPr>
        <ns0:t xml:space="preserve">) em que o pesquisador auxiliará três micro-descolamentos dos pés para fora da parede. A seguir, a coleta começará com as tentativas no </ns0:t>
      </ns0:r>
      <ns0:r>
        <ns0:rPr>
          <ns0:rFonts ns0:ascii="Times New Roman" ns0:hAnsi="Times New Roman" ns0:cs="Times New Roman"/>
          <ns0:b ns0:val="0"/>
          <ns0:bCs ns0:val="0"/>
          <ns0:i/>
          <ns0:iCs/>
          <ns0:color ns0:val="auto"/>
        </ns0:rPr>
        <ns0:t>HS</ns0:t>
      </ns0:r>
      <ns0:r>
        <ns0:rPr>
          <ns0:rFonts ns0:ascii="Times New Roman" ns0:hAnsi="Times New Roman" ns0:cs="Times New Roman"/>
          <ns0:b ns0:val="0"/>
          <ns0:bCs ns0:val="0"/>
          <ns0:i ns0:val="0"/>
          <ns0:iCs ns0:val="0"/>
          <ns0:color ns0:val="auto"/>
        </ns0:rPr>
        <ns0:t xml:space="preserve">, que servirão também como preparação específica para as passadas dinâmicas no </ns0:t>
      </ns0:r>
      <ns0:r>
        <ns0:rPr>
          <ns0:rFonts ns0:ascii="Times New Roman" ns0:hAnsi="Times New Roman" ns0:cs="Times New Roman"/>
          <ns0:b ns0:val="0"/>
          <ns0:bCs ns0:val="0"/>
          <ns0:i/>
          <ns0:iCs/>
          <ns0:color ns0:val="auto"/>
        </ns0:rPr>
        <ns0:t>HSW</ns0:t>
      </ns0:r>
      <ns0:r>
        <ns0:rPr>
          <ns0:rFonts ns0:ascii="Times New Roman" ns0:hAnsi="Times New Roman" ns0:cs="Times New Roman"/>
          <ns0:b ns0:val="0"/>
          <ns0:bCs ns0:val="0"/>
          <ns0:i ns0:val="0"/>
          <ns0:iCs ns0:val="0"/>
          <ns0:color ns0:val="auto"/>
        </ns0:rPr>
        <ns0:t>.</ns0:t>
      </ns0:r>
    </ns0:p>
    <ns0:p ns2:paraId="4A83A963">
      <ns0:pPr>
        <ns0:widowControl ns0:val="0"/>
        <ns0:shd ns0:val="clear" ns0:color="auto" ns0:fill="FFFFFF"/>
        <ns0:spacing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a) Teste de desempenho no </ns0:t>
      </ns0:r>
      <ns0:r>
        <ns0:rPr>
          <ns0:rFonts ns0:ascii="Times New Roman" ns0:hAnsi="Times New Roman" ns0:cs="Times New Roman"/>
          <ns0:i/>
          <ns0:iCs/>
          <ns0:color ns0:val="auto"/>
        </ns0:rPr>
        <ns0:t>HS</ns0:t>
      </ns0:r>
    </ns0:p>
    <ns0:p ns2:paraId="6275B03C">
      <ns0:pPr>
        <ns0:widowControl ns0:val="0"/>
        <ns0:shd ns0:val="clear" ns0:color="auto" ns0:fill="FFFFFF"/>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Para a avaliação do equilíbrio estático, os participantes irão realizar a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sobre uma plataforma de força (Bertec®, Columbus, OH, USA) integrada e sincronizada ao sistema de captura de movimento (Vicon®) que registrarão simultaneamente os parâmetros cinemáticos (ângulos articulares de punhos, ombros, quadril e cabeça, altura do centro de massa, base de apoio) e estabilométricos (oscilação entre CoM e CoP e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ns0:t>
      </ns0:r>
    </ns0:p>
    <ns0:p ns2:paraId="380607EB">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O protocolo de coleta consistirá em seis tentativas totais, organizadas em dois blocos: até três tentativas com entrada assistida e três tentativas de entrada livre. Os participantes posicionarão as mãos sobre a plataforma utilizando a distância e rotação das mãos de sua preferência. O bloco de entradas assistidas será realizado primeiro para garantir que o participante estabilize a postura com menor esforço, servindo também como familiarização ao ambiente e condições de coleta. Neste bloco o pesquisador auxiliará o participante a atingir a posição invertida e o estabilizará pelo apoio nas pernas, liberando o contato manual assim que o sujeito sinalizar controle da posição. Para garantir a marcação precisa e objetiva do início do equilíbrio, um marcador retrorrefletivo será fixado na mão do pesquisador. O início cronometrado da fase de estabilização do participante será delimitado algoritmicamente a partir do momento em que a distância espacial entre a mão do pesquisador e os membros inferiores do voluntário indicar perda total de contato mecânico. Para a avaliação do desempenho e composição dos modelos estatísticos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será retido o melhor tempo de sustentação (em segundos) obtido entre as tentativas válidas. Adicionalmente, será registrado em qual tentativa ocorreu o tempo máximo de sustentação (tentativa de pico: T1, T2 ou T3), permitindo investigar padrões de calibração proprioceptiva ou fadiga aguda. Com o intuito de prevenir a indução de fadiga neuromuscular acumulada nos membros superiores e na cintura escapular antes do teste subsequente de locomoção dinâmica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adotar-se-á uma regra de parada por desempenho satisfatório: caso o participante atinja uma sustentação igual ou superior a 30 segundos (≥ 30 s) e relate voluntariamente ter alcançado sua marca representativa máxima em uma tentativa válida, ele será liberado das tentativas subsequentes deste bloco para descansar e se poupar para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Ressalta-se que não haverá estipulação de teto de tempo de corte durante a execução da tentativa (sendo facultado ao voluntário sustentar a posição pelo tempo máximo que for capaz durante a sua execução). Tentativas adicionais (até o limite de três) serão realizadas unicamente em caso de queda prematura por desajuste na ascensão/soltura ou caso o sujeito reporte plenas condições de superar a marca precedente. Uma pausa de 3 minutos será feita após esse bloco, antes das tentativas livres.  Neste bloco o participante utilizará a técnica de entrada (</ns0:t>
      </ns0:r>
      <ns0:r>
        <ns0:rPr>
          <ns0:rFonts ns0:ascii="Times New Roman" ns0:hAnsi="Times New Roman" ns0:cs="Times New Roman"/>
          <ns0:i/>
          <ns0:iCs/>
          <ns0:color ns0:val="auto"/>
        </ns0:rPr>
        <ns0:t>kick-up</ns0:t>
      </ns0:r>
      <ns0:r>
        <ns0:rPr>
          <ns0:rFonts ns0:ascii="Times New Roman" ns0:hAnsi="Times New Roman" ns0:cs="Times New Roman"/>
          <ns0:color ns0:val="auto"/>
        </ns0:rPr>
        <ns0:t xml:space="preserve">) que lhe for mais natural e eficiente. Entre cada tentativa realizada, será respeitado um intervalo de repouso de 90 segundos, visando minimizar os efeitos da fadiga muscular acumulada nos membros superiores e estabilizadores do tronco. No bloco livre, o participante realizará obrigatoriamente as três tentativas de entrada, de modo a possibilitar a mensuração da consistência e da taxa de sucesso motor (proporção de êxito entre as tentativas). Com o intuito de poupar a musculatura para 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subsequente, o atleta poderá expressar sua marca máxima de sustentação em uma das tentativas; nas demais, caso já tenha atingido seu tempo representativo máximo, ele só precisará sustentar por no mínimo 3 segundos contínuos (critério de validação técnica) e descer de forma voluntária e controlada, sem a necessidade de buscar a exaustão em todas as três. Da mesma forma que no bloco assistido, será mapeada a tentativa em que ocorreu o tempo máximo nas entradas livres (T1, T2 ou T3).</ns0:t>
      </ns0:r>
    </ns0:p>
    <ns0:p ns2:paraId="5A6A8AC0">
      <ns0:pPr>
        <ns0:widowControl ns0:val="0"/>
        <ns0:shd ns0:val="clear" ns0:color="auto" ns0:fill="FFFFFF"/>
        <ns0:spacing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b) Teste de desempenho no </ns0:t>
      </ns0:r>
      <ns0:r>
        <ns0:rPr>
          <ns0:rFonts ns0:ascii="Times New Roman" ns0:hAnsi="Times New Roman" ns0:cs="Times New Roman"/>
          <ns0:i/>
          <ns0:iCs/>
          <ns0:color ns0:val="auto"/>
        </ns0:rPr>
        <ns0:t>HSW</ns0:t>
      </ns0:r>
    </ns0:p>
    <ns0:p ns2:paraId="2B19B528">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Após um intervalo de 10 minutos, para assegurar a recuperação plena dos sistemas neuromusculares após os testes estáticos do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será iniciada a avaliação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Para este teste, os participantes deverão realizar o deslocamento em linha reta, tendo como requisito obrigatório o posicionamento inicial das mãos dentro de uma área retangular delimitada no solo, correspondente à zona de calibração e captura inicial do sistema de captura de movimento (Vicon®, Oxford, Reino Unido). A técnica de entrada será de livre escolha do praticante, permitindo o início a partir da posição em pé (através de um </ns0:t>
      </ns0:r>
      <ns0:r>
        <ns0:rPr>
          <ns0:rFonts ns0:ascii="Times New Roman" ns0:hAnsi="Times New Roman" ns0:cs="Times New Roman"/>
          <ns0:i/>
          <ns0:iCs/>
          <ns0:color ns0:val="auto"/>
        </ns0:rPr>
        <ns0:t>kick-up</ns0:t>
      </ns0:r>
      <ns0:r>
        <ns0:rPr>
          <ns0:rFonts ns0:ascii="Times New Roman" ns0:hAnsi="Times New Roman" ns0:cs="Times New Roman"/>
          <ns0:color ns0:val="auto"/>
        </ns0:rPr>
        <ns0:t xml:space="preserve">) ou já com as mãos posicionadas sobre a área demarcada antes do impulso inicial. O protocolo consistirá em três tentativas válidas totais prevenindo a degradação mecânica por fadiga periférica aguda nos ombros e punhos, intercaladas por 90 segundos de recuperação passiva. Para cada uma dessas três tentativas, o participante terá direito a até três entradas (tentativas de subida/chute) caso ocorra erro no ajuste inicial da ascensão antes do início dos passos. A distância linear percorrida só será validada e computada caso o participante atinja o critério mínimo de três passos manuais alternados; tentativas interrompidas por queda com apenas um ou dois passos não caracterizam locomoção contínua e serão consideradas nulas (distância zero). Como desfecho primário representativo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será mantida a mediana da distância percorrida entre as tentativas válidas, mitigando o impacto de valores atípicos. O objetivo será percorrer a maior distância possível, havendo limite de 5 metros por tentativa que corresponde ao limite de detecção do sistema de captura de movimento. O critério de falha para a interrupção da tentativa será definido pelo contato de qualquer parte do corpo com exceção das mãos. </ns0:t>
      </ns0:r>
    </ns0:p>
    <ns0:p ns2:paraId="7C5A71C2">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A restrição do volume total movimentos (três tentativas para cada condição estática e três para o deslocamento dinâmico) foi estabelecida metodologicamente para evitar o viés da fadiga neuromuscular localizada aguda e a sobrecarga do sistema vestibular, preservando assim a integridade cinemática do desempenho ótimo [19].</ns0:t>
      </ns0:r>
    </ns0:p>
    <ns0:p ns2:paraId="3B354366">
      <ns0:pPr>
        <ns0:shd ns0:val="clear" ns0:color="auto" ns0:fill="FFFFFF" ns0:themeFill="background1"/>
        <ns0:suppressAutoHyphens ns0:val="0"/>
        <ns0:spacing ns0:line="360" ns0:lineRule="auto"/>
        <ns0:jc ns0:val="left"/>
        <ns0:rPr>
          <ns0:rFonts ns0:hint="default" ns0:ascii="Times New Roman" ns0:hAnsi="Times New Roman" ns0:eastAsia="Times New Roman" ns0:cs="Times New Roman"/>
          <ns0:color ns0:val="auto"/>
          <ns0:u ns0:val="none"/>
        </ns0:rPr>
      </ns0:pPr>
      <ns0:r>
        <ns0:rPr>
          <ns0:rFonts ns0:ascii="Times New Roman" ns0:hAnsi="Times New Roman" ns0:cs="Times New Roman"/>
          <ns0:color ns0:val="auto"/>
        </ns0:rPr>
        <ns0:t>c) Processamento e Tratamento de Dados</ns0:t>
      </ns0:r>
    </ns0:p>
    <ns0:p ns2:paraId="0567637E">
      <ns0:pPr>
        <ns0:shd ns0:val="clear" ns0:color="auto" ns0:fill="FFFFFF" ns0:themeFill="background1"/>
        <ns0:suppressAutoHyphens ns0:val="0"/>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Os dados brutos de cinemática tridimensional e da plataforma de força, exportados no formato padrão C3D a partir do sistema Vicon Nexus, serão processados offline utilizando rotinas computacionais customizadas desenvolvidas na linguagem Python (versão 3.10+). A extração dos vetores de marcadores e dos canais analógicos será realizada através da biblioteca ezc3d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{"citationID":"Rk7a6vfA","properties":{"unsorted":false,"formattedCitation":"[65]","plainCitation":"[65]","noteIndex":0},"citationItems":[{"id":31,"uris":["http://zotero.org/users/17274952/items/6GX672J6"],"itemData":{"id":31,"type":"article-journal","abstract":"This work introduces the open source ezc3d library which provides a light and comprehensive API to easily read and write c3d files. The C++ core provides a fast file I/O library, and convenient MATLAB and Python3 interfaces are also provided so researchers can smoothly implement ezc3d in their current workflow. It supports c3d files from the main biomechanics software, namely: Vicon, Qualisys, Optotrak, BTS and XSens. In addition, since the c3d standard allows for multiple ways to store force platform data, a force platform analysis module is provided. The main feature of this module is to express forces and moments in more common reference frames—that is, expressed in the global reference frame calculated at either the origin or at the centre of pressure—so they can be directly interpreted by the user.","container-title":"Journal of Open Source Software","DOI":"10.21105/joss.02911","ISSN":"2475-9066","issue":"58","journalAbbreviation":"JOSS","language":"en","license":"http://creativecommons.org/licenses/by/4.0/","page":"2911","source":"DOI.org (Crossref)","title":"ezc3d: An easy C3D file I/O cross-platform solution for C++, Python and MATLAB","title-short":"ezc3d","volume":"6","author":[{"family":"Michaud","given":"Benjamin"},{"family":"Begon","given":"Mickaël"}],"issued":{"date-parts":[["2021",2,21]]}}}],"schema":"https://github.com/citation-style-language/schema/raw/master/csl-citation.json"}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[65]</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ns0:t>
      </ns0:r>
    </ns0:p>
    <ns0:p ns2:paraId="17AEA55E">
      <ns0:pPr>
        <ns0:shd ns0:val="clear" ns0:color="auto" ns0:fill="FFFFFF" ns0:themeFill="background1"/>
        <ns0:suppressAutoHyphens ns0:val="0"/>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Devido à natureza da locomoção invertida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na qual os braços assumem a função de suporte, ocorre a oclusão inevitável dos marcadores dos ombros impostos pelos limites do volume de captura e pela própria cabeça do participante. Para solucionar falhas de rastreamento (</ns0:t>
      </ns0:r>
      <ns0:r>
        <ns0:rPr>
          <ns0:rFonts ns0:ascii="Times New Roman" ns0:hAnsi="Times New Roman" ns0:cs="Times New Roman"/>
          <ns0:i/>
          <ns0:iCs/>
          <ns0:color ns0:val="auto"/>
        </ns0:rPr>
        <ns0:t>gaps</ns0:t>
      </ns0:r>
      <ns0:r>
        <ns0:rPr>
          <ns0:rFonts ns0:ascii="Times New Roman" ns0:hAnsi="Times New Roman" ns0:cs="Times New Roman"/>
          <ns0:color ns0:val="auto"/>
        </ns0:rPr>
        <ns0:t xml:space="preserve">) sem recorrer a métodos de interpolação não lineares que deformam a geometria anatômica, será empregado um algoritmo de projeção de corpo rígido fundamentado na Decomposição em Valores Singulares (SVD), também conhecido como Algoritmo de Kabsch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{"citationID":"JlkSMm5o","properties":{"unsorted":false,"formattedCitation":"[63], [64]","plainCitation":"[63], [64]","noteIndex":0},"citationItems":[{"id":29,"uris":["http://zotero.org/users/17274952/items/39QW84UC"],"itemData":{"id":29,"type":"article-journal","container-title":"Journal of Biomechanics","DOI":"10.1016/0021-9290(94)00116-L","ISSN":"00219290","issue":"6","journalAbbreviation":"Journal of Biomechanics","language":"en","license":"https://www.elsevier.com/tdm/userlicense/1.0/","page":"733-737","source":"DOI.org (Crossref)","title":"A procedure for determining rigid body transformation parameters","volume":"28","author":[{"family":"Challis","given":"John H."}],"issued":{"date-parts":[["1995",6]]}}},{"id":30,"uris":["http://zotero.org/users/17274952/items/TNKF22X7"],"itemData":{"id":30,"type":"article-journal","container-title":"Acta Crystallographica Section A","DOI":"10.1107/S0567739476001873","ISSN":"0567-7394","issue":"5","journalAbbreviation":"Acta Cryst A","license":"http://journals.iucr.org/services/copyrightpolicy.html","page":"922-923","source":"DOI.org (Crossref)","title":"A solution for the best rotation to relate two sets of vectors","volume":"32","author":[{"family":"Kabsch","given":"W."}],"issued":{"date-parts":[["1976",9,1]]}}}],"schema":"https://github.com/citation-style-language/schema/raw/master/csl-citation.json"}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[63], [64]</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O algoritmo utilizará os marcadores fixos dorsais do tronco superior (ex: C7, T10 e dois marcadores de referência extras) como um </ns0:t>
      </ns0:r>
      <ns0:r>
        <ns0:rPr>
          <ns0:rFonts ns0:ascii="Times New Roman" ns0:hAnsi="Times New Roman" ns0:cs="Times New Roman"/>
          <ns0:i/>
          <ns0:iCs/>
          <ns0:color ns0:val="auto"/>
        </ns0:rPr>
        <ns0:t>cluster</ns0:t>
      </ns0:r>
      <ns0:r>
        <ns0:rPr>
          <ns0:rFonts ns0:ascii="Times New Roman" ns0:hAnsi="Times New Roman" ns0:cs="Times New Roman"/>
          <ns0:color ns0:val="auto"/>
        </ns0:rPr>
        <ns0:t xml:space="preserve"> de ancoragem para calcular a matriz de rotação e translação otimizada a cada frame, reconstruindo a posição fidedigna dos ombros com precisão submilimétrica durante toda a execução dinâmica. Diferentemente dos ombros, a reconstrução matemática de membros distais altamente independentes (mãos e pernas) via extrapolação de matrizes de rotação rígidas induz a severos artefatos cinemáticos, devido à amplificação do erro espacial ao longo da alavanca anatômica e à suscetibilidade aos artefatos de tecidos moles (</ns0:t>
      </ns0:r>
      <ns0:r>
        <ns0:rPr>
          <ns0:rFonts ns0:ascii="Times New Roman" ns0:hAnsi="Times New Roman" ns0:cs="Times New Roman"/>
          <ns0:i/>
          <ns0:iCs/>
          <ns0:color ns0:val="auto"/>
        </ns0:rPr>
        <ns0:t>Soft Tissue Artifacts</ns0:t>
      </ns0:r>
      <ns0:r>
        <ns0:rPr>
          <ns0:rFonts ns0:ascii="Times New Roman" ns0:hAnsi="Times New Roman" ns0:cs="Times New Roman"/>
          <ns0:color ns0:val="auto"/>
        </ns0:rPr>
        <ns0:t>)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{"citationID":"XlTHn7jV","properties":{"unsorted":false,"formattedCitation":"[66]","plainCitation":"[66]","noteIndex":0},"citationItems":[{"id":17,"uris":["http://zotero.org/users/17274952/items/8HMANWYC"],"itemData":{"id":17,"type":"article-journal","abstract":"This systematic review critically evaluates the quantiﬁcation of soft tissue artifact (STA) in lower limb human motion analysis. It has a speciﬁc focus on assessing the quality of previous studies and comparing quantitative results. A speciﬁc search strategy identiﬁed 20 published articles or abstracts that fulﬁlled the selection criteria. The quality of the articles was evaluated using a customised critical appraisal tool. Data extraction tools were used to identify key aspects reported in the articles. Most studies had small sample sizes of mostly young, slim participants. Eleven of the reviewed articles used physically invasive techniques to assess STA. STA was found to reach magnitudes of greater than 30 mm on the thigh segment, and up to 15 mm on the tibia. The range of soft tissue artifact reached greater than 25 mm in some cases when comparing the results of reviewed studies.","container-title":"Gait &amp; Posture","DOI":"10.1016/j.gaitpost.2009.09.004","ISSN":"09666362","issue":"1","journalAbbreviation":"Gait &amp; Posture","language":"en","license":"https://www.elsevier.com/tdm/userlicense/1.0/","page":"1-8","source":"DOI.org (Crossref)","title":"Quantification of soft tissue artifact in lower limb human motion analysis: A systematic review","title-short":"Quantification of soft tissue artifact in lower limb human motion analysis","volume":"31","author":[{"family":"Peters","given":"Alana"},{"family":"Galna","given":"Brook"},{"family":"Sangeux","given":"Morgan"},{"family":"Morris","given":"Meg"},{"family":"Baker","given":"Richard"}],"issued":{"date-parts":[["2010",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[66]</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Portanto, para solucionar as falhas de rastreamento de forma fidedigna nestes marcadores, o pipeline aplicará primariamente um filtro não-linear de mediana móvel para a exclusão de ruídos instantâneos e valores atípicos (picos artificiais / </ns0:t>
      </ns0:r>
      <ns0:r>
        <ns0:rPr>
          <ns0:rFonts ns0:ascii="Times New Roman" ns0:hAnsi="Times New Roman" ns0:cs="Times New Roman"/>
          <ns0:i/>
          <ns0:iCs/>
          <ns0:color ns0:val="auto"/>
        </ns0:rPr>
        <ns0:t>spikes </ns0:t>
      </ns0:r>
      <ns0:r>
        <ns0:rPr>
          <ns0:rFonts ns0:ascii="Times New Roman" ns0:hAnsi="Times New Roman" ns0:cs="Times New Roman"/>
          <ns0:color ns0:val="auto"/>
        </ns0:rPr>
        <ns0:t xml:space="preserve">&gt; 60 mm), preservando os limites reais do sinal cinemático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{"citationID":"H27JlAWq","properties":{"unsorted":false,"formattedCitation":"[67]","plainCitation":"[67]","noteIndex":0},"citationItems":[{"id":23,"uris":["http://zotero.org/users/17274952/items/SA7M78A3"],"itemData":{"id":23,"type":"book","abstract":"Research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[67]</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Sequencialmente, será realizado o preenchimento temporal das lacunas </ns0:t>
      </ns0:r>
      <ns0:r>
        <ns0:rPr>
          <ns0:rFonts ns0:ascii="Times New Roman" ns0:hAnsi="Times New Roman" ns0:cs="Times New Roman"/>
          <ns0:i/>
          <ns0:iCs/>
          <ns0:color ns0:val="auto"/>
        </ns0:rPr>
        <ns0:t>(gap filling</ns0:t>
      </ns0:r>
      <ns0:r>
        <ns0:rPr>
          <ns0:rFonts ns0:ascii="Times New Roman" ns0:hAnsi="Times New Roman" ns0:cs="Times New Roman"/>
          <ns0:color ns0:val="auto"/>
        </ns0:rPr>
        <ns0:t>) via interpolação matemática (</ns0:t>
      </ns0:r>
      <ns0:r>
        <ns0:rPr>
          <ns0:rFonts ns0:ascii="Times New Roman" ns0:hAnsi="Times New Roman" ns0:cs="Times New Roman"/>
          <ns0:i/>
          <ns0:iCs/>
          <ns0:color ns0:val="auto"/>
        </ns0:rPr>
        <ns0:t>Spline</ns0:t>
      </ns0:r>
      <ns0:r>
        <ns0:rPr>
          <ns0:rFonts ns0:ascii="Times New Roman" ns0:hAnsi="Times New Roman" ns0:cs="Times New Roman"/>
          <ns0:color ns0:val="auto"/>
        </ns0:rPr>
        <ns0:t>/</ns0:t>
      </ns0:r>
      <ns0:r>
        <ns0:rPr>
          <ns0:rFonts ns0:ascii="Times New Roman" ns0:hAnsi="Times New Roman" ns0:cs="Times New Roman"/>
          <ns0:i/>
          <ns0:iCs/>
          <ns0:color ns0:val="auto"/>
        </ns0:rPr>
        <ns0:t>PCHIP</ns0:t>
      </ns0:r>
      <ns0:r>
        <ns0:rPr>
          <ns0:rFonts ns0:ascii="Times New Roman" ns0:hAnsi="Times New Roman" ns0:cs="Times New Roman"/>
          <ns0:color ns0:val="auto"/>
        </ns0:rPr>
        <ns0:t xml:space="preserve">), um método validado para restaurar trajetórias de marcadores ocluídos garantindo a integridade e suavidade do sinal biomecânico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{"citationID":"HZVPDEWW","properties":{"unsorted":false,"formattedCitation":"[68]","plainCitation":"[68]","noteIndex":0},"citationItems":[{"id":16,"uris":["http://zotero.org/users/17274952/items/8ZV983QB"],"itemData":{"id":16,"type":"article-journal","container-title":"Computer Methods in Biomechanics and Biomedical Engineering","DOI":"10.1080/10255841003664701","ISSN":"1025-5842, 1476-8259","issue":"6","journalAbbreviation":"Computer Methods in Biomechanics and Biomedical Engineering","language":"en","page":"847-855","source":"DOI.org (Crossref)","title":"Quantitative assessment of the accuracy for three interpolation techniques in kinematic analysis of human movement","volume":"13","author":[{"family":"Howarth","given":"Samuel J."},{"family":"Callaghan","given":"Jack P."}],"issued":{"date-parts":[["2010",12]]}}}],"schema":"https://github.com/citation-style-language/schema/raw/master/csl-citation.json"}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eastAsia="Times New Roman" ns0:cs="Times New Roman"/>
          <ns0:color ns0:val="auto"/>
          <ns0:lang ns0:val="pt-BR"/>
        </ns0:rPr>
        <ns0:t>[68]</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Adicionalmente, foi implementada uma rotina de auditoria visual rigorosa através de um gráfico, a qual sobrepõe instantaneamente as trajetórias verticais de todos os marcadores, permitindo a validação da continuidade do sinal e atestando a ausência de anomalias invisíveis na nuvem de pontos 3D pós-reconstrução</ns0:t>
      </ns0:r>
      <ns0:r>
        <ns0:rPr>
          <ns0:rFonts ns0:ascii="Times New Roman" ns0:hAnsi="Times New Roman" ns0:cs="Times New Roman"/>
          <ns0:color ns0:val="auto"/>
        </ns0:rPr>
        <ns0:t xml:space="preserve">. </ns0:t>
      </ns0:r>
      <ns0:r>
        <ns0:rPr>
          <ns0:rFonts ns0:ascii="Times New Roman" ns0:hAnsi="Times New Roman" ns0:cs="Times New Roman"/>
          <ns0:color ns0:val="auto"/>
        </ns0:rPr>
        <ns0:t>Para a extração das métricas, os sinais brutos passarão por pré-processamento para eliminação de ruídos experimentais e vibrações inerentes aos equipamentos sem que ocorra atraso de fase (</ns0:t>
      </ns0:r>
      <ns0:r>
        <ns0:rPr>
          <ns0:rFonts ns0:ascii="Times New Roman" ns0:hAnsi="Times New Roman" ns0:cs="Times New Roman"/>
          <ns0:i/>
          <ns0:iCs/>
          <ns0:color ns0:val="auto"/>
        </ns0:rPr>
        <ns0:t>phase</ns0:t>
      </ns0:r>
      <ns0:r>
        <ns0:rPr>
          <ns0:rFonts ns0:ascii="Times New Roman" ns0:hAnsi="Times New Roman" ns0:cs="Times New Roman"/>
          <ns0:color ns0:val="auto"/>
        </ns0:rPr>
        <ns0:t xml:space="preserve"> </ns0:t>
      </ns0:r>
      <ns0:r>
        <ns0:rPr>
          <ns0:rFonts ns0:ascii="Times New Roman" ns0:hAnsi="Times New Roman" ns0:cs="Times New Roman"/>
          <ns0:i/>
          <ns0:iCs/>
          <ns0:color ns0:val="auto"/>
        </ns0:rPr>
        <ns0:t>shift</ns0:t>
      </ns0:r>
      <ns0:r>
        <ns0:rPr>
          <ns0:rFonts ns0:ascii="Times New Roman" ns0:hAnsi="Times New Roman" ns0:cs="Times New Roman"/>
          <ns0:color ns0:val="auto"/>
        </ns0:rPr>
        <ns0:t xml:space="preserve">). Será aplicado um filtro digital passa-baixa </ns0:t>
      </ns0:r>
      <ns0:r>
        <ns0:rPr>
          <ns0:rFonts ns0:ascii="Times New Roman" ns0:hAnsi="Times New Roman" ns0:cs="Times New Roman"/>
          <ns0:i/>
          <ns0:iCs/>
          <ns0:color ns0:val="auto"/>
        </ns0:rPr>
        <ns0:t>Butterworth</ns0:t>
      </ns0:r>
      <ns0:r>
        <ns0:rPr>
          <ns0:rFonts ns0:ascii="Times New Roman" ns0:hAnsi="Times New Roman" ns0:cs="Times New Roman"/>
          <ns0:color ns0:val="auto"/>
        </ns0:rPr>
        <ns0:t xml:space="preserve"> de 4ª ordem bidirecional (função </ns0:t>
      </ns0:r>
      <ns0:r>
        <ns0:rPr>
          <ns0:rFonts ns0:ascii="Times New Roman" ns0:hAnsi="Times New Roman" ns0:cs="Times New Roman"/>
          <ns0:i/>
          <ns0:iCs/>
          <ns0:color ns0:val="auto"/>
        </ns0:rPr>
        <ns0:t>filtfilt</ns0:t>
      </ns0:r>
      <ns0:r>
        <ns0:rPr>
          <ns0:rFonts ns0:ascii="Times New Roman" ns0:hAnsi="Times New Roman" ns0:cs="Times New Roman"/>
          <ns0:color ns0:val="auto"/>
        </ns0:rPr>
        <ns0:t> da biblioteca </ns0:t>
      </ns0:r>
      <ns0:r>
        <ns0:rPr>
          <ns0:rFonts ns0:ascii="Times New Roman" ns0:hAnsi="Times New Roman" ns0:cs="Times New Roman"/>
          <ns0:i/>
          <ns0:iCs/>
          <ns0:color ns0:val="auto"/>
        </ns0:rPr>
        <ns0:t>SciPy</ns0:t>
      </ns0:r>
      <ns0:r>
        <ns0:rPr>
          <ns0:rFonts ns0:ascii="Times New Roman" ns0:hAnsi="Times New Roman" ns0:cs="Times New Roman"/>
          <ns0:color ns0:val="auto"/>
        </ns0:rPr>
        <ns0:t xml:space="preserve">). A frequência de corte adotada será de 6 Hz para as trajetórias cinemáticas dos marcadores, respeitando o espectro do movimento humano macroscópico, e de 20 Hz para os sinais cinéticos da plataforma de força, a fim de preservar o conteúdo de alta frequência inerente às correções posturais rápidas realizadas pelos punhos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{"citationID":"cjK2Zkcu","properties":{"unsorted":false,"formattedCitation":"[9], [22]","plainCitation":"[9], [22]","noteIndex":0},"citationItems":[{"id":299,"uris":["http://zotero.org/users/17274952/items/EJ28IYIX"],"itemData":{"id":299,"type":"article-journal","abstract":"In gymnastics, mainstream handstand coaching emphasizes developing an aligned rigid body configuration, frequently leaving wrist-controlled balance work to implicit learning. However, skill-related motor behavioral research suggests the wrists to primarily contribute postural control in handstands. Considering recent research on handstands revealing experience-dependent motor behavior, the present study aimed to examine motor learning effects of explicit wrist usage coaching on handstand performances in skilled and less skilled novices. Therefore, twenty-five volunteering sport students served as participants completing a three-week training intervention which solely and explicitly addressed successful wrist usage during handstand. A video-tutorial introducing participants to the wrist strategy of hand balance preceded five practical training sessions that all neglected providing explicit postural advice. Participants performed three handstands on a plane gymnastics mat prior to (pre-test) and after (post-test) completing the training intervention. Standardized video recordings of each trial allowed retrospective group assignment (skilled and less skilled novices) based on pre-test mean balance times. With this, balance times, expert assessments (postural execution and balance control strategies) and goniometric analyses of shoulder and hip joint angles served to detect practical changes in handstand performances. Enhanced balance times as well as increased scores for postural execution and balance control strategies were revealed for less skilled novices (p &lt; .05), but not for skilled novices (p &gt; .05). Furthermore, in both groups changes in shoulder and hip joint angles failed significance. In conclusion, present findings suggest practitioners to make entirely unexperienced handstand learners explicitly aware of the wrist strategy’s operating principle.","container-title":"Science of Gymnastics Journal","DOI":"10.52165/sgj.11.2.209-222","ISSN":"1855-7171, 2232-2639","issue":"2","journalAbbreviation":"SGJ","language":"en","page":"209-222","source":"DOI.org (Crossref)","title":"EFFICACY OF WRIST STRATEGY COACHING ON HANDSTAND PERFORMANCES IN NOVICES: INVERTING EXPLICIT AND IMPLICIT LEARNING OF SKILL-RELATED MOTOR TASKS","title-short":"EFFICACY OF WRIST STRATEGY COACHING ON HANDSTAND PERFORMANCES IN NOVICES","volume":"11","author":[{"family":"Rohleder","given":"Jonas"},{"family":"Vogt","given":"Tobias"}],"issued":{"date-parts":[["2019",6,1]]}}},{"id":335,"uris":["http://zotero.org/users/17274952/items/3VJT24K4"],"itemData":{"id":335,"type":"article-journal","abstract":"Background The aim of the study was to determine the level of maintaining body balance in a hand stand among gymnasts at the stage of directed and championship training and to prove a relationship with the sports result, taking into account the difficulty and the quality of exercises.","container-title":"Baltic Journal of Health and Physical Activity","DOI":"10.29359/BJHPA.07.4.11","ISSN":"20809999","issue":"4","journalAbbreviation":"BJHPA","language":"en","page":"117-124","source":"DOI.org (Crossref)","title":"The level of body balance in a handstand and the effectiveness of sports training in gymnastics","volume":"7","author":[{"family":"Kochanowicz","given":"Andrzej"},{"family":"Kochanowicz","given":"Kazimierz"},{"family":"Niespodzinski","given":"Bartlomiej"},{"family":"Mieszkowski","given":"Jan"},{"family":"Biskup","given":"Leon"}],"issued":{"date-parts":[["2015",12,31]]}}}],"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[9], [22]</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ns0:t>
      </ns0:r>
    </ns0:p>
    <ns0:p ns2:paraId="05A40BD4">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A separação da fase de estabilização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nas tentativas assistidas será determinada de forma autônoma pelo algoritmo cinemático, delimitando o início cronometrado do equilíbrio pelo distanciamento espacial entre um marcador fixado na mão do pesquisador e o membro inferior do voluntário, assegurando o isolamento do controle postural não assistido. Para as tentativas livres o início do equilíbrio estático será categorizado algoritmicamente quando a coordenada vertical (eixo Z) do marcador distal mais alto do membro inferior (rastreado de forma dinâmica e ambidestra entre calcanhares, tornozelos ou hálux) superar a altura do centro pélvico em no mínimo 300 mm. De forma global, para ambas as condições (livre e assistida), o término da tentativa será assinalado pela queda abrupta do marcador distal mais alto do membro inferior, ultrapassando de forma descendente o referido limiar de tolerância vertical (descida das pernas abaixo de 300 mm em relação ao centro pélvico). Em relação ao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a delimitação temporal do percurso válido será estabelecida pela ciclicidade do contato palmar, exigindo-se um mínimo de três passos manuais consecutivos para a validação da locomoção e cômputo da distância linear. O início da locomoção será identificado algoritmicamente pelo instante do primeiro evento de quebra de contato com o solo (</ns0:t>
      </ns0:r>
      <ns0:r>
        <ns0:rPr>
          <ns0:rFonts ns0:ascii="Times New Roman" ns0:hAnsi="Times New Roman" ns0:cs="Times New Roman"/>
          <ns0:i/>
          <ns0:iCs/>
          <ns0:color ns0:val="auto"/>
        </ns0:rPr>
        <ns0:t>lift-off</ns0:t>
      </ns0:r>
      <ns0:r>
        <ns0:rPr>
          <ns0:rFonts ns0:ascii="Times New Roman" ns0:hAnsi="Times New Roman" ns0:cs="Times New Roman"/>
          <ns0:color ns0:val="auto"/>
        </ns0:rPr>
        <ns0:t>) de uma das mãos. Consecutivamente, o término da marcha válida será demarcado pelo último evento de toque (</ns0:t>
      </ns0:r>
      <ns0:r>
        <ns0:rPr>
          <ns0:rFonts ns0:ascii="Times New Roman" ns0:hAnsi="Times New Roman" ns0:cs="Times New Roman"/>
          <ns0:i/>
          <ns0:iCs/>
          <ns0:color ns0:val="auto"/>
        </ns0:rPr>
        <ns0:t>touchdown</ns0:t>
      </ns0:r>
      <ns0:r>
        <ns0:rPr>
          <ns0:rFonts ns0:ascii="Times New Roman" ns0:hAnsi="Times New Roman" ns0:cs="Times New Roman"/>
          <ns0:color ns0:val="auto"/>
        </ns0:rPr>
        <ns0:t>) registrado antes da interrupção da tentativa (configurada pela falha de sustentação e queda abrupta do centro pélvico e membros inferiores no eixo vertical).</ns0:t>
      </ns0:r>
    </ns0:p>
    <ns0:p ns2:paraId="67C8548D">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No escopo das variáveis estabilométricas, a ineficiência do controle postural será quantificada primariamente através da distância contínua entre o CoP e a projeção vertical do CoM, métrica estritamente ancorada no modelo mecânico do pêndulo invertido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{"citationID":"FkHxMEFZ","properties":{"unsorted":false,"formattedCitation":"[34], [35]","plainCitation":"[34], [35]","noteIndex":0},"citationItems":[{"id":298,"uris":["http://zotero.org/users/17274952/items/VIE3FHTV"],"itemData":{"id":298,"type":"article-journal","container-title":"Gait &amp; Posture","DOI":"10.1016/0966-6362(96)82849-9","ISSN":"09666362","issue":"4","journalAbbreviation":"Gait &amp; Posture","language":"en","license":"https://www.elsevier.com/tdm/userlicense/1.0/","page":"193-214","source":"DOI.org (Crossref)","title":"Human balance and posture control during standing and walking","volume":"3","author":[{"family":"Winter","given":"Da"}],"issued":{"date-parts":[["1995",12]]}}},{"id":25,"uris":["http://zotero.org/users/17274952/items/BI58LU3J"],"itemData":{"id":25,"type":"article-journal","abstract":"Movements of the whole-body center of mass during quiet standing have been estimated from measurements of body segment movements. These whole-body center of mass movements have been compared with movements of the center of mass as predicted from a simple inverted-pendulum model of standing. However, the total body center of mass is a weighted average of the center of mass of all individual body segments. The question arises as to how well the total body center of mass represents the individual segments and lower limb joint angles. This study focuses on the validity of how well the individual segments and lower limb angles temporally and spatially synchronize with the total body center of mass. Eleven healthy university students volunteered to participate. Kinematic data were collected using a 3D optoelectronic camera system; kinetic data were collected using a 3D force plate. Participants stood quietly, with eyes open, for 120 s. Segment and whole body centers of mass were calculated from a 14 segment, 3D bilateral model. Segment and joint angles were calculated for the lower limbs, bilaterally, and the trunk. Segment center of mass root-mean-square displacements were strongly correlated with center of mass height relative to the ankle joint and were synchronized, or temporally locked, to the movement of the whole body center of mass. Sagittal plane ankle angular displacements were highly correlated to sagittal plane center of mass movement; stronger correlations between body center of mass and lower limb angular displacement were observed, the result of compensatory knee joint angular displacements. These data support and extend the use of an inverted pendulum model to represent quiet standing postural control.","container-title":"Gait &amp; Posture","DOI":"10.1016/S0966-6362(03)00037-7","ISSN":"09666362","issue":"2","journalAbbreviation":"Gait &amp; Posture","language":"en","license":"https://www.elsevier.com/tdm/userlicense/1.0/","page":"124-132","source":"DOI.org (Crossref)","title":"Kinematic and kinetic validity of the inverted pendulum model in quiet standing","volume":"19","author":[{"family":"Gage","given":"William H."},{"family":"Winter","given":"David A."},{"family":"Frank","given":"James S."},{"family":"Adkin","given":"Allan L."}],"issued":{"date-parts":[["2004",4]]}}}],"schema":"https://github.com/citation-style-language/schema/raw/master/csl-citation.json"}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[34], [35]</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xml:space="preserve">. Concomitantemente, a velocidade média do CoP e a </ns0:t>
      </ns0: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extraída do sinal da plataforma avaliarão, respectivamente, o esforço das reações neuromusculares e a rigidez sistêmica das correções. O alinhamento corporal (Índice de Verticalidade) não será reduzido a projeções bidimensionais padrão ou Ângulos de Euler, suscetíveis ao artefato de </ns0:t>
      </ns0:r>
      <ns0:r>
        <ns0:rPr>
          <ns0:rFonts ns0:ascii="Times New Roman" ns0:hAnsi="Times New Roman" ns0:cs="Times New Roman"/>
          <ns0:i/>
          <ns0:iCs/>
          <ns0:color ns0:val="auto"/>
        </ns0:rPr>
        <ns0:t>Gimbal Lock</ns0:t>
      </ns0:r>
      <ns0:r>
        <ns0:rPr>
          <ns0:rFonts ns0:ascii="Times New Roman" ns0:hAnsi="Times New Roman" ns0:cs="Times New Roman"/>
          <ns0:color ns0:val="auto"/>
        </ns0:rPr>
        <ns0:t> durante a inversão, mas calculado rigorosamente por meio do produto escalar (</ns0:t>
      </ns0:r>
      <ns0:r>
        <ns0:rPr>
          <ns0:rFonts ns0:ascii="Times New Roman" ns0:hAnsi="Times New Roman" ns0:cs="Times New Roman"/>
          <ns0:i/>
          <ns0:iCs/>
          <ns0:color ns0:val="auto"/>
        </ns0:rPr>
        <ns0:t>Dot Product</ns0:t>
      </ns0:r>
      <ns0:r>
        <ns0:rPr>
          <ns0:rFonts ns0:ascii="Times New Roman" ns0:hAnsi="Times New Roman" ns0:cs="Times New Roman"/>
          <ns0:color ns0:val="auto"/>
        </ns0:rPr>
        <ns0:t xml:space="preserve">) de vetores 3D absolutos no espaço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{"citationID":"4oRlvAoS","properties":{"unsorted":false,"formattedCitation":"[67], [69]","plainCitation":"[67], [69]","noteIndex":0},"citationItems":[{"id":24,"uris":["http://zotero.org/users/17274952/items/MST5B4NY"],"itemData":{"id":24,"type":"article-journal","abstract":"Background. The International Society of Biomechanics has proposed a standardization recommendation for motion recordings of the upper extremity deﬁning the set of bony landmarks, local coordinate systems and joint coordinate systems. The aim of our study was to verify the clinical interpretation of the proposed rotation sequence for the glenohumeral joint and to compare it with other sequences.","container-title":"Clinical Biomechanics","DOI":"10.1016/j.clinbiomech.2005.09.007","ISSN":"02680033","journalAbbreviation":"Clinical Biomechanics","language":"en","license":"https://www.elsevier.com/tdm/userlicense/1.0/","page":"S3-S8","source":"DOI.org (Crossref)","title":"Rotation sequence as an important factor in shoulder kinematics","volume":"21","author":[{"family":"Šenk","given":"Miroslav"},{"family":"Chèze","given":"Laurence"}],"issued":{"date-parts":[["2006",1]]}}},{"id":23,"uris":["http://zotero.org/users/17274952/items/SA7M78A3"],"itemData":{"id":23,"type":"book","abstract":"Research Methods in Biomechanics, Second Edition, demonstrates the range of available research techniques and how to best apply this knowledge to ensure valid data collection. In the highly technical field of biomechanics, research methods are frequently upgraded as the speed and sophistication of software and hardware technologies increase. With this in mind, the second edition includes up-to-date research methods and presents new information detailing advanced analytical tools for investigating human movement. Expanded into 14 chapters and reorganized into four parts, the improved second edition features more than 100 new pieces of art and illustrations and new chapters introducing the latest techniques and up-and-coming areas of research.\n            Research Methods in Biomechanics, Second Edition, assists readers in developing a comprehensive understanding of methods for quantifying human movement. Parts I and II of the text examine planar and three-dimensional kinematics and kinetics in research, issues of body segment parameters and forces, and energy, work, and power as they relate to analysis of two- and three-dimensional inverse dynamics. Two of the chapters have been extensively revised to reflect current research practices in biomechanics, in particular the widespread use of Visual3D software. Calculations from these two chapters are now located online with the supplemental software resource, making it easier for readers to grasp the progression of steps in the analysis. In part III, readers can explore the use of musculoskeletal models in analyzing human movement. This part also discusses electromyography, computer simulation, muscle modeling, and musculoskeletal modeling; it presents new information on MRI and ultrasound use in calculating muscle parameters. Part IV offers a revised chapter on additional analytical procedures, including signal processing techniques. Also included is a new chapter on movement analysis and dynamical systems, which focuses on how to assess and measure coordination and stability in changing movement patterns and the role of movement variability in health and disease. In addition, readers will find discussion of statistical tools useful for identifying the essential characteristics of any human movement.","DOI":"10.5040/9781492595809","edition":"2","ISBN":"978-1-4925-9580-9","language":"en","publisher":"Human Kinetics","source":"DOI.org (Crossref)","title":"Research Methods in Biomechanics","URL":"https://www.humankineticslibrary.com/encyclopedia?docid=b-9781492595809","author":[{"family":"Robertson","given":"D. Gordon E."},{"family":"Caldwell","given":"Graham E."},{"family":"Hamill","given":"Joseph"},{"family":"Kamen","given":"Gary"},{"family":"Whittlesey","given":"Saunders N."}],"accessed":{"date-parts":[["2026",7,21]]},"issued":{"date-parts":[["2014"]]}}}],"schema":"https://github.com/citation-style-language/schema/raw/master/csl-citation.json"}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[67], [69]</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Para a tarefa dinâmica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as métricas espaço-temporais primárias (cadência, variabilidade espacial e temporal) e as descritivas (velocidade média de deslocamento, tempo de contato palmar e duração da fase de duplo suporte) serão extraídas pela identificação matemática automatizada de mínimos globais na derivada da posição dos marcadores dos punhos, garantindo a delimitação precisa dos eventos de toque (</ns0:t>
      </ns0:r>
      <ns0:r>
        <ns0:rPr>
          <ns0:rFonts ns0:ascii="Times New Roman" ns0:hAnsi="Times New Roman" ns0:cs="Times New Roman"/>
          <ns0:i/>
          <ns0:iCs/>
          <ns0:color ns0:val="auto"/>
        </ns0:rPr>
        <ns0:t>touchdown</ns0:t>
      </ns0:r>
      <ns0:r>
        <ns0:rPr>
          <ns0:rFonts ns0:ascii="Times New Roman" ns0:hAnsi="Times New Roman" ns0:cs="Times New Roman"/>
          <ns0:color ns0:val="auto"/>
        </ns0:rPr>
        <ns0:t>) e de propulsão (</ns0:t>
      </ns0:r>
      <ns0:r>
        <ns0:rPr>
          <ns0:rFonts ns0:ascii="Times New Roman" ns0:hAnsi="Times New Roman" ns0:cs="Times New Roman"/>
          <ns0:i/>
          <ns0:iCs/>
          <ns0:color ns0:val="auto"/>
        </ns0:rPr>
        <ns0:t>lift</ns0:t>
      </ns0:r>
      <ns0:r>
        <ns0:rPr>
          <ns0:rFonts ns0:ascii="Times New Roman" ns0:hAnsi="Times New Roman" ns0:cs="Times New Roman"/>
          <ns0:color ns0:val="auto"/>
        </ns0:rPr>
        <ns0:t>-</ns0:t>
      </ns0:r>
      <ns0:r>
        <ns0:rPr>
          <ns0:rFonts ns0:ascii="Times New Roman" ns0:hAnsi="Times New Roman" ns0:cs="Times New Roman"/>
          <ns0:i/>
          <ns0:iCs/>
          <ns0:color ns0:val="auto"/>
        </ns0:rPr>
        <ns0:t>off</ns0:t>
      </ns0:r>
      <ns0:r>
        <ns0:rPr>
          <ns0:rFonts ns0:ascii="Times New Roman" ns0:hAnsi="Times New Roman" ns0:cs="Times New Roman"/>
          <ns0:color ns0:val="auto"/>
        </ns0:rPr>
        <ns0:t xml:space="preserve">) </ns0:t>
      </ns0:r>
      <ns0:r>
        <ns0:rPr>
          <ns0:rFonts ns0:hint="default" ns0:ascii="Times New Roman" ns0:hAnsi="Times New Roman" ns0:cs="Times New Roman"/>
          <ns0:color ns0:val="auto"/>
        </ns0:rPr>
        <ns0:fldChar ns0:fldCharType="begin"/>
      </ns0:r>
      <ns0:r>
        <ns0:rPr>
          <ns0:rFonts ns0:hint="default" ns0:ascii="Times New Roman" ns0:hAnsi="Times New Roman" ns0:cs="Times New Roman"/>
          <ns0:color ns0:val="auto"/>
          <ns0:lang ns0:val="pt-BR"/>
        </ns0:rPr>
        <ns0:instrText xml:space="preserve"> ADDIN ZOTERO_ITEM CSL_CITATION {"citationID":"n2rlyteM","properties":{"unsorted":false,"formattedCitation":"[70], [71]","plainCitation":"[70], [71]","noteIndex":0},"citationItems":[{"id":22,"uris":["http://zotero.org/users/17274952/items/HD7T2KXH"],"itemData":{"id":22,"type":"article-journal","abstract":"When analysing gait, the identification of the period of stance is often needed. Forceplates are typically used, but in their absence kinematic data can be employed. Five kinematic methods have been previously described in the literature. However, these methods have not been compared to each other for overground or treadmill running. Therefore, the purpose of this study was to compare these five kinematic methods of identifying the stance phase with vertical ground reaction force data both during overground and treadmill running. We recruited forty recreational runners (20 males) for this study. Twenty runners underwent an instrumented gait analysis during overground running, and twenty were tested during instrumented treadmill running. All runners ran at 3.35 m·s−1. Each kinematic method was compared with stance identified from the vertical ground reaction force (gold standard) for overground running. This method was then repeated for treadmill running. Two methods were found to be valid and reliable for determining footstrike. These were the time when the distal heel marker reached a minimum vertical position, and when the vertical velocity of this same marker changed from negative to positive. These methods had absolute errors that ranged from 22.4 ms to 24.6 ms for both modes of running. Toe-off was best identified using peak knee extension, with absolute errors of 4.9 ms for overground running and 5.2 ms for treadmill running. Utilising automated kinematic methods of determining stance will aid researchers studying running when forceplates are unavailable.","container-title":"Journal of Science and Medicine in Sport","DOI":"10.1016/j.jsams.2010.03.006","ISSN":"14402440","issue":"6","journalAbbreviation":"Journal of Science and Medicine in Sport","language":"en","license":"https://www.elsevier.com/tdm/userlicense/1.0/","page":"646-650","source":"DOI.org (Crossref)","title":"Comparison of methods for kinematic identification of footstrike and toe-off during overground and treadmill running","volume":"13","author":[{"family":"Fellin","given":"Rebecca E."},{"family":"Rose","given":"William C."},{"family":"Royer","given":"Todd D."},{"family":"Davis","given":"Irene S."}],"issued":{"date-parts":[["2010",11]]}}},{"id":21,"uris":["http://zotero.org/users/17274952/items/ZFR4H3AZ"],"itemData":{"id":21,"type":"article-journal","container-title":"Gait &amp; Posture","DOI":"10.1016/j.gaitpost.2007.07.007","ISSN":"09666362","issue":"4","journalAbbreviation":"Gait &amp; Posture","language":"en","license":"https://www.elsevier.com/tdm/userlicense/1.0/","page":"710-714","source":"DOI.org (Crossref)","title":"Two simple methods for determining gait events during treadmill and overground walking using kinematic data","volume":"27","author":[{"family":"Zeni","given":"J.A."},{"family":"Richards","given":"J.G."},{"family":"Higginson","given":"J.S."}],"issued":{"date-parts":[["2008",5]]}}}],"schema":"https://github.com/citation-style-language/schema/raw/master/csl-citation.json"} </ns0:instrText>
      </ns0:r>
      <ns0:r>
        <ns0:rPr>
          <ns0:rFonts ns0:hint="default" ns0:ascii="Times New Roman" ns0:hAnsi="Times New Roman" ns0:cs="Times New Roman"/>
          <ns0:color ns0:val="auto"/>
        </ns0:rPr>
        <ns0:fldChar ns0:fldCharType="separate"/>
      </ns0:r>
      <ns0:r>
        <ns0:rPr>
          <ns0:rFonts ns0:hint="default" ns0:ascii="Times New Roman" ns0:hAnsi="Times New Roman" ns0:cs="Times New Roman"/>
          <ns0:color ns0:val="auto"/>
          <ns0:lang ns0:val="pt-BR"/>
        </ns0:rPr>
        <ns0:t>[70], [71]</ns0:t>
      </ns0:r>
      <ns0:r>
        <ns0:rPr>
          <ns0:rFonts ns0:hint="default" ns0:ascii="Times New Roman" ns0:hAnsi="Times New Roman" ns0:cs="Times New Roman"/>
          <ns0:color ns0:val="auto"/>
        </ns0:rPr>
        <ns0:fldChar ns0:fldCharType="end"/>
      </ns0:r>
      <ns0:r>
        <ns0:rPr>
          <ns0:rFonts ns0:ascii="Times New Roman" ns0:hAnsi="Times New Roman" ns0:cs="Times New Roman"/>
          <ns0:color ns0:val="auto"/>
        </ns0:rPr>
        <ns0:t>. Para mitigar de forma automatizada a perda de dados decorrente de oclusões críticas, o algoritmo incorpora salvaguardas anatômicas dinâmicas (</ns0:t>
      </ns0:r>
      <ns0:r>
        <ns0:rPr>
          <ns0:rFonts ns0:ascii="Times New Roman" ns0:hAnsi="Times New Roman" ns0:cs="Times New Roman"/>
          <ns0:i/>
          <ns0:iCs/>
          <ns0:color ns0:val="auto"/>
        </ns0:rPr>
        <ns0:t>failsafes</ns0:t>
      </ns0:r>
      <ns0:r>
        <ns0:rPr>
          <ns0:rFonts ns0:ascii="Times New Roman" ns0:hAnsi="Times New Roman" ns0:cs="Times New Roman"/>
          <ns0:color ns0:val="auto"/>
        </ns0:rPr>
        <ns0:t>). Por exemplo, na ocorrência de oclusão severa dos marcadores dos punhos durante a locomoção invertida, o sistema transita automaticamente o rastreamento e detecção do evento de toque para os marcadores dos dedos (LFIN/RFIN), os quais apresentam perfil cinemático análogo na fase de apoio, sem prejuízo ao cálculo cadencial. A matriz final de variáveis será exportada nativamente pela rotina computacional estruturada, alimentando diretamente os modelos de regressão linear e logística do delineamento estatístico proposto.</ns0:t>
      </ns0:r>
    </ns0:p>
    <ns0:p ns2:paraId="4510B0BF">
      <ns0:pPr>
        <ns0:spacing ns0:line="360" ns0:lineRule="auto"/>
        <ns0:jc ns0:val="left"/>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3.5 Análise Estatística</ns0:t>
      </ns0:r>
    </ns0:p>
    <ns0:p ns2:paraId="36A10CE7">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 análise estatística será conduzida no </ns0:t>
      </ns0:r>
      <ns0:r>
        <ns0:rPr>
          <ns0:rFonts ns0:ascii="Times New Roman" ns0:hAnsi="Times New Roman" ns0:cs="Times New Roman"/>
          <ns0:i/>
          <ns0:iCs/>
          <ns0:color ns0:val="auto"/>
        </ns0:rPr>
        <ns0:t xml:space="preserve">software </ns0:t>
      </ns0:r>
      <ns0:r>
        <ns0:rPr>
          <ns0:rFonts ns0:ascii="Times New Roman" ns0:hAnsi="Times New Roman" ns0:cs="Times New Roman"/>
          <ns0:color ns0:val="auto"/>
        </ns0:rPr>
        <ns0:t>SPSS (versão 28.0 ou superior). Inicialmente, será realizada uma análise estatística descritiva abrangente para a caracterização do perfil da amostra. A normalidade da distribuição dos dados contínuos será verificada por meio do teste de Shapiro-Wilk. As variáveis contínuas com distribuição paramétrica serão expressas em média e desvio-padrão, enquanto as variáveis não paramétricas serão apresentadas como mediana e intervalo interquartil.</ns0:t>
      </ns0:r>
    </ns0:p>
    <ns0:p ns2:paraId="10E4FBA1">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As variáveis categóricas: distribuição das modalidades esportivas praticadas e o perfil de prática  modalidade (exclusiva vs. praticantes multimodais de duas ou mais modalidades) serão empregadas com finalidade estritamente descritiva para contextualizar a heterogeneidade da amostra, sendo expressas em frequências absolutas (n) e relativas (%), sem compor os modelos de regressão.</ns0:t>
      </ns0:r>
    </ns0:p>
    <ns0:p ns2:paraId="5EEC2138">
      <ns0:pPr>
        <ns0:pStyle ns0:val="11"/>
        <ns0:spacing ns0:before="0" ns0:beforeAutospacing="0" ns0:after="0" ns0:afterAutospacing="0" ns0:line="360" ns0:lineRule="auto"/>
        <ns0:ind ns0:firstLine="708"/>
        <ns0:jc ns0:val="both"/>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Subsequentemente, para testar as hipóteses preditivas do estudo, as variáveis quantitativas serão submetidas aos modelos temáticos de regressão linear múltipla e ao modelo de regressão logística binária descritos a seguir, adotando-se um nível de significância de α=0,05. Esta abordagem permite testar hipóteses específicas com maior poder estatístico, evitando os desafios de um único grande modelo com excesso de preditores.</ns0:t>
      </ns0:r>
    </ns0:p>
    <ns0:p ns2:paraId="39C09C0C">
      <ns0:pPr>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A estruturação dos modelos preditivos fundamenta-se na transposição dos princípios de controle postural e análise da marcha bípede para as tarefas de suporte invertido, seja no equilíbrio estático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quanto a locomoção dinâmica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[45], [46]. Parte-se da premissa de que a gestão do CoM e a regulação da motora operam sob mecanismos análogos aos descritos na literatura clássica de estabilidade e marcha humana, adaptados às exigências mecânicas dos membros superiores [3], [24]. </ns0:t>
      </ns0:r>
    </ns0:p>
    <ns0:p ns2:paraId="3A550F58">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lang ns0:val="pt-BR"/>
        </ns0:rPr>
      </ns0:pPr>
      <ns0:r>
        <ns0:rPr>
          <ns0:rFonts ns0:ascii="Times New Roman" ns0:hAnsi="Times New Roman" ns0:cs="Times New Roman"/>
          <ns0:color ns0:val="auto"/>
        </ns0:rPr>
        <ns0:t xml:space="preserve">Referente à análise cinemática da técnica, são avaliados dois indicadores tridimensionais complementares: o índice de verticalidade e o ângulo de extensão cervical. O índice de verticalidade será definido pelo alinhamento entre ombro e quadril, buscando a proximidade com o ângulo de 180°. Esta variável quantifica a eficiência mecânica do alinhamento articular como fator determinante ou não para a redução do torque muscular necessário ao equilíbrio. O ângulo de extensão cervical será analisado de forma independente, visto que a posição da cabeça exerce uma influência dupla no desempenho: mecânica, através do deslocamento de massa que pode induzir compensações na curvatura lombar; e sensorial, por determinar o campo visual e a orientação do sistema vestibular [13],[25],[42]. Esta separação permite identificar se eventuais desvios na verticalidade são estratégias deliberadas para otimização do feedback visual ou falhas na organização segmentar do tronco e membros. Ressalta-se que a articulação do punho não foi incluída no cálculo do índice de verticalidade porque atua em ~70° a 90° como a base de apoio que gera torques de correção no solo, função que já é avaliada pela plataforma de força e pelo dinamômetro isocinético </ns0:t>
      </ns0:r>
      <ns0:r>
        <ns0:rPr>
          <ns0:rFonts ns0:hint="default" ns0:ascii="Times New Roman" ns0:hAnsi="Times New Roman" ns0:cs="Times New Roman"/>
          <ns0:color ns0:val="auto"/>
          <ns0:lang ns0:val="pt-BR"/>
        </ns0:rPr>
        <ns0:fldChar ns0:fldCharType="begin"/>
      </ns0:r>
      <ns0:r>
        <ns0:rPr>
          <ns0:rFonts ns0:hint="default" ns0:ascii="Times New Roman" ns0:hAnsi="Times New Roman" ns0:cs="Times New Roman"/>
          <ns0:color ns0:val="auto"/>
          <ns0:lang ns0:val="pt-BR"/>
        </ns0:rPr>
        <ns0:instrText xml:space="preserve"> ADDIN ZOTERO_ITEM CSL_CITATION {"citationID":"Nzewntlg","properties":{"unsorted":false,"formattedCitation":"[3]","plainCitation":"[3]","noteIndex":0},"citationItems":[{"id":336,"uris":["http://zotero.org/users/17274952/items/P82NI7IB"],"itemData":{"id":336,"type":"article-journal","abstract":"KERWIN, D. G., and G. TREWARTHA. Strategies for maintaining a handstand in the anterior-posterior direction. Med. Sci. Sports Exerc., Vol. 33, No. 7, 2001, pp. 1182–1188. Purpose: The purpose of this analysis was to determine the contributions made by wrist, shoulder, and hip joint torques in maintaining a handstand. Methods: Handstand balances (N 5 6) executed on a force plate and recorded with two genlocked video cameras were subjected to inverse dynamics analysis to determine anterior-posterior joint torques at the wrists, shoulders, and hips. Multiple regression analyses were conducted to investigate which of the joint torques were influential in accounting for anterior-posterior whole-body mass center (CM) movement. Results: Results demonstrated that, in general, all calculated joint torques contributed to CM movement. In a number of trials, wrist torque played a dominant role in accounting for CM variance. Ostensibly, superior handstand balances are characterized by important contributions from wrist torques and shoulder torques with little influence from hip torques. In contrast, hip torques were found to be increasingly influential in less successful balances. Conclusions: It is concluded that multiple joints are utilized in maintaining a handstand balance in the anterior-posterior direction, and there appears to be two joint involvement strategies, which supports similar findings from postural research on normal upright stance.","container-title":"Medicine &amp; Science in Sports &amp; Exercise","DOI":"10.1097/00005768-200107000-00016","ISSN":"0195-9131","issue":"7","journalAbbreviation":"Medicine &amp; Science in Sports &amp; Exercise","language":"en","page":"1182-1188","source":"DOI.org (Crossref)","title":"Strategies for maintaining a handstand in the anterior-posterior direction:","title-short":"Strategies for maintaining a handstand in the anterior-posterior direction","volume":"33","author":[{"family":"Kerwin","given":"David G."},{"family":"Trewartha","given":"Grant"}],"issued":{"date-parts":[["2001",7]]}}}],"schema":"https://github.com/citation-style-language/schema/raw/master/csl-citation.json"} </ns0:instrText>
      </ns0:r>
      <ns0:r>
        <ns0:rPr>
          <ns0:rFonts ns0:hint="default" ns0:ascii="Times New Roman" ns0:hAnsi="Times New Roman" ns0:cs="Times New Roman"/>
          <ns0:color ns0:val="auto"/>
          <ns0:lang ns0:val="pt-BR"/>
        </ns0:rPr>
        <ns0:fldChar ns0:fldCharType="separate"/>
      </ns0:r>
      <ns0:r>
        <ns0:rPr>
          <ns0:rFonts ns0:hint="default" ns0:ascii="Times New Roman" ns0:hAnsi="Times New Roman" ns0:cs="Times New Roman"/>
          <ns0:color ns0:val="auto"/>
          <ns0:lang ns0:val="pt-BR"/>
        </ns0:rPr>
        <ns0:t>[3]</ns0:t>
      </ns0:r>
      <ns0:r>
        <ns0:rPr>
          <ns0:rFonts ns0:hint="default" ns0:ascii="Times New Roman" ns0:hAnsi="Times New Roman" ns0:cs="Times New Roman"/>
          <ns0:color ns0:val="auto"/>
          <ns0:lang ns0:val="pt-BR"/>
        </ns0:rPr>
        <ns0:fldChar ns0:fldCharType="end"/>
      </ns0:r>
      <ns0:r>
        <ns0:rPr>
          <ns0:rFonts ns0:ascii="Times New Roman" ns0:hAnsi="Times New Roman" ns0:cs="Times New Roman"/>
          <ns0:color ns0:val="auto"/>
        </ns0:rPr>
        <ns0:t xml:space="preserve">. Além disso, a flexão plantar do tornozelo ('ponta de pé') será extraída a partir dos marcadores dos pés do protocolo </ns0:t>
      </ns0:r>
      <ns0:r>
        <ns0:rPr>
          <ns0:rFonts ns0:ascii="Times New Roman" ns0:hAnsi="Times New Roman" ns0:cs="Times New Roman"/>
          <ns0:i/>
          <ns0:iCs/>
          <ns0:color ns0:val="auto"/>
        </ns0:rPr>
        <ns0:t xml:space="preserve">Plug-in Gait </ns0:t>
      </ns0:r>
      <ns0:r>
        <ns0:rPr>
          <ns0:rFonts ns0:hint="default" ns0:ascii="Times New Roman" ns0:hAnsi="Times New Roman" ns0:cs="Times New Roman"/>
          <ns0:i/>
          <ns0:iCs/>
          <ns0:color ns0:val="auto"/>
        </ns0:rPr>
        <ns0:fldChar ns0:fldCharType="begin"/>
      </ns0:r>
      <ns0:r>
        <ns0:rPr>
          <ns0:rFonts ns0:hint="default" ns0:ascii="Times New Roman" ns0:hAnsi="Times New Roman" ns0:cs="Times New Roman"/>
          <ns0:i/>
          <ns0:iCs/>
          <ns0:color ns0:val="auto"/>
          <ns0:lang ns0:val="pt-BR"/>
        </ns0:rPr>
        <ns0:instrText xml:space="preserve"> ADDIN ZOTERO_ITEM CSL_CITATION {"citationID":"hQAg8Mig","properties":{"unsorted":false,"formattedCitation":"[61]","plainCitation":"[61]","noteIndex":0},"citationItems":[{"id":19,"uris":["http://zotero.org/users/17274952/items/9YDQ4XD5"],"itemData":{"id":19,"type":"article-journal","container-title":"Human Movement Science","DOI":"10.1016/0167-9457(91)90046-Z","ISSN":"01679457","issue":"5","journalAbbreviation":"Human Movement Science","language":"en","license":"https://www.elsevier.com/tdm/userlicense/1.0/","page":"575-587","source":"DOI.org (Crossref)","title":"A gait analysis data collection and reduction technique","volume":"10","author":[{"family":"Davis","given":"Roy B."},{"family":"Õunpuu","given":"Sylvia"},{"family":"Tyburski","given":"Dennis"},{"family":"Gage","given":"James R."}],"issued":{"date-parts":[["1991",10]]}}}],"schema":"https://github.com/citation-style-language/schema/raw/master/csl-citation.json"} </ns0:instrText>
      </ns0:r>
      <ns0:r>
        <ns0:rPr>
          <ns0:rFonts ns0:hint="default" ns0:ascii="Times New Roman" ns0:hAnsi="Times New Roman" ns0:cs="Times New Roman"/>
          <ns0:i/>
          <ns0:iCs/>
          <ns0:color ns0:val="auto"/>
        </ns0:rPr>
        <ns0:fldChar ns0:fldCharType="separate"/>
      </ns0:r>
      <ns0:r>
        <ns0:rPr>
          <ns0:rFonts ns0:hint="default" ns0:ascii="Times New Roman" ns0:hAnsi="Times New Roman" ns0:cs="Times New Roman"/>
          <ns0:i/>
          <ns0:iCs/>
          <ns0:color ns0:val="auto"/>
          <ns0:lang ns0:val="pt-BR"/>
        </ns0:rPr>
        <ns0:t>[61]</ns0:t>
      </ns0:r>
      <ns0:r>
        <ns0:rPr>
          <ns0:rFonts ns0:hint="default" ns0:ascii="Times New Roman" ns0:hAnsi="Times New Roman" ns0:cs="Times New Roman"/>
          <ns0:i/>
          <ns0:iCs/>
          <ns0:color ns0:val="auto"/>
        </ns0:rPr>
        <ns0:fldChar ns0:fldCharType="end"/>
      </ns0:r>
      <ns0:r>
        <ns0:rPr>
          <ns0:rFonts ns0:ascii="Times New Roman" ns0:hAnsi="Times New Roman" ns0:cs="Times New Roman"/>
          <ns0:color ns0:val="auto"/>
        </ns0:rPr>
        <ns0:t xml:space="preserve">, permitindo avaliar se a rigidez da cadeia dos membros inferiores contribui para a estabilidade na postura invertida </ns0:t>
      </ns0:r>
      <ns0:r>
        <ns0:rPr>
          <ns0:rFonts ns0:hint="default" ns0:ascii="Times New Roman" ns0:hAnsi="Times New Roman" ns0:cs="Times New Roman"/>
          <ns0:color ns0:val="auto"/>
          <ns0:lang ns0:val="pt-BR"/>
        </ns0:rPr>
        <ns0:fldChar ns0:fldCharType="begin"/>
      </ns0:r>
      <ns0:r>
        <ns0:rPr>
          <ns0:rFonts ns0:hint="default" ns0:ascii="Times New Roman" ns0:hAnsi="Times New Roman" ns0:cs="Times New Roman"/>
          <ns0:color ns0:val="auto"/>
          <ns0:lang ns0:val="pt-BR"/>
        </ns0:rPr>
        <ns0:instrText xml:space="preserve"> ADDIN ZOTERO_ITEM CSL_CITATION {"citationID":"Zt1YKou9","properties":{"unsorted":false,"formattedCitation":"[28], [31]","plainCitation":"[28], [31]","noteIndex":0},"citationItems":[{"id":46,"uris":["http://zotero.org/users/17274952/items/J9KKGBUR"],"itemData":{"id":46,"type":"article-journal","abstract":"The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id":444,"uris":["http://zotero.org/users/17274952/items/2IPKX4GW"],"itemData":{"id":444,"type":"book","DOI":"10.4324/9781315203805","edition":"2","ISBN":"978-1-315-20380-5","language":"en","publisher":"Routledge","source":"DOI.org (Crossref)","title":"The Science of Gymnastics: Advanced Concepts","title-short":"The Science of Gymnastics","URL":"https://www.taylorfrancis.com/books/9781351789127","editor":[{"family":"Jemni","given":"Monèm"}],"accessed":{"date-parts":[["2026",9,1]]},"issued":{"date-parts":[["2017",12,22]]}}}],"schema":"https://github.com/citation-style-language/schema/raw/master/csl-citation.json"} </ns0:instrText>
      </ns0:r>
      <ns0:r>
        <ns0:rPr>
          <ns0:rFonts ns0:hint="default" ns0:ascii="Times New Roman" ns0:hAnsi="Times New Roman" ns0:cs="Times New Roman"/>
          <ns0:color ns0:val="auto"/>
          <ns0:lang ns0:val="pt-BR"/>
        </ns0:rPr>
        <ns0:fldChar ns0:fldCharType="separate"/>
      </ns0:r>
      <ns0:r>
        <ns0:rPr>
          <ns0:rFonts ns0:hint="default" ns0:ascii="Times New Roman" ns0:hAnsi="Times New Roman" ns0:cs="Times New Roman"/>
          <ns0:color ns0:val="auto"/>
          <ns0:lang ns0:val="pt-BR"/>
        </ns0:rPr>
        <ns0:t>[28], [31]</ns0:t>
      </ns0:r>
      <ns0:r>
        <ns0:rPr>
          <ns0:rFonts ns0:hint="default" ns0:ascii="Times New Roman" ns0:hAnsi="Times New Roman" ns0:cs="Times New Roman"/>
          <ns0:color ns0:val="auto"/>
          <ns0:lang ns0:val="pt-BR"/>
        </ns0:rPr>
        <ns0:fldChar ns0:fldCharType="end"/>
      </ns0:r>
      <ns0:r>
        <ns0:rPr>
          <ns0:rFonts ns0:ascii="Times New Roman" ns0:hAnsi="Times New Roman" ns0:cs="Times New Roman"/>
          <ns0:color ns0:val="auto"/>
        </ns0:rPr>
        <ns0:t>.</ns0:t>
      </ns0:r>
    </ns0:p>
    <ns0:p ns2:paraId="648B149D">
      <ns0:pPr>
        <ns0:pStyle ns0:val="11"/>
        <ns0:spacing ns0:before="0" ns0:beforeAutospacing="0" ns0:after="0" ns0:afterAutospacing="0" ns0:line="360" ns0:lineRule="auto"/>
        <ns0:jc ns0:val="both"/>
        <ns0:rPr>
          <ns0:rFonts ns0:hint="default" ns0:ascii="Times New Roman" ns0:hAnsi="Times New Roman" ns0:cs="Times New Roman"/>
          <ns0:color ns0:val="auto"/>
          <ns0:lang ns0:val="pt-BR"/>
        </ns0:rPr>
      </ns0:pPr>
      <ns0:r>
        <ns0:rPr>
          <ns0:rFonts ns0:ascii="Times New Roman" ns0:hAnsi="Times New Roman" ns0:cs="Times New Roman"/>
          <ns0:color ns0:val="auto"/>
        </ns0:rPr>
        <ns0:t xml:space="preserve">3.5.1 Modelos Preditivos para o </ns0:t>
      </ns0:r>
      <ns0:r>
        <ns0:rPr>
          <ns0:rFonts ns0:ascii="Times New Roman" ns0:hAnsi="Times New Roman" ns0:cs="Times New Roman"/>
          <ns0:i/>
          <ns0:iCs/>
          <ns0:color ns0:val="auto"/>
        </ns0:rPr>
        <ns0:t>HS</ns0:t>
      </ns0:r>
    </ns0:p>
    <ns0:p ns2:paraId="7B83C27E">
      <ns0:pPr>
        <ns0:suppressAutoHyphens ns0:val="0"/>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Para a análise de manutenção do equilíbrio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os modelos preditivos 1 a 5 utilizarão como variável dependente o melhor tempo de sustentação extraído exclusivamente do bloco de tentativas com entrada assistida. Esta decisão metodológica tem o propósito de isolar o controle postural da habilidade coordenativa de ascensão (</ns0:t>
      </ns0:r>
      <ns0:r>
        <ns0:rPr>
          <ns0:rFonts ns0:ascii="Times New Roman" ns0:hAnsi="Times New Roman" ns0:cs="Times New Roman"/>
          <ns0:i/>
          <ns0:iCs/>
          <ns0:color ns0:val="auto"/>
        </ns0:rPr>
        <ns0:t>kick-up</ns0:t>
      </ns0:r>
      <ns0:r>
        <ns0:rPr>
          <ns0:rFonts ns0:ascii="Times New Roman" ns0:hAnsi="Times New Roman" ns0:cs="Times New Roman"/>
          <ns0:color ns0:val="auto"/>
        </ns0:rPr>
        <ns0:t xml:space="preserve">) e busca autonoma pelo equilíbrio. A habilidade de ascensão exige uma coordenação sensório-motora distinta da mera manutenção do equilíbrio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{"citationID":"8veXqB6P","properties":{"unsorted":false,"formattedCitation":"[31]","plainCitation":"[31]","noteIndex":0},"citationItems":[{"id":46,"uris":["http://zotero.org/users/17274952/items/J9KKGBUR"],"itemData":{"id":46,"type":"article-journal","abstract":"The aim of this study was to increase our understanding of postural regulation by analysing an arbitrary posture – the handstand. We assessed the relative inﬂuence of peripheral vision and central visual anchoring on the postural balance of gymnasts in the inverted-stand posture. Displacements of the centre of pressure, the angles between the body segments, and the gymnast’s height in the handstand were analysed. Postural regulation in the handstand appeared to be organized according to a system similar to that in erect posture, with three articular levels suggesting the existence of a typical organization of human posture. Moreover, both intra-modal (central and peripheral vision) and inter-modal sensory systems (vision and other balance systems) contributed to the postural regulation. The results are interpreted in terms of an ecological approach to posture in which postural regulation can be considered as an emergent phenomenon.","container-title":"Journal of Sports Sciences","DOI":"10.1080/02640410601049144","ISSN":"0264-0414, 1466-447X","issue":"11","journalAbbreviation":"Journal of Sports Sciences","language":"en","page":"1271-1278","source":"DOI.org (Crossref)","title":"Visual and postural control of an arbitrary posture: The handstand","title-short":"Visual and postural control of an arbitrary posture","volume":"25","author":[{"family":"Gautier","given":"G."},{"family":"Thouvarecq","given":"R."},{"family":"Chollet","given":"D."}],"issued":{"date-parts":[["2007",9]]}}}],"schema":"https://github.com/citation-style-language/schema/raw/master/csl-citation.json"}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lang ns0:val="pt-BR"/>
        </ns0:rPr>
        <ns0:t>[31]</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xml:space="preserve">, sendo caracterizada pela necessidade de gerar momento angular suficiente para elevar o CoM, freando-o precisamente no ponto de instabilidade vertical </ns0:t>
      </ns0:r>
      <ns0:r>
        <ns0:rPr>
          <ns0:rFonts ns0:hint="default" ns0:ascii="Times New Roman" ns0:hAnsi="Times New Roman" ns0:eastAsia="Times New Roman" ns0:cs="Times New Roman"/>
          <ns0:color ns0:val="auto"/>
        </ns0:rPr>
        <ns0:fldChar ns0:fldCharType="begin"/>
      </ns0:r>
      <ns0:r>
        <ns0:rPr>
          <ns0:rFonts ns0:hint="default" ns0:ascii="Times New Roman" ns0:hAnsi="Times New Roman" ns0:eastAsia="Times New Roman" ns0:cs="Times New Roman"/>
          <ns0:color ns0:val="auto"/>
          <ns0:lang ns0:val="pt-BR"/>
        </ns0:rPr>
        <ns0:instrText xml:space="preserve"> ADDIN ZOTERO_ITEM CSL_CITATION {"citationID":"AX6y9Mv6","properties":{"unsorted":false,"formattedCitation":"[2], [23]","plainCitation":"[2], [23]","noteIndex":0},"citationItems":[{"id":327,"uris":["http://zotero.org/users/17274952/items/7HMEIQK4"],"itemData":{"id":327,"type":"article-journal","abstract":"Despite well-accepted knowledge concerning the importance of the wrists’ contributions in handstand balances, common handstand coaching strategies prioritise developing the required aligned and aesthetic body shape. Thus, this study investigated the effects of a sole postural training on the maintenance compared to the execution quality in handstands in young competitive gymnasts. Therefore, twenty-two participants (13 females, aged: 8.54 ± 1.56 years; 9 males, aged: 8.67 ± 0.87 years) were randomly assigned into two counterbalanced groups, GPT (guided postural training) and CON (control), each n = 11. Within one week, GPT received four standardised training sessions (T1, T2, T3 and T4) including verbal and tactile advices addressing a straight body posture. Prior to T1 (pre-test), after T2 (mid-test) and after T4 (post-test), all participants (GPT and CON) were asked to perform five handstands where handstand executions were assessed by four gymnastics judges based on standardised video recordings which also captured the balance time. There were no group-related changes in balance time (p &gt; .05); however, following T2, results revealed a positive impact of GPT on postural execution (p &lt; .05). With respect to the importance of forearm activity in handstand performances, further research is needed approaching wrist-related advice in handstand acquisition.","container-title":"International Journal of Performance Analysis in Sport","DOI":"10.1080/24748668.2018.1440459","ISSN":"2474-8668, 1474-8185","issue":"1","journalAbbreviation":"International Journal of Performance Analysis in Sport","language":"en","page":"17-31","source":"DOI.org (Crossref)","title":"Performance control in handstands: challenging entrenched coaching strategies for young gymnasts","title-short":"Performance control in handstands","volume":"18","author":[{"family":"Rohleder","given":"Jonas"},{"family":"Vogt","given":"Tobias"}],"issued":{"date-parts":[["2018",1,2]]}}},{"id":344,"uris":["http://zotero.org/users/17274952/items/IA4SHZ82"],"itemData":{"id":344,"type":"article-journal","abstract":"Background: The initiation in human locomotion is defined as the transition between upright stance and steadystate gait. While past literature abundantly investigated the initiation in bipedal gait, the initiation of handstand walking remains unexplored.","container-title":"Gait &amp; Posture","DOI":"10.1016/j.gaitpost.2021.03.036","ISSN":"09666362","journalAbbreviation":"Gait &amp; Posture","language":"en","page":"311-318","source":"DOI.org (Crossref)","title":"Biomechanical characteristics of handstand walking initiation","volume":"86","author":[{"family":"Grabowiecki","given":"Michal"},{"family":"Rum","given":"Lorenzo"},{"family":"Laudani","given":"Luca"},{"family":"Vannozzi","given":"Giuseppe"}],"issued":{"date-parts":[["2021",5]]}}}],"schema":"https://github.com/citation-style-language/schema/raw/master/csl-citation.json"} </ns0:instrText>
      </ns0:r>
      <ns0:r>
        <ns0:rPr>
          <ns0:rFonts ns0:hint="default" ns0:ascii="Times New Roman" ns0:hAnsi="Times New Roman" ns0:eastAsia="Times New Roman" ns0:cs="Times New Roman"/>
          <ns0:color ns0:val="auto"/>
        </ns0:rPr>
        <ns0:fldChar ns0:fldCharType="separate"/>
      </ns0:r>
      <ns0:r>
        <ns0:rPr>
          <ns0:rFonts ns0:hint="default" ns0:ascii="Times New Roman" ns0:hAnsi="Times New Roman" ns0:cs="Times New Roman"/>
          <ns0:color ns0:val="auto"/>
        </ns0:rPr>
        <ns0:t>[2], [23]</ns0:t>
      </ns0:r>
      <ns0:r>
        <ns0:rPr>
          <ns0:rFonts ns0:hint="default" ns0:ascii="Times New Roman" ns0:hAnsi="Times New Roman" ns0:eastAsia="Times New Roman" ns0:cs="Times New Roman"/>
          <ns0:color ns0:val="auto"/>
        </ns0:rPr>
        <ns0:fldChar ns0:fldCharType="end"/>
      </ns0:r>
      <ns0:r>
        <ns0:rPr>
          <ns0:rFonts ns0:ascii="Times New Roman" ns0:hAnsi="Times New Roman" ns0:cs="Times New Roman"/>
          <ns0:color ns0:val="auto"/>
        </ns0:rPr>
        <ns0:t>. Por sua vez, a autonomia na ascensão e os fatores determinantes para o êxito nas tentativas de entrada livre serão analisados de forma isolada em um modelo estatístico dedicado.</ns0:t>
      </ns0:r>
    </ns0:p>
    <ns0:p ns2:paraId="7F938BCE">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Assim sendo, para o melhor tempo de sustentação (s)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como variável dependente, serão testados os modelos abaixo:</ns0:t>
      </ns0:r>
    </ns0:p>
    <ns0:p ns2:paraId="736D671E">
      <ns0:pPr>
        <ns0:pStyle ns0:val="5"/>
        <ns0:spacing ns0:before="0" ns0:line="360" ns0:lineRule="auto"/>
        <ns0:rPr>
          <ns0:rFonts ns0:hint="default" ns0:ascii="Times New Roman" ns0:hAnsi="Times New Roman" ns0:eastAsia="Times New Roman" ns0:cs="Times New Roman"/>
          <ns0:b/>
          <ns0:bCs/>
          <ns0:i ns0:val="0"/>
          <ns0:iCs ns0:val="0"/>
          <ns0:color ns0:val="auto"/>
          <ns0:u ns0:val="single"/>
        </ns0:rPr>
      </ns0:pPr>
      <ns0:r>
        <ns0:rPr>
          <ns0:rFonts ns0:ascii="Times New Roman" ns0:hAnsi="Times New Roman" ns0:cs="Times New Roman"/>
          <ns0:b/>
          <ns0:bCs/>
          <ns0:i ns0:val="0"/>
          <ns0:iCs ns0:val="0"/>
          <ns0:color ns0:val="auto"/>
        </ns0:rPr>
        <ns0:t xml:space="preserve">Modelo 1: Capacidade Física </ns0:t>
      </ns0:r>
    </ns0:p>
    <ns0:p ns2:paraId="4719D92B">
      <ns0:pPr>
        <ns0:pStyle ns0:val="11"/>
        <ns0:spacing ns0:before="0" ns0:beforeAutospacing="0" ns0:after="0" ns0:afterAutospacing="0" ns0:line="360" ns0:lineRule="auto"/>
        <ns0:ind ns0:firstLine="708"/>
        <ns0:rPr>
          <ns0:rFonts ns0:hint="default" ns0:ascii="Times New Roman" ns0:hAnsi="Times New Roman" ns0:cs="Times New Roman"/>
          <ns0:color ns0:val="auto"/>
        </ns0:rPr>
      </ns0:pPr>
      <ns0:r>
        <ns0:rPr>
          <ns0:rFonts ns0:ascii="Times New Roman" ns0:hAnsi="Times New Roman" ns0:cs="Times New Roman"/>
          <ns0:color ns0:val="auto"/>
        </ns0:rPr>
        <ns0:t xml:space="preserve">Avalia a contribuição da força máxima e da resistência muscular específica sobre a capacidade de gerar torques articulares de sustentação e correção postural contínua. </ns0:t>
      </ns0:r>
    </ns0:p>
    <ns0:p ns2:paraId="45AD166B">
      <ns0:pPr>
        <ns0:pStyle ns0:val="11"/>
        <ns0:spacing ns0:before="0" ns0:beforeAutospacing="0" ns0:after="0" ns0:afterAutospacing="0" ns0:line="360" ns0:lineRule="auto"/>
        <ns0:ind ns0:firstLine="708"/>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1C41F1DF">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Força relativa no </ns0:t>
      </ns0:r>
      <ns0:r>
        <ns0:rPr>
          <ns0:rFonts ns0:ascii="Times New Roman" ns0:hAnsi="Times New Roman" ns0:cs="Times New Roman"/>
          <ns0:i/>
          <ns0:iCs/>
          <ns0:color ns0:val="auto"/>
        </ns0:rPr>
        <ns0:t>SP</ns0:t>
      </ns0:r>
      <ns0:r>
        <ns0:rPr>
          <ns0:rFonts ns0:ascii="Times New Roman" ns0:hAnsi="Times New Roman" ns0:cs="Times New Roman"/>
          <ns0:color ns0:val="auto"/>
        </ns0:rPr>
        <ns0:t xml:space="preserve"> (1-RM / massa corporal).</ns0:t>
      </ns0:r>
    </ns0:p>
    <ns0:p ns2:paraId="28E8BA2D">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Resistência em </ns0:t>
      </ns0:r>
      <ns0:r>
        <ns0:rPr>
          <ns0:rFonts ns0:ascii="Times New Roman" ns0:hAnsi="Times New Roman" ns0:cs="Times New Roman"/>
          <ns0:i/>
          <ns0:iCs/>
          <ns0:color ns0:val="auto"/>
        </ns0:rPr>
        <ns0:t>wall-supported HS</ns0:t>
      </ns0:r>
      <ns0:r>
        <ns0:rPr>
          <ns0:rFonts ns0:ascii="Times New Roman" ns0:hAnsi="Times New Roman" ns0:cs="Times New Roman"/>
          <ns0:color ns0:val="auto"/>
        </ns0:rPr>
        <ns0:t xml:space="preserve"> (segundos).</ns0:t>
      </ns0:r>
    </ns0:p>
    <ns0:p ns2:paraId="05838490">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Média bilateral do pico de torque dos flexores de punho relativo (N·m/kg)</ns0:t>
      </ns0:r>
    </ns0:p>
    <ns0:p ns2:paraId="033B12BD">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Média bilateral da força de preensão manual relativa (kgf/kg).</ns0:t>
      </ns0:r>
    </ns0:p>
    <ns0:p ns2:paraId="2326A4CA">
      <ns0:pPr>
        <ns0:pStyle ns0:val="5"/>
        <ns0:spacing ns0:before="0" ns0:line="360" ns0:lineRule="auto"/>
        <ns0:rPr>
          <ns0:rFonts ns0:hint="default" ns0:ascii="Times New Roman" ns0:hAnsi="Times New Roman" ns0:cs="Times New Roman"/>
          <ns0:b/>
          <ns0:bCs/>
          <ns0:i ns0:val="0"/>
          <ns0:iCs ns0:val="0"/>
          <ns0:color ns0:val="auto"/>
          <ns0:u ns0:val="single"/>
        </ns0:rPr>
      </ns0:pPr>
      <ns0:r>
        <ns0:rPr>
          <ns0:rFonts ns0:ascii="Times New Roman" ns0:hAnsi="Times New Roman" ns0:cs="Times New Roman"/>
          <ns0:b/>
          <ns0:bCs/>
          <ns0:i ns0:val="0"/>
          <ns0:iCs ns0:val="0"/>
          <ns0:color ns0:val="auto"/>
        </ns0:rPr>
        <ns0:t xml:space="preserve">Modelo 2: Eficiência do Controle Postural </ns0:t>
      </ns0:r>
    </ns0:p>
    <ns0:p ns2:paraId="4513D0C4">
      <ns0:pPr>
        <ns0:pStyle ns0:val="11"/>
        <ns0:spacing ns0:before="0" ns0:beforeAutospacing="0" ns0:after="0" ns0:afterAutospacing="0" ns0:line="360" ns0:lineRule="auto"/>
        <ns0:ind ns0:firstLine="708" ns0:firstLineChars="0"/>
        <ns0:rPr>
          <ns0:rFonts ns0:hint="default" ns0:ascii="Times New Roman" ns0:hAnsi="Times New Roman" ns0:eastAsia="SimSun" ns0:cs="Times New Roman"/>
          <ns0:color ns0:val="auto"/>
          <ns0:sz ns0:val="24"/>
          <ns0:szCs ns0:val="24"/>
          <ns0:lang ns0:val="pt-BR"/>
        </ns0:rPr>
      </ns0:pPr>
      <ns0:r>
        <ns0:rPr>
          <ns0:rFonts ns0:ascii="Times New Roman" ns0:hAnsi="Times New Roman" ns0:cs="Times New Roman"/>
          <ns0:color ns0:val="auto"/>
        </ns0:rPr>
        <ns0:t>Avalia a precisão e a qualidade das correções neuromusculares na base de sustentação frente ao erro real do pêndulo invertido.</ns0:t>
      </ns0:r>
    </ns0:p>
    <ns0:p ns2:paraId="5865D9B6">
      <ns0:pPr>
        <ns0:pStyle ns0:val="11"/>
        <ns0:spacing ns0:before="0" ns0:beforeAutospacing="0" ns0:after="0" ns0:afterAutospacing="0" ns0:line="360" ns0:lineRule="auto"/>
        <ns0:ind ns0:left="72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565E00E8">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Distância média CoP-CoM (milímetros).</ns0:t>
      </ns0:r>
    </ns0:p>
    <ns0:p ns2:paraId="151835B3">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Velocidade média do CoP (milímetros/segundo)</ns0:t>
      </ns0:r>
    </ns0:p>
    <ns0:p ns2:paraId="6F55A815">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Entropia Aproximada (unidades arbitrárias).</ns0:t>
      </ns0:r>
    </ns0:p>
    <ns0:p ns2:paraId="14274E51">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3: Técnica</ns0:t>
      </ns0:r>
    </ns0:p>
    <ns0:p ns2:paraId="37BFFD7B">
      <ns0:pPr>
        <ns0:pStyle ns0:val="11"/>
        <ns0:spacing ns0:before="0" ns0:beforeAutospacing="0" ns0:after="0" ns0:afterAutospacing="0" ns0:line="360" ns0:lineRule="auto"/>
        <ns0:ind ns0:firstLine="708"/>
        <ns0:rPr>
          <ns0:rFonts ns0:hint="default" ns0:ascii="Times New Roman" ns0:hAnsi="Times New Roman" ns0:cs="Times New Roman"/>
          <ns0:color ns0:val="auto"/>
          <ns0:lang ns0:val="pt-BR"/>
        </ns0:rPr>
      </ns0:pPr>
      <ns0:r>
        <ns0:rPr>
          <ns0:rFonts ns0:ascii="Times New Roman" ns0:hAnsi="Times New Roman" ns0:cs="Times New Roman"/>
          <ns0:color ns0:val="auto"/>
        </ns0:rPr>
        <ns0:t>Testa como a conformação segmentar e a geometria da base de apoio influenciam a estabilidade e a economia mecânica da postura.</ns0:t>
      </ns0:r>
    </ns0:p>
    <ns0:p ns2:paraId="30763D09">
      <ns0:pPr>
        <ns0:pStyle ns0:val="11"/>
        <ns0:spacing ns0:before="0" ns0:beforeAutospacing="0" ns0:after="0" ns0:afterAutospacing="0" ns0:line="360" ns0:lineRule="auto"/>
        <ns0:ind ns0:left="72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431041E2">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Índice de verticalidade: alinhamento segmentar entre ombro e quadril (graus).</ns0:t>
      </ns0:r>
    </ns0:p>
    <ns0:p ns2:paraId="61BC5D1B">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Ângulo de Extensão Cervical (graus).</ns0:t>
      </ns0:r>
    </ns0:p>
    <ns0:p ns2:paraId="401A1899">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b ns0:val="0"/>
          <ns0:bCs ns0:val="0"/>
          <ns0:color ns0:val="auto"/>
          <ns0:sz ns0:val="24"/>
          <ns0:szCs ns0:val="24"/>
        </ns0:rPr>
      </ns0:pPr>
      <ns0:r>
        <ns0:rPr>
          <ns0:rFonts ns0:ascii="Times New Roman" ns0:hAnsi="Times New Roman" ns0:cs="Times New Roman"/>
          <ns0:i/>
          <ns0:iCs/>
          <ns0:color ns0:val="auto"/>
        </ns0:rPr>
        <ns0:t>Ângulo de flexão plantar do tornozelo (graus)</ns0:t>
      </ns0:r>
    </ns0:p>
    <ns0:p ns2:paraId="124CC521">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Largura da base de apoio (milímetros).</ns0:t>
      </ns0:r>
    </ns0:p>
    <ns0:p ns2:paraId="2633412E">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Orientação angular das mãos (graus).</ns0:t>
      </ns0:r>
    </ns0:p>
    <ns0:p ns2:paraId="6497150B">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4: Fatores Antropométricos</ns0:t>
      </ns0:r>
    </ns0:p>
    <ns0:p ns2:paraId="4B647757">
      <ns0:pPr>
        <ns0:pStyle ns0:val="11"/>
        <ns0:spacing ns0:before="0" ns0:beforeAutospacing="0" ns0:after="0" ns0:afterAutospacing="0" ns0:line="360" ns0:lineRule="auto"/>
        <ns0:ind ns0:firstLine="708" ns0:firstLineChars="0"/>
        <ns0:rPr>
          <ns0:rFonts ns0:hint="default" ns0:ascii="Times New Roman" ns0:hAnsi="Times New Roman" ns0:eastAsia="SimSun" ns0:cs="Times New Roman"/>
          <ns0:color ns0:val="auto"/>
          <ns0:sz ns0:val="24"/>
          <ns0:szCs ns0:val="24"/>
        </ns0:rPr>
      </ns0:pPr>
      <ns0:r>
        <ns0:rPr>
          <ns0:rFonts ns0:ascii="Times New Roman" ns0:hAnsi="Times New Roman" ns0:cs="Times New Roman"/>
          <ns0:color ns0:val="auto"/>
        </ns0:rPr>
        <ns0:t>Investiga como o comprimento das alavancas ósseas e a distribuição de massa inerte vs. ativa modulam as demandas de torque estabilizador.</ns0:t>
      </ns0:r>
    </ns0:p>
    <ns0:p ns2:paraId="483D2E77">
      <ns0:pPr>
        <ns0:pStyle ns0:val="11"/>
        <ns0:spacing ns0:before="0" ns0:beforeAutospacing="0" ns0:after="0" ns0:afterAutospacing="0" ns0:line="360" ns0:lineRule="auto"/>
        <ns0:ind ns0:firstLine="708" ns0:firstLineChars="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6E2C552F">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Altura do CoM (milímetros).</ns0:t>
      </ns0:r>
    </ns0:p>
    <ns0:p ns2:paraId="35CCD0A1">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Comprimento dos braços (milímetros).</ns0:t>
      </ns0:r>
    </ns0:p>
    <ns0:p ns2:paraId="0D6C8157">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Quantidade de gordura corporal (percentual).</ns0:t>
      </ns0:r>
    </ns0:p>
    <ns0:p ns2:paraId="06EF2A88">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p>
    <ns0:p ns2:paraId="2839BF4C">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5: Perfil e Experiência</ns0:t>
      </ns0:r>
    </ns0:p>
    <ns0:p ns2:paraId="5AB8D5A5">
      <ns0:pPr>
        <ns0:pStyle ns0:val="11"/>
        <ns0:spacing ns0:before="0" ns0:beforeAutospacing="0" ns0:after="0" ns0:afterAutospacing="0" ns0:line="360" ns0:lineRule="auto"/>
        <ns0:ind ns0:firstLine="708" ns0:firstLineChars="0"/>
        <ns0:jc ns0:val="both"/>
        <ns0:rPr>
          <ns0:rFonts ns0:hint="default" ns0:ascii="Times New Roman" ns0:hAnsi="Times New Roman" ns0:eastAsia="SimSun" ns0:cs="Times New Roman"/>
          <ns0:color ns0:val="auto"/>
          <ns0:sz ns0:val="24"/>
          <ns0:szCs ns0:val="24"/>
        </ns0:rPr>
      </ns0:pPr>
      <ns0:r>
        <ns0:rPr>
          <ns0:rFonts ns0:ascii="Times New Roman" ns0:hAnsi="Times New Roman" ns0:cs="Times New Roman"/>
          <ns0:color ns0:val="auto"/>
        </ns0:rPr>
        <ns0:t>Avalia se a idade cronológica atua como limitador funcional ou se o volume acumulado de prática se sobrepõe aos declínios biológicos.</ns0:t>
      </ns0:r>
    </ns0:p>
    <ns0:p ns2:paraId="4A6C870C">
      <ns0:pPr>
        <ns0:pStyle ns0:val="11"/>
        <ns0:spacing ns0:before="0" ns0:beforeAutospacing="0" ns0:after="0" ns0:afterAutospacing="0" ns0:line="360" ns0:lineRule="auto"/>
        <ns0:ind ns0:firstLine="708" ns0:firstLineChars="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4085B94A">
      <ns0:pPr>
        <ns0:pStyle ns0:val="11"/>
        <ns0:numPr>
          <ns0:ilvl ns0:val="1"/>
          <ns0:numId ns0:val="6"/>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Volume de Prática Acumulada (horas).</ns0:t>
      </ns0:r>
    </ns0:p>
    <ns0:p ns2:paraId="6522353B">
      <ns0:pPr>
        <ns0:pStyle ns0:val="11"/>
        <ns0:numPr>
          <ns0:ilvl ns0:val="1"/>
          <ns0:numId ns0:val="6"/>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Idade cronológica (anos)</ns0:t>
      </ns0:r>
    </ns0:p>
    <ns0:p ns2:paraId="50AA2C06">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6: Autonomia de Estabilização </ns0:t>
      </ns0:r>
    </ns0:p>
    <ns0:p ns2:paraId="74371808">
      <ns0:pPr>
        <ns0:suppressAutoHyphens ns0:val="0"/>
        <ns0:spacing ns0:line="360" ns0:lineRule="auto"/>
        <ns0:ind ns0:firstLine="708"/>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Este modelo avalia os fatores determinantes para a capacidade do praticante de realizar a entrada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de forma autônoma e atingir a fase de estabilização sem auxílio externo, considerando nível de força de membros superiores, proficiência intrínseca no controle postural (medida previamente no bloco assistido) ou tempo de prática acumulada [9], [26]. Diferindo das abordagens anteriores baseadas em regressão linear, será realizada uma regressão logística binária, visto que a variável dependente possui natureza dicotômica: sucesso (conseguiu atingir a posição e manter o equilíbrio de forma independente por no mínimo 3 segundos no bloco de entradas livres) versus falha (incapacidade de estabilização da postura). Complementarmente, a consistência motora será quantificada pela taxa de sucesso individual (número de tentativas válidas de sustentação ≥ 3 s sobre o total de 3 tentativas livres executadas), bem como pelo mapeamento da tentativa de ocorrência da marca máxima (T1, T2 ou T3). </ns0:t>
      </ns0:r>
    </ns0:p>
    <ns0:p ns2:paraId="098FC700">
      <ns0:pPr>
        <ns0:suppressAutoHyphens ns0:val="0"/>
        <ns0:spacing ns0:line="360" ns0:lineRule="auto"/>
        <ns0:ind ns0:firstLine="708"/>
        <ns0:jc ns0:val="left"/>
        <ns0:rPr>
          <ns0:rFonts ns0:hint="default" ns0:ascii="Times New Roman" ns0:hAnsi="Times New Roman" ns0:eastAsia="Times New Roman" ns0:cs="Times New Roman"/>
          <ns0:color ns0:val="auto"/>
        </ns0:rPr>
      </ns0:pPr>
      <ns0:r>
        <ns0:rPr>
          <ns0:rFonts ns0:ascii="Times New Roman" ns0:hAnsi="Times New Roman" ns0:cs="Times New Roman"/>
          <ns0:b/>
          <ns0:bCs/>
          <ns0:color ns0:val="auto"/>
        </ns0:rPr>
        <ns0:t>Variáveis:</ns0:t>
      </ns0:r>
    </ns0:p>
    <ns0:p ns2:paraId="6BD1F3E9">
      <ns0:pPr>
        <ns0:numPr>
          <ns0:ilvl ns0:val="0"/>
          <ns0:numId ns0:val="7"/>
        </ns0:numPr>
        <ns0:suppressAutoHyphens ns0:val="0"/>
        <ns0:spacing ns0:line="360" ns0:lineRule="auto"/>
        <ns0:jc ns0:val="left"/>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highlight ns0:val="none"/>
        </ns0:rPr>
        <ns0:t xml:space="preserve">Força relativa no </ns0:t>
      </ns0:r>
      <ns0:r>
        <ns0:rPr>
          <ns0:rFonts ns0:ascii="Times New Roman" ns0:hAnsi="Times New Roman" ns0:cs="Times New Roman"/>
          <ns0:i/>
          <ns0:iCs/>
          <ns0:color ns0:val="auto"/>
          <ns0:highlight ns0:val="none"/>
        </ns0:rPr>
        <ns0:t>SP</ns0:t>
      </ns0:r>
      <ns0:r>
        <ns0:rPr>
          <ns0:rFonts ns0:ascii="Times New Roman" ns0:hAnsi="Times New Roman" ns0:cs="Times New Roman"/>
          <ns0:color ns0:val="auto"/>
          <ns0:highlight ns0:val="none"/>
        </ns0:rPr>
        <ns0:t xml:space="preserve"> (1-RM / massa corporal).</ns0:t>
      </ns0:r>
    </ns0:p>
    <ns0:p ns2:paraId="70871239">
      <ns0:pPr>
        <ns0:numPr>
          <ns0:ilvl ns0:val="0"/>
          <ns0:numId ns0:val="7"/>
        </ns0:numPr>
        <ns0:suppressAutoHyphens ns0:val="0"/>
        <ns0:spacing ns0:line="360" ns0:lineRule="auto"/>
        <ns0:jc ns0:val="left"/>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highlight ns0:val="none"/>
        </ns0:rPr>
        <ns0:t xml:space="preserve">Melhor tempo de sustentação no </ns0:t>
      </ns0:r>
      <ns0:r>
        <ns0:rPr>
          <ns0:rFonts ns0:ascii="Times New Roman" ns0:hAnsi="Times New Roman" ns0:cs="Times New Roman"/>
          <ns0:i/>
          <ns0:iCs/>
          <ns0:color ns0:val="auto"/>
          <ns0:highlight ns0:val="none"/>
        </ns0:rPr>
        <ns0:t>HS</ns0:t>
      </ns0:r>
      <ns0:r>
        <ns0:rPr>
          <ns0:rFonts ns0:ascii="Times New Roman" ns0:hAnsi="Times New Roman" ns0:cs="Times New Roman"/>
          <ns0:color ns0:val="auto"/>
          <ns0:highlight ns0:val="none"/>
        </ns0:rPr>
        <ns0:t xml:space="preserve"> Assistido (segundos).</ns0:t>
      </ns0:r>
    </ns0:p>
    <ns0:p ns2:paraId="08D31A28">
      <ns0:pPr>
        <ns0:numPr>
          <ns0:ilvl ns0:val="0"/>
          <ns0:numId ns0:val="7"/>
        </ns0:numPr>
        <ns0:suppressAutoHyphens ns0:val="0"/>
        <ns0:spacing ns0:line="360" ns0:lineRule="auto"/>
        <ns0:jc ns0:val="left"/>
        <ns0:rPr>
          <ns0:rFonts ns0:hint="default" ns0:ascii="Times New Roman" ns0:hAnsi="Times New Roman" ns0:eastAsia="Times New Roman" ns0:cs="Times New Roman"/>
          <ns0:color ns0:val="auto"/>
          <ns0:highlight ns0:val="none"/>
        </ns0:rPr>
      </ns0:pPr>
      <ns0:r>
        <ns0:rPr>
          <ns0:rFonts ns0:ascii="Times New Roman" ns0:hAnsi="Times New Roman" ns0:cs="Times New Roman"/>
          <ns0:color ns0:val="auto"/>
          <ns0:highlight ns0:val="none"/>
        </ns0:rPr>
        <ns0:t>Volume de Prática Acumulada (horas totais estimadas).</ns0:t>
      </ns0:r>
    </ns0:p>
    <ns0:p ns2:paraId="49F82710">
      <ns0:pPr>
        <ns0:pStyle ns0:val="11"/>
        <ns0:spacing ns0:before="0" ns0:beforeAutospacing="0" ns0:after="0" ns0:afterAutospacing="0" ns0:line="360" ns0:lineRule="auto"/>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3.5.2 Modelos Preditivos para o </ns0:t>
      </ns0:r>
      <ns0:r>
        <ns0:rPr>
          <ns0:rFonts ns0:ascii="Times New Roman" ns0:hAnsi="Times New Roman" ns0:cs="Times New Roman"/>
          <ns0:i/>
          <ns0:iCs/>
          <ns0:color ns0:val="auto"/>
        </ns0:rPr>
        <ns0:t>HSW</ns0:t>
      </ns0:r>
    </ns0:p>
    <ns0:p ns2:paraId="18F4D991">
      <ns0:pPr>
        <ns0:spacing ns0:line="360" ns0:lineRule="auto"/>
        <ns0:ind ns0:firstLine="708" ns0:firstLineChars="0"/>
        <ns0:rPr>
          <ns0:rFonts ns0:hint="default" ns0:ascii="Times New Roman" ns0:hAnsi="Times New Roman" ns0:eastAsia="Times New Roman" ns0:cs="Times New Roman"/>
          <ns0:color ns0:val="auto"/>
        </ns0:rPr>
      </ns0:pPr>
      <ns0:r>
        <ns0:rPr>
          <ns0:rFonts ns0:ascii="Times New Roman" ns0:hAnsi="Times New Roman" ns0:cs="Times New Roman"/>
          <ns0:color ns0:val="auto"/>
        </ns0:rPr>
        <ns0:t xml:space="preserve">Para os modelos de regressão do </ns0:t>
      </ns0:r>
      <ns0:r>
        <ns0:rPr>
          <ns0:rFonts ns0:ascii="Times New Roman" ns0:hAnsi="Times New Roman" ns0:cs="Times New Roman"/>
          <ns0:i/>
          <ns0:iCs/>
          <ns0:color ns0:val="auto"/>
        </ns0:rPr>
        <ns0:t>HSW</ns0:t>
      </ns0:r>
      <ns0:r>
        <ns0:rPr>
          <ns0:rFonts ns0:ascii="Times New Roman" ns0:hAnsi="Times New Roman" ns0:cs="Times New Roman"/>
          <ns0:color ns0:val="auto"/>
        </ns0:rPr>
        <ns0:t xml:space="preserve">, a variável dependente será a </ns0:t>
      </ns0:r>
      <ns0:r>
        <ns0:rPr>
          <ns0:rFonts ns0:ascii="Times New Roman" ns0:hAnsi="Times New Roman" ns0:cs="Times New Roman"/>
          <ns0:b ns0:val="0"/>
          <ns0:bCs ns0:val="0"/>
          <ns0:color ns0:val="auto"/>
        </ns0:rPr>
        <ns0:t>mediana da distância linear percorrida (m)</ns0:t>
      </ns0:r>
      <ns0:r>
        <ns0:rPr>
          <ns0:rFonts ns0:ascii="Times New Roman" ns0:hAnsi="Times New Roman" ns0:cs="Times New Roman"/>
          <ns0:color ns0:val="auto"/>
        </ns0:rPr>
        <ns0:t>,</ns0:t>
      </ns0:r>
      <ns0:r>
        <ns0:rPr>
          <ns0:rFonts ns0:ascii="Times New Roman" ns0:hAnsi="Times New Roman" ns0:cs="Times New Roman"/>
          <ns0:color ns0:val="auto"/>
        </ns0:rPr>
        <ns0:t xml:space="preserve"> adotada por sua robustez frente a quedas prematuras ou tentativas extremas isoladas:</ns0:t>
      </ns0:r>
    </ns0:p>
    <ns0:p ns2:paraId="45C30B0E">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 xml:space="preserve">Modelo 1: Capacidade Física </ns0:t>
      </ns0:r>
    </ns0:p>
    <ns0:p ns2:paraId="0CA4A517">
      <ns0:pPr>
        <ns0:pStyle ns0:val="11"/>
        <ns0:spacing ns0:before="0" ns0:beforeAutospacing="0" ns0:after="0" ns0:afterAutospacing="0" ns0:line="360" ns0:lineRule="auto"/>
        <ns0:ind ns0:firstLine="708"/>
        <ns0:jc ns0:val="both"/>
        <ns0:rPr>
          <ns0:rFonts ns0:hint="default" ns0:ascii="Times New Roman" ns0:hAnsi="Times New Roman" ns0:eastAsia="SimSun" ns0:cs="Times New Roman"/>
          <ns0:color ns0:val="auto"/>
          <ns0:sz ns0:val="24"/>
          <ns0:szCs ns0:val="24"/>
        </ns0:rPr>
      </ns0:pPr>
      <ns0:r>
        <ns0:rPr>
          <ns0:rFonts ns0:ascii="Times New Roman" ns0:hAnsi="Times New Roman" ns0:cs="Times New Roman"/>
          <ns0:color ns0:val="auto"/>
        </ns0:rPr>
        <ns0:t>Avalia como a força máxima e a tolerância à fadiga muscular em inversão sustentam a locomoção contínua sobre membros superiores.</ns0:t>
      </ns0:r>
    </ns0:p>
    <ns0:p ns2:paraId="4EE15F9D">
      <ns0:pPr>
        <ns0:pStyle ns0:val="11"/>
        <ns0:spacing ns0:before="0" ns0:beforeAutospacing="0" ns0:after="0" ns0:afterAutospacing="0" ns0:line="360" ns0:lineRule="auto"/>
        <ns0:ind ns0:firstLine="708"/>
        <ns0:rPr>
          <ns0:rFonts ns0:hint="default" ns0:ascii="Times New Roman" ns0:hAnsi="Times New Roman" ns0:cs="Times New Roman"/>
          <ns0:color ns0:val="auto"/>
          <ns0:highlight ns0:val="none"/>
        </ns0:rPr>
      </ns0:pPr>
      <ns0:r>
        <ns0:rPr>
          <ns0:rFonts ns0:ascii="Times New Roman" ns0:hAnsi="Times New Roman" ns0:cs="Times New Roman"/>
          <ns0:b/>
          <ns0:bCs/>
          <ns0:color ns0:val="auto"/>
          <ns0:highlight ns0:val="none"/>
        </ns0:rPr>
        <ns0:t>Variáveis:</ns0:t>
      </ns0:r>
    </ns0:p>
    <ns0:p ns2:paraId="371DEA52">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highlight ns0:val="none"/>
        </ns0:rPr>
      </ns0:pPr>
      <ns0:r>
        <ns0:rPr>
          <ns0:rFonts ns0:ascii="Times New Roman" ns0:hAnsi="Times New Roman" ns0:cs="Times New Roman"/>
          <ns0:color ns0:val="auto"/>
          <ns0:highlight ns0:val="none"/>
        </ns0:rPr>
        <ns0:t xml:space="preserve">Força relativa no </ns0:t>
      </ns0:r>
      <ns0:r>
        <ns0:rPr>
          <ns0:rFonts ns0:ascii="Times New Roman" ns0:hAnsi="Times New Roman" ns0:cs="Times New Roman"/>
          <ns0:i/>
          <ns0:iCs/>
          <ns0:color ns0:val="auto"/>
          <ns0:highlight ns0:val="none"/>
        </ns0:rPr>
        <ns0:t>SP</ns0:t>
      </ns0:r>
      <ns0:r>
        <ns0:rPr>
          <ns0:rFonts ns0:ascii="Times New Roman" ns0:hAnsi="Times New Roman" ns0:cs="Times New Roman"/>
          <ns0:color ns0:val="auto"/>
          <ns0:highlight ns0:val="none"/>
        </ns0:rPr>
        <ns0:t xml:space="preserve"> (1-RM / massa corporal).</ns0:t>
      </ns0:r>
    </ns0:p>
    <ns0:p ns2:paraId="11B30EEE">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highlight ns0:val="none"/>
        </ns0:rPr>
      </ns0:pPr>
      <ns0:r>
        <ns0:rPr>
          <ns0:rFonts ns0:ascii="Times New Roman" ns0:hAnsi="Times New Roman" ns0:cs="Times New Roman"/>
          <ns0:color ns0:val="auto"/>
          <ns0:highlight ns0:val="none"/>
        </ns0:rPr>
        <ns0:t xml:space="preserve">Resistência em </ns0:t>
      </ns0:r>
      <ns0:r>
        <ns0:rPr>
          <ns0:rFonts ns0:ascii="Times New Roman" ns0:hAnsi="Times New Roman" ns0:cs="Times New Roman"/>
          <ns0:i/>
          <ns0:iCs/>
          <ns0:color ns0:val="auto"/>
          <ns0:highlight ns0:val="none"/>
        </ns0:rPr>
        <ns0:t>wall-supported HS</ns0:t>
      </ns0:r>
      <ns0:r>
        <ns0:rPr>
          <ns0:rFonts ns0:ascii="Times New Roman" ns0:hAnsi="Times New Roman" ns0:cs="Times New Roman"/>
          <ns0:color ns0:val="auto"/>
          <ns0:highlight ns0:val="none"/>
        </ns0:rPr>
        <ns0:t xml:space="preserve"> (segundos).</ns0:t>
      </ns0:r>
    </ns0:p>
    <ns0:p ns2:paraId="053C7D61">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highlight ns0:val="none"/>
        </ns0:rPr>
      </ns0:pPr>
      <ns0:r>
        <ns0:rPr>
          <ns0:rFonts ns0:ascii="Times New Roman" ns0:hAnsi="Times New Roman" ns0:cs="Times New Roman"/>
          <ns0:color ns0:val="auto"/>
          <ns0:highlight ns0:val="none"/>
        </ns0:rPr>
        <ns0:t>Índice de Simetria de Membros nos flexores de punho (%)</ns0:t>
      </ns0:r>
    </ns0:p>
    <ns0:p ns2:paraId="10CEEFB5">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2: Eficiência da Locomoção</ns0:t>
      </ns0:r>
    </ns0:p>
    <ns0:p ns2:paraId="2DBDA071">
      <ns0:pPr>
        <ns0:pStyle ns0:val="11"/>
        <ns0:spacing ns0:before="0" ns0:beforeAutospacing="0" ns0:after="0" ns0:afterAutospacing="0" ns0:line="360" ns0:lineRule="auto"/>
        <ns0:ind ns0:firstLine="708"/>
        <ns0:jc ns0:val="both"/>
        <ns0:rPr>
          <ns0:rFonts ns0:hint="default" ns0:ascii="Times New Roman" ns0:hAnsi="Times New Roman" ns0:eastAsia="SimSun" ns0:cs="Times New Roman"/>
          <ns0:color ns0:val="auto"/>
          <ns0:sz ns0:val="24"/>
          <ns0:szCs ns0:val="24"/>
        </ns0:rPr>
      </ns0:pPr>
      <ns0:r>
        <ns0:rPr>
          <ns0:rFonts ns0:ascii="Times New Roman" ns0:hAnsi="Times New Roman" ns0:cs="Times New Roman"/>
          <ns0:color ns0:val="auto"/>
        </ns0:rPr>
        <ns0:t>Verifica se a consistência e a ritmicidade espaço-temporal das passadas determinam o alcance da marcha invertida.</ns0:t>
      </ns0:r>
    </ns0:p>
    <ns0:p ns2:paraId="2ED54148">
      <ns0:pPr>
        <ns0:pStyle ns0:val="11"/>
        <ns0:spacing ns0:before="0" ns0:beforeAutospacing="0" ns0:after="0" ns0:afterAutospacing="0" ns0:line="360" ns0:lineRule="auto"/>
        <ns0:ind ns0:firstLine="708"/>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 </ns0:t>
      </ns0:r>
      <ns0:r>
        <ns0:rPr>
          <ns0:rFonts ns0:ascii="Times New Roman" ns0:hAnsi="Times New Roman" ns0:cs="Times New Roman"/>
          <ns0:b/>
          <ns0:bCs/>
          <ns0:color ns0:val="auto"/>
        </ns0:rPr>
        <ns0:t>Variáveis:</ns0:t>
      </ns0:r>
    </ns0:p>
    <ns0:p ns2:paraId="03980F35">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Variabilidade Espacial: coeficiente de variação do comprimento das passadas (%).</ns0:t>
      </ns0:r>
    </ns0:p>
    <ns0:p ns2:paraId="7B8C12C8">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Variabilidade Temporal: Coeficiente de variação do tempo entre passadas (%).</ns0:t>
      </ns0:r>
    </ns0:p>
    <ns0:p ns2:paraId="47B97B24">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Comprimento médio das passadas (Milímetros).</ns0:t>
      </ns0:r>
    </ns0:p>
    <ns0:p ns2:paraId="31B5F0EA">
      <ns0:pPr>
        <ns0:pStyle ns0:val="11"/>
        <ns0:numPr>
          <ns0:ilvl ns0:val="1"/>
          <ns0:numId ns0:val="4"/>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Cadência: passos por segundo (passos/s).</ns0:t>
      </ns0:r>
    </ns0:p>
    <ns0:p ns2:paraId="2BE916B5">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 xml:space="preserve">Modelo 3: Técnica </ns0:t>
      </ns0:r>
    </ns0:p>
    <ns0:p ns2:paraId="02A86504">
      <ns0:pPr>
        <ns0:pStyle ns0:val="11"/>
        <ns0:spacing ns0:before="0" ns0:beforeAutospacing="0" ns0:after="0" ns0:afterAutospacing="0" ns0:line="360" ns0:lineRule="auto"/>
        <ns0:ind ns0:firstLine="708" ns0:firstLineChars="0"/>
        <ns0:jc ns0:val="both"/>
        <ns0:rPr>
          <ns0:rFonts ns0:hint="default" ns0:ascii="Times New Roman" ns0:hAnsi="Times New Roman" ns0:cs="Times New Roman"/>
          <ns0:color ns0:val="auto"/>
        </ns0:rPr>
      </ns0:pPr>
      <ns0:r>
        <ns0:rPr>
          <ns0:rFonts ns0:ascii="Times New Roman" ns0:hAnsi="Times New Roman" ns0:cs="Times New Roman"/>
          <ns0:color ns0:val="auto"/>
        </ns0:rPr>
        <ns0:t>Testa como o alinhamento corporal médio e a rotação das mãos modulam a progressão linear do centro de gravidade.</ns0:t>
      </ns0:r>
    </ns0:p>
    <ns0:p ns2:paraId="50125B6D">
      <ns0:pPr>
        <ns0:pStyle ns0:val="11"/>
        <ns0:spacing ns0:before="0" ns0:beforeAutospacing="0" ns0:after="0" ns0:afterAutospacing="0" ns0:line="360" ns0:lineRule="auto"/>
        <ns0:ind ns0:left="72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6B4A458D">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Índice de verticalidade: alinhamento segmentar entre ombro e quadril (graus).</ns0:t>
      </ns0:r>
    </ns0:p>
    <ns0:p ns2:paraId="1B5B3413">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Ângulo de Extensão Cervical (graus).</ns0:t>
      </ns0:r>
    </ns0:p>
    <ns0:p ns2:paraId="6C942D15">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b ns0:val="0"/>
          <ns0:bCs ns0:val="0"/>
          <ns0:color ns0:val="auto"/>
          <ns0:sz ns0:val="24"/>
          <ns0:szCs ns0:val="24"/>
        </ns0:rPr>
      </ns0:pPr>
      <ns0:r>
        <ns0:rPr>
          <ns0:rFonts ns0:ascii="Times New Roman" ns0:hAnsi="Times New Roman" ns0:cs="Times New Roman"/>
          <ns0:i/>
          <ns0:iCs/>
          <ns0:color ns0:val="auto"/>
        </ns0:rPr>
        <ns0:t>Ângulo de flexão plantar do tornozelo (graus)</ns0:t>
      </ns0:r>
    </ns0:p>
    <ns0:p ns2:paraId="14E98E81">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Largura da base de apoio (milímetros).</ns0:t>
      </ns0:r>
    </ns0:p>
    <ns0:p ns2:paraId="5B8356CF">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Orientação angular das mãos (graus).</ns0:t>
      </ns0:r>
    </ns0:p>
    <ns0:p ns2:paraId="613A5004">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4: Transferência de Habilidade (Estático para Dinâmico)</ns0:t>
      </ns0:r>
    </ns0:p>
    <ns0:p ns2:paraId="797EA2E6">
      <ns0:pPr>
        <ns0:pStyle ns0:val="11"/>
        <ns0:spacing ns0:before="0" ns0:beforeAutospacing="0" ns0:after="0" ns0:afterAutospacing="0" ns0:line="360" ns0:lineRule="auto"/>
        <ns0:ind ns0:firstLine="708" ns0:firstLineChars="0"/>
        <ns0:jc ns0:val="both"/>
        <ns0:rPr>
          <ns0:rFonts ns0:hint="default" ns0:ascii="Times New Roman" ns0:hAnsi="Times New Roman" ns0:eastAsia="SimSun" ns0:cs="Times New Roman"/>
          <ns0:color ns0:val="auto"/>
          <ns0:sz ns0:val="24"/>
          <ns0:szCs ns0:val="24"/>
          <ns0:lang ns0:val="pt-BR"/>
        </ns0:rPr>
      </ns0:pPr>
      <ns0:r>
        <ns0:rPr>
          <ns0:rFonts ns0:ascii="Times New Roman" ns0:hAnsi="Times New Roman" ns0:cs="Times New Roman"/>
          <ns0:color ns0:val="auto"/>
        </ns0:rPr>
        <ns0:t>Investiga se a proficiência no equilíbrio estático e a regularidade do sinal estabilométrico transferem-se diretamente para a capacidade locomotora.</ns0:t>
      </ns0:r>
    </ns0:p>
    <ns0:p ns2:paraId="6FC56255">
      <ns0:pPr>
        <ns0:pStyle ns0:val="11"/>
        <ns0:spacing ns0:before="0" ns0:beforeAutospacing="0" ns0:after="0" ns0:afterAutospacing="0" ns0:line="360" ns0:lineRule="auto"/>
        <ns0:ind ns0:firstLine="708" ns0:firstLineChars="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038C32E9">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 xml:space="preserve">Melhor tempo de sustentação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(segundos).</ns0:t>
      </ns0:r>
    </ns0:p>
    <ns0:p ns2:paraId="3489CFB0">
      <ns0:pPr>
        <ns0:pStyle ns0:val="11"/>
        <ns0:numPr>
          <ns0:ilvl ns0:val="1"/>
          <ns0:numId ns0:val="8"/>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i/>
          <ns0:iCs/>
          <ns0:color ns0:val="auto"/>
        </ns0:rPr>
        <ns0:t>ApEn</ns0:t>
      </ns0:r>
      <ns0:r>
        <ns0:rPr>
          <ns0:rFonts ns0:ascii="Times New Roman" ns0:hAnsi="Times New Roman" ns0:cs="Times New Roman"/>
          <ns0:color ns0:val="auto"/>
        </ns0:rPr>
        <ns0:t xml:space="preserve"> no </ns0:t>
      </ns0:r>
      <ns0:r>
        <ns0:rPr>
          <ns0:rFonts ns0:ascii="Times New Roman" ns0:hAnsi="Times New Roman" ns0:cs="Times New Roman"/>
          <ns0:i/>
          <ns0:iCs/>
          <ns0:color ns0:val="auto"/>
        </ns0:rPr>
        <ns0:t>HS</ns0:t>
      </ns0:r>
      <ns0:r>
        <ns0:rPr>
          <ns0:rFonts ns0:ascii="Times New Roman" ns0:hAnsi="Times New Roman" ns0:cs="Times New Roman"/>
          <ns0:color ns0:val="auto"/>
        </ns0:rPr>
        <ns0:t xml:space="preserve"> (unidades arbitrárias).</ns0:t>
      </ns0:r>
    </ns0:p>
    <ns0:p ns2:paraId="47B22A05">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5: Fatores Antropométricos</ns0:t>
      </ns0:r>
    </ns0:p>
    <ns0:p ns2:paraId="103530F5">
      <ns0:pPr>
        <ns0:pStyle ns0:val="11"/>
        <ns0:spacing ns0:before="0" ns0:beforeAutospacing="0" ns0:after="0" ns0:afterAutospacing="0" ns0:line="360" ns0:lineRule="auto"/>
        <ns0:ind ns0:firstLine="708" ns0:firstLineChars="0"/>
        <ns0:jc ns0:val="both"/>
        <ns0:rPr>
          <ns0:rFonts ns0:hint="default" ns0:ascii="Times New Roman" ns0:hAnsi="Times New Roman" ns0:eastAsia="SimSun" ns0:cs="Times New Roman"/>
          <ns0:color ns0:val="auto"/>
          <ns0:sz ns0:val="24"/>
          <ns0:szCs ns0:val="24"/>
          <ns0:lang ns0:val="pt-BR"/>
        </ns0:rPr>
      </ns0:pPr>
      <ns0:r>
        <ns0:rPr>
          <ns0:rFonts ns0:ascii="Times New Roman" ns0:hAnsi="Times New Roman" ns0:cs="Times New Roman"/>
          <ns0:color ns0:val="auto"/>
        </ns0:rPr>
        <ns0:t>Avalia a influência das proporções anatômicas e da composição corporal sobre o custo mecânico da locomoção.</ns0:t>
      </ns0:r>
    </ns0:p>
    <ns0:p ns2:paraId="1DB74D72">
      <ns0:pPr>
        <ns0:pStyle ns0:val="11"/>
        <ns0:spacing ns0:before="0" ns0:beforeAutospacing="0" ns0:after="0" ns0:afterAutospacing="0" ns0:line="360" ns0:lineRule="auto"/>
        <ns0:ind ns0:left="72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1C22DF90">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Altura do CoM (milímetros).</ns0:t>
      </ns0:r>
    </ns0:p>
    <ns0:p ns2:paraId="00E7664B">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Comprimento dos braços (milímetros).</ns0:t>
      </ns0:r>
    </ns0:p>
    <ns0:p ns2:paraId="484BE998">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Quantidade de gordura corporal (percentual).</ns0:t>
      </ns0:r>
    </ns0:p>
    <ns0:p ns2:paraId="234D355A">
      <ns0:pPr>
        <ns0:pStyle ns0:val="11"/>
        <ns0:numPr>
          <ns0:ilvl ns0:val="1"/>
          <ns0:numId ns0:val="5"/>
        </ns0:numPr>
        <ns0:spacing ns0:before="0" ns0:beforeAutospacing="0" ns0:after="0" ns0:afterAutospacing="0" ns0:line="360" ns0:lineRule="auto"/>
        <ns0:rPr>
          <ns0:rFonts ns0:hint="default" ns0:ascii="Times New Roman" ns0:hAnsi="Times New Roman" ns0:cs="Times New Roman"/>
          <ns0:color ns0:val="auto"/>
        </ns0:rPr>
      </ns0:pPr>
    </ns0:p>
    <ns0:p ns2:paraId="25F171E0">
      <ns0:pPr>
        <ns0:pStyle ns0:val="11"/>
        <ns0:spacing ns0:before="0" ns0:beforeAutospacing="0" ns0:after="0" ns0:afterAutospacing="0" ns0:line="360" ns0:lineRule="auto"/>
        <ns0:rPr>
          <ns0:rFonts ns0:hint="default" ns0:ascii="Times New Roman" ns0:hAnsi="Times New Roman" ns0:cs="Times New Roman"/>
          <ns0:b/>
          <ns0:bCs/>
          <ns0:color ns0:val="auto"/>
          <ns0:u ns0:val="single"/>
        </ns0:rPr>
      </ns0:pPr>
      <ns0:r>
        <ns0:rPr>
          <ns0:rFonts ns0:ascii="Times New Roman" ns0:hAnsi="Times New Roman" ns0:cs="Times New Roman"/>
          <ns0:b/>
          <ns0:bCs/>
          <ns0:color ns0:val="auto"/>
        </ns0:rPr>
        <ns0:t>Modelo 6: Perfil e Experiência</ns0:t>
      </ns0:r>
    </ns0:p>
    <ns0:p ns2:paraId="2E434C29">
      <ns0:pPr>
        <ns0:pStyle ns0:val="11"/>
        <ns0:spacing ns0:before="0" ns0:beforeAutospacing="0" ns0:after="0" ns0:afterAutospacing="0" ns0:line="360" ns0:lineRule="auto"/>
        <ns0:ind ns0:firstLine="708" ns0:firstLineChars="0"/>
        <ns0:rPr>
          <ns0:rFonts ns0:hint="default" ns0:ascii="Times New Roman" ns0:hAnsi="Times New Roman" ns0:eastAsia="SimSun" ns0:cs="Times New Roman"/>
          <ns0:color ns0:val="auto"/>
          <ns0:sz ns0:val="24"/>
          <ns0:szCs ns0:val="24"/>
          <ns0:lang ns0:val="pt-BR"/>
        </ns0:rPr>
      </ns0:pPr>
      <ns0:r>
        <ns0:rPr>
          <ns0:rFonts ns0:ascii="Times New Roman" ns0:hAnsi="Times New Roman" ns0:cs="Times New Roman"/>
          <ns0:color ns0:val="auto"/>
        </ns0:rPr>
        <ns0:t>Determina a contribuição relativa da experiência prática acumulada em horas frente à idade cronológica no deslocamento dinâmico.</ns0:t>
      </ns0:r>
    </ns0:p>
    <ns0:p ns2:paraId="3BF79D29">
      <ns0:pPr>
        <ns0:pStyle ns0:val="11"/>
        <ns0:spacing ns0:before="0" ns0:beforeAutospacing="0" ns0:after="0" ns0:afterAutospacing="0" ns0:line="360" ns0:lineRule="auto"/>
        <ns0:ind ns0:firstLine="708" ns0:firstLineChars="0"/>
        <ns0:rPr>
          <ns0:rFonts ns0:hint="default" ns0:ascii="Times New Roman" ns0:hAnsi="Times New Roman" ns0:cs="Times New Roman"/>
          <ns0:color ns0:val="auto"/>
        </ns0:rPr>
      </ns0:pPr>
      <ns0:r>
        <ns0:rPr>
          <ns0:rFonts ns0:ascii="Times New Roman" ns0:hAnsi="Times New Roman" ns0:cs="Times New Roman"/>
          <ns0:b/>
          <ns0:bCs/>
          <ns0:color ns0:val="auto"/>
        </ns0:rPr>
        <ns0:t>Variáveis:</ns0:t>
      </ns0:r>
    </ns0:p>
    <ns0:p ns2:paraId="2554F71A">
      <ns0:pPr>
        <ns0:pStyle ns0:val="11"/>
        <ns0:numPr>
          <ns0:ilvl ns0:val="1"/>
          <ns0:numId ns0:val="6"/>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Volume de Prática Acumulada (horas totais estimadas).</ns0:t>
      </ns0:r>
    </ns0:p>
    <ns0:p ns2:paraId="479865AE">
      <ns0:pPr>
        <ns0:pStyle ns0:val="11"/>
        <ns0:numPr>
          <ns0:ilvl ns0:val="1"/>
          <ns0:numId ns0:val="6"/>
        </ns0:numPr>
        <ns0:spacing ns0:before="0" ns0:beforeAutospacing="0" ns0:after="0" ns0:afterAutospacing="0" ns0:line="360" ns0:lineRule="auto"/>
        <ns0:rPr>
          <ns0:rFonts ns0:hint="default" ns0:ascii="Times New Roman" ns0:hAnsi="Times New Roman" ns0:cs="Times New Roman"/>
          <ns0:color ns0:val="auto"/>
        </ns0:rPr>
      </ns0:pPr>
      <ns0:r>
        <ns0:rPr>
          <ns0:rFonts ns0:ascii="Times New Roman" ns0:hAnsi="Times New Roman" ns0:cs="Times New Roman"/>
          <ns0:color ns0:val="auto"/>
        </ns0:rPr>
        <ns0:t>Idade cronológica (anos).</ns0:t>
      </ns0:r>
    </ns0:p>
    <ns0:p ns2:paraId="68677DB7">
      <ns0:pPr>
        <ns0:pStyle ns0:val="11"/>
        <ns0:spacing ns0:before="0" ns0:beforeAutospacing="0" ns0:after="0" ns0:afterAutospacing="0" ns0:line="360" ns0:lineRule="auto"/>
        <ns0:ind ns0:firstLine="1064" ns0:firstLineChars="0"/>
        <ns0:jc ns0:val="both"/>
        <ns0:rPr>
          <ns0:rFonts ns0:hint="default" ns0:ascii="Times New Roman" ns0:hAnsi="Times New Roman" ns0:cs="Times New Roman"/>
          <ns0:i/>
          <ns0:iCs/>
          <ns0:color ns0:val="auto"/>
        </ns0:rPr>
      </ns0:pPr>
      <ns0:r>
        <ns0:rPr>
          <ns0:rFonts ns0:ascii="Times New Roman" ns0:hAnsi="Times New Roman" ns0:cs="Times New Roman"/>
          <ns0:color ns0:val="auto"/>
        </ns0:rPr>
        <ns0:t xml:space="preserve">As variáveis velocidade média de deslocamento, tempo de contato palmar e tempo em duplo suporte serão reportadas para caracterização descritiva e comparação exploratória entre perfis de prática (ex: praticantes de </ns0:t>
      </ns0:r>
      <ns0:r>
        <ns0:rPr>
          <ns0:rFonts ns0:ascii="Times New Roman" ns0:hAnsi="Times New Roman" ns0:cs="Times New Roman"/>
          <ns0:i/>
          <ns0:iCs/>
          <ns0:color ns0:val="auto"/>
        </ns0:rPr>
        <ns0:t>CrossFit</ns0:t>
      </ns0:r>
      <ns0:r>
        <ns0:rPr>
          <ns0:rFonts ns0:ascii="Times New Roman" ns0:hAnsi="Times New Roman" ns0:cs="Times New Roman"/>
          <ns0:color ns0:val="auto"/>
        </ns0:rPr>
        <ns0:t xml:space="preserve">® vs. Ginástica Artística), uma vez que decorrem diretamente da cadência e do comprimento da passada. Essa delimitação metodológica previne o viés de multicolinearidade e preserva o poder explicativo dos modelos preditivos primários no </ns0:t>
      </ns0:r>
      <ns0:r>
        <ns0:rPr>
          <ns0:rFonts ns0:ascii="Times New Roman" ns0:hAnsi="Times New Roman" ns0:cs="Times New Roman"/>
          <ns0:i/>
          <ns0:iCs/>
          <ns0:color ns0:val="auto"/>
        </ns0:rPr>
        <ns0:t>HSW</ns0:t>
      </ns0:r>
      <ns0:bookmarkStart ns0:id="5" ns0:name="_GoBack"/>
      <ns0:bookmarkEnd ns0:id="5"/>
      <ns0:r>
        <ns0:rPr>
          <ns0:rFonts ns0:ascii="Times New Roman" ns0:hAnsi="Times New Roman" ns0:cs="Times New Roman"/>
          <ns0:color ns0:val="auto"/>
        </ns0:rPr>
        <ns0:t xml:space="preserve">. Esta abordagem permite caracterizar as estratégias adaptativas de cada modalidade, como o uso de um maior tempo de duplo suporte para ganho de estabilidade ou maiores velocidades de deslocamento como estratégia de compensação, sem comprometer identificar os fatores que determinam o desempenho no </ns0:t>
      </ns0:r>
      <ns0:r>
        <ns0:rPr>
          <ns0:rFonts ns0:ascii="Times New Roman" ns0:hAnsi="Times New Roman" ns0:cs="Times New Roman"/>
          <ns0:i/>
          <ns0:iCs/>
          <ns0:color ns0:val="auto"/>
        </ns0:rPr>
        <ns0:t>HSW.</ns0:t>
      </ns0:r>
    </ns0:p>
    <ns0:p ns2:paraId="1608FB77">
      <ns0:pPr>
        <ns0:pStyle ns0:val="11"/>
        <ns0:spacing ns0:before="0" ns0:beforeAutospacing="0" ns0:after="0" ns0:afterAutospacing="0" ns0:line="360" ns0:lineRule="auto"/>
        <ns0:jc ns0:val="both"/>
        <ns0:rPr>
          <ns0:rFonts ns0:hint="default" ns0:ascii="Times New Roman" ns0:hAnsi="Times New Roman" ns0:cs="Times New Roman"/>
          <ns0:color ns0:val="auto"/>
          <ns0:lang ns0:val="pt-BR"/>
        </ns0:rPr>
      </ns0:pPr>
      <ns0:r>
        <ns0:rPr>
          <ns0:rFonts ns0:ascii="Times New Roman" ns0:hAnsi="Times New Roman" ns0:cs="Times New Roman"/>
          <ns0:color ns0:val="auto"/>
        </ns0:rPr>
        <ns0:t>3.5.3 Seleção de Preditores e Modelo Final Consolidado</ns0:t>
      </ns0:r>
    </ns0:p>
    <ns0:p ns2:paraId="1BD00213">
      <ns0:pPr>
        <ns0:pStyle ns0:val="11"/>
        <ns0:spacing ns0:before="0" ns0:beforeAutospacing="0" ns0:after="0" ns0:afterAutospacing="0" ns0:line="360" ns0:lineRule="auto"/>
        <ns0:ind ns0:firstLine="708" ns0:firstLineChars="0"/>
        <ns0:jc ns0:val="both"/>
        <ns0:rPr>
          <ns0:rFonts ns0:hint="default" ns0:ascii="Times New Roman" ns0:hAnsi="Times New Roman" ns0:cs="Times New Roman"/>
          <ns0:color ns0:val="auto"/>
        </ns0:rPr>
      </ns0:pPr>
      <ns0:r>
        <ns0:rPr>
          <ns0:rFonts ns0:ascii="Times New Roman" ns0:hAnsi="Times New Roman" ns0:cs="Times New Roman"/>
          <ns0:color ns0:val="auto"/>
        </ns0:rPr>
        <ns0:t xml:space="preserve">Após a análise dos modelos de regressão múltipla temáticos, o impacto individual de cada variável será avaliado por meio dos coeficientes padronizados (β) e de seus respectivos valores-p. Esses coeficientes permitem comparar diretamente a contribuição relativa de cada preditor para a variância do desempenho, independentemente da unidade de medida. Variáveis com maiores valores absolutos de β e significância estatística serão consideradas de maior relevância. Isso permitirá a realização de regressões lineares simples, para examinar as relações isoladas, e também na construção de modelos múltiplos refinados que combinem os preditores mais relevantes de diferentes modelos temáticos. O objetivo desta abordagem sequencial é consolidar a identificação dos preditores centrais do desempenho. </ns0:t>
      </ns0:r>
    </ns0:p>
    <ns0:p ns2:paraId="05D4DDFD">
      <ns0:pPr>
        <ns0:widowControl ns0:val="0"/>
        <ns0:shd ns0:val="clear" ns0:color="auto" ns0:fill="FFFFFF"/>
        <ns0:spacing ns0:before="240" ns0:after="240" ns0:line="360" ns0:lineRule="auto"/>
        <ns0:rPr>
          <ns0:rFonts ns0:hint="default" ns0:ascii="Times New Roman" ns0:hAnsi="Times New Roman" ns0:eastAsia="Times New Roman" ns0:cs="Times New Roman"/>
          <ns0:b/>
          <ns0:bCs/>
          <ns0:color ns0:val="auto"/>
        </ns0:rPr>
      </ns0:pPr>
      <ns0:r>
        <ns0:rPr>
          <ns0:rFonts ns0:ascii="Times New Roman" ns0:hAnsi="Times New Roman" ns0:cs="Times New Roman"/>
          <ns0:b/>
          <ns0:bCs/>
          <ns0:color ns0:val="auto"/>
        </ns0:rPr>
        <ns0:t>4    CRONOGRAMA DE ATIVIDADES</ns0:t>
      </ns0:r>
    </ns0:p>
    <ns0:p ns2:paraId="5254D9CC">
      <ns0:pPr>
        <ns0:spacing ns0:line="360" ns0:lineRule="auto"/>
        <ns0:ind ns0:firstLine="720"/>
        <ns0:rPr>
          <ns0:rFonts ns0:hint="default" ns0:ascii="Times New Roman" ns0:hAnsi="Times New Roman" ns0:eastAsia="Times New Roman" ns0:cs="Times New Roman"/>
          <ns0:b/>
          <ns0:color ns0:val="auto"/>
          <ns0:shd ns0:val="clear" ns0:color="auto" ns0:fill="FFFF00"/>
        </ns0:rPr>
      </ns0:pPr>
      <ns0:r>
        <ns0:rPr>
          <ns0:rFonts ns0:ascii="Times New Roman" ns0:hAnsi="Times New Roman" ns0:cs="Times New Roman"/>
          <ns0:color ns0:val="auto"/>
        </ns0:rPr>
        <ns0:t>QUADRO 4 – Cronograma de atividades estimado</ns0:t>
      </ns0:r>
    </ns0:p>
    <ns0:tbl>
      <ns0:tblPr>
        <ns0:tblStyle ns0:val="7"/>
        <ns0:tblW ns0:w="9075" ns0:type="dxa"/>
        <ns0:tblInd ns0:w="-7" ns0:type="dxa"/>
        <ns0:tblLayout ns0:type="fixed"/>
        <ns0:tblCellMar>
          <ns0:top ns0:w="0" ns0:type="dxa"/>
          <ns0:left ns0:w="108" ns0:type="dxa"/>
          <ns0:bottom ns0:w="0" ns0:type="dxa"/>
          <ns0:right ns0:w="108" ns0:type="dxa"/>
        </ns0:tblCellMar>
      </ns0:tblPr>
      <ns0:tblGrid>
        <ns0:gridCol ns0:w="1755"/>
        <ns0:gridCol ns0:w="7320"/>
      </ns0:tblGrid>
      <ns0:tr ns2:paraId="23577179">
        <ns0:tblPrEx>
          <ns0:tblCellMar>
            <ns0:top ns0:w="0" ns0:type="dxa"/>
            <ns0:left ns0:w="108" ns0:type="dxa"/>
            <ns0:bottom ns0:w="0" ns0:type="dxa"/>
            <ns0:right ns0:w="108" ns0:type="dxa"/>
          </ns0:tblCellMar>
        </ns0:tblPrEx>
        <ns0:tc>
          <ns0:tcPr>
            <ns0:tcW ns0:w="1755" ns0:type="dxa"/>
            <ns0:tcBorders>
              <ns0:top ns0:val="single" ns0:color="000000" ns0:sz="8" ns0:space="0"/>
              <ns0:left ns0:val="single" ns0:color="000000" ns0:sz="8" ns0:space="0"/>
              <ns0:bottom ns0:val="single" ns0:color="000000" ns0:sz="8" ns0:space="0"/>
              <ns0:right ns0:val="single" ns0:color="000000" ns0:sz="8" ns0:space="0"/>
            </ns0:tcBorders>
            <ns0:shd ns0:val="clear" ns0:color="auto" ns0:fill="CCCCCC"/>
            <ns0:vAlign ns0:val="center"/>
          </ns0:tcPr>
          <ns0:p ns2:paraId="1C344B5E">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Período</ns0:t>
            </ns0:r>
          </ns0:p>
        </ns0:tc>
        <ns0:tc>
          <ns0:tcPr>
            <ns0:tcW ns0:w="7320" ns0:type="dxa"/>
            <ns0:tcBorders>
              <ns0:top ns0:val="single" ns0:color="000000" ns0:sz="8" ns0:space="0"/>
              <ns0:left ns0:val="single" ns0:color="000000" ns0:sz="8" ns0:space="0"/>
              <ns0:bottom ns0:val="single" ns0:color="000000" ns0:sz="12" ns0:space="0"/>
              <ns0:right ns0:val="single" ns0:color="000000" ns0:sz="8" ns0:space="0"/>
            </ns0:tcBorders>
            <ns0:shd ns0:val="clear" ns0:color="auto" ns0:fill="CCCCCC"/>
            <ns0:vAlign ns0:val="center"/>
          </ns0:tcPr>
          <ns0:p ns2:paraId="1D3C09FA">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Atividades</ns0:t>
            </ns0:r>
          </ns0:p>
        </ns0:tc>
      </ns0:tr>
      <ns0:tr ns2:paraId="4CD4366F">
        <ns0:tblPrEx>
          <ns0:tblCellMar>
            <ns0:top ns0:w="0" ns0:type="dxa"/>
            <ns0:left ns0:w="108" ns0:type="dxa"/>
            <ns0:bottom ns0:w="0" ns0:type="dxa"/>
            <ns0:right ns0:w="108" ns0:type="dxa"/>
          </ns0:tblCellMar>
        </ns0:tblPrEx>
        <ns0:trPr>
          <ns0:trHeight ns0:val="1209" ns0:hRule="atLeast"/>
        </ns0:trPr>
        <ns0:tc>
          <ns0:tcPr>
            <ns0:tcW ns0:w="1755" ns0:type="dxa"/>
            <ns0:tcBorders>
              <ns0:top ns0:val="single" ns0:color="000000" ns0:sz="12" ns0:space="0"/>
              <ns0:left ns0:val="single" ns0:color="000000" ns0:sz="8" ns0:space="0"/>
              <ns0:bottom ns0:val="single" ns0:color="000000" ns0:sz="8" ns0:space="0"/>
              <ns0:right ns0:val="single" ns0:color="000000" ns0:sz="8" ns0:space="0"/>
            </ns0:tcBorders>
            <ns0:vAlign ns0:val="center"/>
          </ns0:tcPr>
          <ns0:p ns2:paraId="6CA8E487">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1º Semestre</ns0:t>
            </ns0:r>
          </ns0:p>
        </ns0:tc>
        <ns0:tc>
          <ns0:tcPr>
            <ns0:tcW ns0:w="7320" ns0:type="dxa"/>
            <ns0:tcBorders>
              <ns0:top ns0:val="single" ns0:color="000000" ns0:sz="12" ns0:space="0"/>
              <ns0:left ns0:val="single" ns0:color="000000" ns0:sz="8" ns0:space="0"/>
              <ns0:bottom ns0:val="single" ns0:color="000000" ns0:sz="8" ns0:space="0"/>
              <ns0:right ns0:val="single" ns0:color="000000" ns0:sz="8" ns0:space="0"/>
            </ns0:tcBorders>
          </ns0:tcPr>
          <ns0:p ns2:paraId="26540A60">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Submissão ao Comitê de ética em Pesquisa</ns0:t>
            </ns0:r>
          </ns0:p>
          <ns0:p ns2:paraId="011EDE1E">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Revisão de Literatura</ns0:t>
            </ns0:r>
          </ns0:p>
          <ns0:p ns2:paraId="183BE531">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 xml:space="preserve">Aprendizado dos procedimentos de coleta </ns0:t>
            </ns0:r>
          </ns0:p>
        </ns0:tc>
      </ns0:tr>
      <ns0:tr ns2:paraId="02007F14">
        <ns0:tblPrEx>
          <ns0:tblCellMar>
            <ns0:top ns0:w="0" ns0:type="dxa"/>
            <ns0:left ns0:w="108" ns0:type="dxa"/>
            <ns0:bottom ns0:w="0" ns0:type="dxa"/>
            <ns0:right ns0:w="108" ns0:type="dxa"/>
          </ns0:tblCellMar>
        </ns0:tblPrEx>
        <ns0:trPr>
          <ns0:trHeight ns0:val="1208" ns0:hRule="atLeast"/>
        </ns0:trPr>
        <ns0:tc>
          <ns0:tcPr>
            <ns0:tcW ns0:w="1755" ns0:type="dxa"/>
            <ns0:tcBorders>
              <ns0:top ns0:val="single" ns0:color="000000" ns0:sz="12" ns0:space="0"/>
              <ns0:left ns0:val="single" ns0:color="000000" ns0:sz="8" ns0:space="0"/>
              <ns0:bottom ns0:val="single" ns0:color="000000" ns0:sz="8" ns0:space="0"/>
              <ns0:right ns0:val="single" ns0:color="000000" ns0:sz="8" ns0:space="0"/>
            </ns0:tcBorders>
            <ns0:vAlign ns0:val="center"/>
          </ns0:tcPr>
          <ns0:p ns2:paraId="0439170F">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2º Semestre</ns0:t>
            </ns0:r>
          </ns0:p>
        </ns0:tc>
        <ns0:tc>
          <ns0:tcPr>
            <ns0:tcW ns0:w="7320" ns0:type="dxa"/>
            <ns0:tcBorders>
              <ns0:top ns0:val="single" ns0:color="000000" ns0:sz="8" ns0:space="0"/>
              <ns0:left ns0:val="single" ns0:color="000000" ns0:sz="8" ns0:space="0"/>
              <ns0:bottom ns0:val="single" ns0:color="000000" ns0:sz="8" ns0:space="0"/>
              <ns0:right ns0:val="single" ns0:color="000000" ns0:sz="8" ns0:space="0"/>
            </ns0:tcBorders>
          </ns0:tcPr>
          <ns0:p ns2:paraId="1D364443">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Revisão de Literatura</ns0:t>
            </ns0:r>
          </ns0:p>
          <ns0:p ns2:paraId="45E57F74">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Testes piloto</ns0:t>
            </ns0:r>
          </ns0:p>
          <ns0:p ns2:paraId="10575910">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Recrutamento das participantes</ns0:t>
            </ns0:r>
          </ns0:p>
        </ns0:tc>
      </ns0:tr>
      <ns0:tr ns2:paraId="1D7D0A24">
        <ns0:tblPrEx>
          <ns0:tblCellMar>
            <ns0:top ns0:w="0" ns0:type="dxa"/>
            <ns0:left ns0:w="108" ns0:type="dxa"/>
            <ns0:bottom ns0:w="0" ns0:type="dxa"/>
            <ns0:right ns0:w="108" ns0:type="dxa"/>
          </ns0:tblCellMar>
        </ns0:tblPrEx>
        <ns0:trPr>
          <ns0:trHeight ns0:val="855" ns0:hRule="atLeast"/>
        </ns0:trPr>
        <ns0:tc>
          <ns0:tcPr>
            <ns0:tcW ns0:w="1755" ns0:type="dxa"/>
            <ns0:tcBorders>
              <ns0:top ns0:val="single" ns0:color="000000" ns0:sz="8" ns0:space="0"/>
              <ns0:left ns0:val="single" ns0:color="000000" ns0:sz="8" ns0:space="0"/>
              <ns0:bottom ns0:val="single" ns0:color="000000" ns0:sz="8" ns0:space="0"/>
              <ns0:right ns0:val="single" ns0:color="000000" ns0:sz="8" ns0:space="0"/>
            </ns0:tcBorders>
            <ns0:vAlign ns0:val="center"/>
          </ns0:tcPr>
          <ns0:p ns2:paraId="6817C195">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3º Semestre</ns0:t>
            </ns0:r>
          </ns0:p>
        </ns0:tc>
        <ns0:tc>
          <ns0:tcPr>
            <ns0:tcW ns0:w="7320" ns0:type="dxa"/>
            <ns0:tcBorders>
              <ns0:top ns0:val="single" ns0:color="000000" ns0:sz="8" ns0:space="0"/>
              <ns0:left ns0:val="single" ns0:color="000000" ns0:sz="8" ns0:space="0"/>
              <ns0:bottom ns0:val="single" ns0:color="000000" ns0:sz="8" ns0:space="0"/>
              <ns0:right ns0:val="single" ns0:color="000000" ns0:sz="8" ns0:space="0"/>
            </ns0:tcBorders>
          </ns0:tcPr>
          <ns0:p ns2:paraId="726A6E7C">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Realização das sessões de avaliação</ns0:t>
            </ns0:r>
          </ns0:p>
          <ns0:p ns2:paraId="781D7777">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Processamento e análise dos dados</ns0:t>
            </ns0:r>
          </ns0:p>
        </ns0:tc>
      </ns0:tr>
      <ns0:tr ns2:paraId="0DA60905">
        <ns0:tblPrEx>
          <ns0:tblCellMar>
            <ns0:top ns0:w="0" ns0:type="dxa"/>
            <ns0:left ns0:w="108" ns0:type="dxa"/>
            <ns0:bottom ns0:w="0" ns0:type="dxa"/>
            <ns0:right ns0:w="108" ns0:type="dxa"/>
          </ns0:tblCellMar>
        </ns0:tblPrEx>
        <ns0:trPr>
          <ns0:trHeight ns0:val="1039" ns0:hRule="atLeast"/>
        </ns0:trPr>
        <ns0:tc>
          <ns0:tcPr>
            <ns0:tcW ns0:w="1755" ns0:type="dxa"/>
            <ns0:tcBorders>
              <ns0:top ns0:val="single" ns0:color="000000" ns0:sz="8" ns0:space="0"/>
              <ns0:left ns0:val="single" ns0:color="000000" ns0:sz="8" ns0:space="0"/>
              <ns0:bottom ns0:val="single" ns0:color="000000" ns0:sz="8" ns0:space="0"/>
              <ns0:right ns0:val="single" ns0:color="000000" ns0:sz="8" ns0:space="0"/>
            </ns0:tcBorders>
            <ns0:vAlign ns0:val="center"/>
          </ns0:tcPr>
          <ns0:p ns2:paraId="60FACEEF">
            <ns0:pPr>
              <ns0:spacing ns0:line="360" ns0:lineRule="auto"/>
              <ns0:jc ns0:val="center"/>
              <ns0:rPr>
                <ns0:rFonts ns0:hint="default" ns0:ascii="Times New Roman" ns0:hAnsi="Times New Roman" ns0:eastAsia="Times New Roman" ns0:cs="Times New Roman"/>
                <ns0:b/>
                <ns0:color ns0:val="auto"/>
              </ns0:rPr>
            </ns0:pPr>
            <ns0:r>
              <ns0:rPr>
                <ns0:rFonts ns0:hint="default" ns0:ascii="Times New Roman" ns0:hAnsi="Times New Roman" ns0:eastAsia="Times New Roman" ns0:cs="Times New Roman"/>
                <ns0:b/>
                <ns0:color ns0:val="auto"/>
              </ns0:rPr>
              <ns0:t>4º Semestre</ns0:t>
            </ns0:r>
          </ns0:p>
        </ns0:tc>
        <ns0:tc>
          <ns0:tcPr>
            <ns0:tcW ns0:w="7320" ns0:type="dxa"/>
            <ns0:tcBorders>
              <ns0:top ns0:val="single" ns0:color="000000" ns0:sz="8" ns0:space="0"/>
              <ns0:left ns0:val="single" ns0:color="000000" ns0:sz="8" ns0:space="0"/>
              <ns0:bottom ns0:val="single" ns0:color="000000" ns0:sz="8" ns0:space="0"/>
              <ns0:right ns0:val="single" ns0:color="000000" ns0:sz="8" ns0:space="0"/>
            </ns0:tcBorders>
          </ns0:tcPr>
          <ns0:p ns2:paraId="10E18816">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Revisão de Literatura</ns0:t>
            </ns0:r>
          </ns0:p>
          <ns0:p ns2:paraId="372E5EA1">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Elaboração da dissertação</ns0:t>
            </ns0:r>
          </ns0:p>
          <ns0:p ns2:paraId="08F10788">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Elaboração de artigos científicos</ns0:t>
            </ns0:r>
          </ns0:p>
          <ns0:p ns2:paraId="21BA92FF">
            <ns0:pPr>
              <ns0:spacing ns0:line="360" ns0:lineRule="auto"/>
              <ns0:ind ns0:left="252" ns0:hanging="120"/>
              <ns0:rPr>
                <ns0:rFonts ns0:hint="default" ns0:ascii="Times New Roman" ns0:hAnsi="Times New Roman" ns0:eastAsia="Times New Roman" ns0:cs="Times New Roman"/>
                <ns0:color ns0:val="auto"/>
              </ns0:rPr>
            </ns0:pPr>
            <ns0:r>
              <ns0:rPr>
                <ns0:rFonts ns0:hint="default" ns0:ascii="Times New Roman" ns0:hAnsi="Times New Roman" ns0:eastAsia="Times New Roman" ns0:cs="Times New Roman"/>
                <ns0:color ns0:val="auto"/>
              </ns0:rPr>
              <ns0:t>Submissão de trabalhos científicos</ns0:t>
            </ns0:r>
          </ns0:p>
        </ns0:tc>
      </ns0:tr>
    </ns0:tbl>
    <ns0:p ns2:paraId="51D39C2F">
      <ns0:pPr>
        <ns0:pStyle ns0:val="18"/>
        <ns0:spacing ns0:line="360" ns0:lineRule="auto"/>
        <ns0:rPr>
          <ns0:rFonts ns0:hint="default" ns0:ascii="Times New Roman" ns0:hAnsi="Times New Roman" ns0:eastAsia="Times New Roman" ns0:cs="Times New Roman"/>
          <ns0:color ns0:val="auto"/>
          <ns0:lang ns0:val="en-US"/>
        </ns0:rPr>
      </ns0:pPr>
    </ns0:p>
    <ns0:p ns2:paraId="29248428">
      <ns0:pPr>
        <ns0:widowControl ns0:val="0"/>
        <ns0:shd ns0:val="clear" ns0:color="auto" ns0:fill="FFFFFF"/>
        <ns0:spacing ns0:before="240" ns0:after="240" ns0:line="360" ns0:lineRule="auto"/>
        <ns0:rPr>
          <ns0:rFonts ns0:hint="default" ns0:ascii="Times New Roman" ns0:hAnsi="Times New Roman" ns0:eastAsia="Times New Roman" ns0:cs="Times New Roman"/>
          <ns0:b/>
          <ns0:bCs/>
          <ns0:color ns0:val="auto"/>
        </ns0:rPr>
      </ns0:pPr>
      <ns0:r>
        <ns0:rPr>
          <ns0:rFonts ns0:hint="default" ns0:ascii="Times New Roman" ns0:hAnsi="Times New Roman" ns0:eastAsia="Times New Roman" ns0:cs="Times New Roman"/>
          <ns0:b/>
          <ns0:bCs/>
          <ns0:color ns0:val="auto"/>
        </ns0:rPr>
        <ns0:t>5   REFERÊNCIAS BIBLIOGRÁFICAS</ns0:t>
      </ns0:r>
    </ns0:p>
    <ns0:p ns2:paraId="7AF837A1">
      <ns0:pPr>
        <ns0:pStyle ns0:val="18"/>
        <ns0:spacing ns0:line="360" ns0:lineRule="auto"/>
        <ns0:rPr>
          <ns0:rFonts ns0:hint="default" ns0:ascii="Times New Roman" ns0:hAnsi="Times New Roman" ns0:eastAsia="Times New Roman" ns0:cs="Times New Roman"/>
          <ns0:color ns0:val="auto"/>
          <ns0:lang ns0:val="en-US"/>
        </ns0:rPr>
      </ns0:pPr>
    </ns0:p>
    <ns0:p ns2:paraId="60D825FE">
      <ns0:pPr>
        <ns0:tabs>
          <ns0:tab ns0:val="left" ns0:pos="0"/>
        </ns0:tabs>
        <ns0:spacing ns0:after="0" ns0:line="240" ns0:lineRule="auto"/>
        <ns0:ind ns0:left="504" ns0:hanging="504"/>
        <ns0:rPr>
          <ns0:rFonts ns0:hint="default" ns0:ascii="Times New Roman" ns0:hAnsi="Times New Roman" ns0:cs="Times New Roman"/>
          <ns0:color ns0:val="auto"/>
          <ns0:lang ns0:val="pt-BR"/>
        </ns0:rPr>
      </ns0:pPr>
      <ns0:r>
        <ns0:rPr>
          <ns0:rFonts ns0:hint="default" ns0:ascii="Times New Roman" ns0:hAnsi="Times New Roman" ns0:eastAsia="Times New Roman" ns0:cs="Times New Roman"/>
          <ns0:color ns0:val="auto"/>
          <ns0:szCs ns0:val="23"/>
          <ns0:lang ns0:val="en-US"/>
        </ns0:rPr>
        <ns0:fldChar ns0:fldCharType="begin"/>
      </ns0:r>
      <ns0:r>
        <ns0:rPr>
          <ns0:rFonts ns0:hint="default" ns0:ascii="Times New Roman" ns0:hAnsi="Times New Roman" ns0:eastAsia="Times New Roman" ns0:cs="Times New Roman"/>
          <ns0:color ns0:val="auto"/>
          <ns0:szCs ns0:val="23"/>
          <ns0:lang ns0:val="en-US"/>
        </ns0:rPr>
        <ns0:instrText xml:space="preserve"> ADDIN ZOTERO_BIBL {"uncited":[],"omitted":[],"custom":[]} CSL_BIBLIOGRAPHY </ns0:instrText>
      </ns0:r>
      <ns0:r>
        <ns0:rPr>
          <ns0:rFonts ns0:hint="default" ns0:ascii="Times New Roman" ns0:hAnsi="Times New Roman" ns0:eastAsia="Times New Roman" ns0:cs="Times New Roman"/>
          <ns0:color ns0:val="auto"/>
          <ns0:szCs ns0:val="23"/>
          <ns0:lang ns0:val="en-US"/>
        </ns0:rPr>
        <ns0:fldChar ns0:fldCharType="separate"/>
      </ns0:r>
      <ns0:r>
        <ns0:rPr>
          <ns0:rFonts ns0:hint="default" ns0:ascii="Times New Roman" ns0:hAnsi="Times New Roman" ns0:cs="Times New Roman"/>
          <ns0:color ns0:val="auto"/>
          <ns0:lang ns0:val="pt-BR"/>
        </ns0:rPr>
        <ns0:t>[1]</ns0:t>
      </ns0:r>
      <ns0:r>
        <ns0:rPr>
          <ns0:rFonts ns0:hint="default" ns0:ascii="Times New Roman" ns0:hAnsi="Times New Roman" ns0:cs="Times New Roman"/>
          <ns0:color ns0:val="auto"/>
          <ns0:lang ns0:val="pt-BR"/>
        </ns0:rPr>
        <ns0:tab/>
      </ns0:r>
      <ns0:r>
        <ns0:rPr>
          <ns0:rFonts ns0:hint="default" ns0:ascii="Times New Roman" ns0:hAnsi="Times New Roman" ns0:cs="Times New Roman"/>
          <ns0:color ns0:val="auto"/>
          <ns0:lang ns0:val="pt-BR"/>
        </ns0:rPr>
        <ns0:t xml:space="preserve">R. Malíř, J. Chrudimský, A. Provazník, e V. Třebický, “Are the shoulder joint function, stability, and mobility tests predictive of handstand execution?”, </ns0:t>
      </ns0:r>
      <ns0:r>
        <ns0:rPr>
          <ns0:rFonts ns0:hint="default" ns0:ascii="Times New Roman" ns0:hAnsi="Times New Roman" ns0:cs="Times New Roman"/>
          <ns0:i/>
          <ns0:color ns0:val="auto"/>
          <ns0:lang ns0:val="pt-BR"/>
        </ns0:rPr>
        <ns0:t>PLOS ONE</ns0:t>
      </ns0:r>
      <ns0:r>
        <ns0:rPr>
          <ns0:rFonts ns0:hint="default" ns0:ascii="Times New Roman" ns0:hAnsi="Times New Roman" ns0:cs="Times New Roman"/>
          <ns0:color ns0:val="auto"/>
          <ns0:lang ns0:val="pt-BR"/>
        </ns0:rPr>
        <ns0:t>, v. 19, n. 5, p. e0302922, maio 2024, doi: 10.1371/journal.pone.0302922.</ns0:t>
      </ns0:r>
    </ns0:p>
    <ns0:p ns2:paraId="3996DF2A">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Rohleder e T. Vogt, “Performance control in handstands: challenging entrenched coaching strategies for young gymnasts”, </ns0:t>
      </ns0:r>
      <ns0:r>
        <ns0:rPr>
          <ns0:rFonts ns0:hint="default" ns0:ascii="Times New Roman" ns0:hAnsi="Times New Roman" ns0:eastAsia="Times New Roman" ns0:cs="Times New Roman"/>
          <ns0:i/>
          <ns0:color ns0:val="auto"/>
          <ns0:sz ns0:val="23"/>
          <ns0:szCs ns0:val="23"/>
          <ns0:lang ns0:val="pt-BR"/>
        </ns0:rPr>
        <ns0:t>Int. J. Perform. Anal. Sport</ns0:t>
      </ns0:r>
      <ns0:r>
        <ns0:rPr>
          <ns0:rFonts ns0:hint="default" ns0:ascii="Times New Roman" ns0:hAnsi="Times New Roman" ns0:eastAsia="Times New Roman" ns0:cs="Times New Roman"/>
          <ns0:color ns0:val="auto"/>
          <ns0:sz ns0:val="23"/>
          <ns0:szCs ns0:val="23"/>
          <ns0:lang ns0:val="pt-BR"/>
        </ns0:rPr>
        <ns0:t>, v. 18, n. 1, p. 17–31, jan. 2018, doi: 10.1080/24748668.2018.1440459.</ns0:t>
      </ns0:r>
    </ns0:p>
    <ns0:p ns2:paraId="27E02AA5">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G. Kerwin e G. Trewartha, “Strategies for maintaining a handstand in the anterior-posterior direction”:, </ns0:t>
      </ns0:r>
      <ns0:r>
        <ns0:rPr>
          <ns0:rFonts ns0:hint="default" ns0:ascii="Times New Roman" ns0:hAnsi="Times New Roman" ns0:eastAsia="Times New Roman" ns0:cs="Times New Roman"/>
          <ns0:i/>
          <ns0:color ns0:val="auto"/>
          <ns0:sz ns0:val="23"/>
          <ns0:szCs ns0:val="23"/>
          <ns0:lang ns0:val="pt-BR"/>
        </ns0:rPr>
        <ns0:t>Med. Sci. Sports Exerc.</ns0:t>
      </ns0:r>
      <ns0:r>
        <ns0:rPr>
          <ns0:rFonts ns0:hint="default" ns0:ascii="Times New Roman" ns0:hAnsi="Times New Roman" ns0:eastAsia="Times New Roman" ns0:cs="Times New Roman"/>
          <ns0:color ns0:val="auto"/>
          <ns0:sz ns0:val="23"/>
          <ns0:szCs ns0:val="23"/>
          <ns0:lang ns0:val="pt-BR"/>
        </ns0:rPr>
        <ns0:t>, v. 33, n. 7, p. 1182–1188, jul. 2001, doi: 10.1097/00005768-200107000-00016.</ns0:t>
      </ns0:r>
    </ns0:p>
    <ns0:p ns2:paraId="1C3A5FFD">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H. E. Wyatt, D. Vicinanza, K. M. Newell, G. Irwin, e G. K. R. Williams, “Bidirectional causal control in the dynamics of handstand balance”, </ns0:t>
      </ns0:r>
      <ns0:r>
        <ns0:rPr>
          <ns0:rFonts ns0:hint="default" ns0:ascii="Times New Roman" ns0:hAnsi="Times New Roman" ns0:eastAsia="Times New Roman" ns0:cs="Times New Roman"/>
          <ns0:i/>
          <ns0:color ns0:val="auto"/>
          <ns0:sz ns0:val="23"/>
          <ns0:szCs ns0:val="23"/>
          <ns0:lang ns0:val="pt-BR"/>
        </ns0:rPr>
        <ns0:t>Sci. Rep.</ns0:t>
      </ns0:r>
      <ns0:r>
        <ns0:rPr>
          <ns0:rFonts ns0:hint="default" ns0:ascii="Times New Roman" ns0:hAnsi="Times New Roman" ns0:eastAsia="Times New Roman" ns0:cs="Times New Roman"/>
          <ns0:color ns0:val="auto"/>
          <ns0:sz ns0:val="23"/>
          <ns0:szCs ns0:val="23"/>
          <ns0:lang ns0:val="pt-BR"/>
        </ns0:rPr>
        <ns0:t>, v. 11, n. 1, p. 405, jan. 2021, doi: 10.1038/s41598-020-79730-z.</ns0:t>
      </ns0:r>
    </ns0:p>
    <ns0:p ns2:paraId="43AB0998">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Pryhoda, K. M. Newell, C. Wilson, e G. Irwin, “Task Specific and General Patterns of Joint Motion Variability in Upright- and Hand-Standing Postures”, </ns0:t>
      </ns0:r>
      <ns0:r>
        <ns0:rPr>
          <ns0:rFonts ns0:hint="default" ns0:ascii="Times New Roman" ns0:hAnsi="Times New Roman" ns0:eastAsia="Times New Roman" ns0:cs="Times New Roman"/>
          <ns0:i/>
          <ns0:color ns0:val="auto"/>
          <ns0:sz ns0:val="23"/>
          <ns0:szCs ns0:val="23"/>
          <ns0:lang ns0:val="pt-BR"/>
        </ns0:rPr>
        <ns0:t>Entropy</ns0:t>
      </ns0:r>
      <ns0:r>
        <ns0:rPr>
          <ns0:rFonts ns0:hint="default" ns0:ascii="Times New Roman" ns0:hAnsi="Times New Roman" ns0:eastAsia="Times New Roman" ns0:cs="Times New Roman"/>
          <ns0:color ns0:val="auto"/>
          <ns0:sz ns0:val="23"/>
          <ns0:szCs ns0:val="23"/>
          <ns0:lang ns0:val="pt-BR"/>
        </ns0:rPr>
        <ns0:t>, v. 24, n. 7, p. 909, jun. 2022, doi: 10.3390/e24070909.</ns0:t>
      </ns0:r>
    </ns0:p>
    <ns0:p ns2:paraId="7ADEA19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 Kochanowicz, B. Niespodziński, J. Mieszkowski, M. Marina, K. Kochanowicz, e M. Zasada, “Changes in the Muscle Activity of Gymnasts During a Handstand on Various Apparatus”, </ns0:t>
      </ns0:r>
      <ns0:r>
        <ns0:rPr>
          <ns0:rFonts ns0:hint="default" ns0:ascii="Times New Roman" ns0:hAnsi="Times New Roman" ns0:eastAsia="Times New Roman" ns0:cs="Times New Roman"/>
          <ns0:i/>
          <ns0:color ns0:val="auto"/>
          <ns0:sz ns0:val="23"/>
          <ns0:szCs ns0:val="23"/>
          <ns0:lang ns0:val="pt-BR"/>
        </ns0:rPr>
        <ns0:t>J. Strength Cond. Res.</ns0:t>
      </ns0:r>
      <ns0:r>
        <ns0:rPr>
          <ns0:rFonts ns0:hint="default" ns0:ascii="Times New Roman" ns0:hAnsi="Times New Roman" ns0:eastAsia="Times New Roman" ns0:cs="Times New Roman"/>
          <ns0:color ns0:val="auto"/>
          <ns0:sz ns0:val="23"/>
          <ns0:szCs ns0:val="23"/>
          <ns0:lang ns0:val="pt-BR"/>
        </ns0:rPr>
        <ns0:t>, v. 33, n. 6, p. 1609–1618, jun. 2019, doi: 10.1519/JSC.0000000000002124.</ns0:t>
      </ns0:r>
    </ns0:p>
    <ns0:p ns2:paraId="6610A429">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G. M. Blenkinsop, M. T. G. Pain, e M. J. Hiley, “Balance control strategies during perturbed and unperturbed balance in standing and handstand”, </ns0:t>
      </ns0:r>
      <ns0:r>
        <ns0:rPr>
          <ns0:rFonts ns0:hint="default" ns0:ascii="Times New Roman" ns0:hAnsi="Times New Roman" ns0:eastAsia="Times New Roman" ns0:cs="Times New Roman"/>
          <ns0:i/>
          <ns0:color ns0:val="auto"/>
          <ns0:sz ns0:val="23"/>
          <ns0:szCs ns0:val="23"/>
          <ns0:lang ns0:val="pt-BR"/>
        </ns0:rPr>
        <ns0:t>R. Soc. Open Sci.</ns0:t>
      </ns0:r>
      <ns0:r>
        <ns0:rPr>
          <ns0:rFonts ns0:hint="default" ns0:ascii="Times New Roman" ns0:hAnsi="Times New Roman" ns0:eastAsia="Times New Roman" ns0:cs="Times New Roman"/>
          <ns0:color ns0:val="auto"/>
          <ns0:sz ns0:val="23"/>
          <ns0:szCs ns0:val="23"/>
          <ns0:lang ns0:val="pt-BR"/>
        </ns0:rPr>
        <ns0:t>, v. 4, n. 7, p. 161018, jul. 2017, doi: 10.1098/rsos.161018.</ns0:t>
      </ns0:r>
    </ns0:p>
    <ns0:p ns2:paraId="66A0D00D">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M. K. Pryhoda, K. M. Newell, e G. Irwin, “HANDSTAND BALANCE MOTOR CONTROL MECHANISMS”, 2021.</ns0:t>
      </ns0:r>
    </ns0:p>
    <ns0:p ns2:paraId="6C6AAD7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Rohleder e T. Vogt, “EFFICACY OF WRIST STRATEGY COACHING ON HANDSTAND PERFORMANCES IN NOVICES: INVERTING EXPLICIT AND IMPLICIT LEARNING OF SKILL-RELATED MOTOR TASKS”, </ns0:t>
      </ns0:r>
      <ns0:r>
        <ns0:rPr>
          <ns0:rFonts ns0:hint="default" ns0:ascii="Times New Roman" ns0:hAnsi="Times New Roman" ns0:eastAsia="Times New Roman" ns0:cs="Times New Roman"/>
          <ns0:i/>
          <ns0:color ns0:val="auto"/>
          <ns0:sz ns0:val="23"/>
          <ns0:szCs ns0:val="23"/>
          <ns0:lang ns0:val="pt-BR"/>
        </ns0:rPr>
        <ns0:t>Sci. Gymnast. J.</ns0:t>
      </ns0:r>
      <ns0:r>
        <ns0:rPr>
          <ns0:rFonts ns0:hint="default" ns0:ascii="Times New Roman" ns0:hAnsi="Times New Roman" ns0:eastAsia="Times New Roman" ns0:cs="Times New Roman"/>
          <ns0:color ns0:val="auto"/>
          <ns0:sz ns0:val="23"/>
          <ns0:szCs ns0:val="23"/>
          <ns0:lang ns0:val="pt-BR"/>
        </ns0:rPr>
        <ns0:t>, v. 11, n. 2, p. 209–222, jun. 2019, doi: 10.52165/sgj.11.2.209-222.</ns0:t>
      </ns0:r>
    </ns0:p>
    <ns0:p ns2:paraId="5CD1C5FA">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 Kochanowicz, B. Niespodziński, M. Marina, J. Mieszkowski, L. Biskup, e K. Kochanowicz, “Relationship between postural control and muscle activity during a handstand in young and adult gymnasts”, </ns0:t>
      </ns0:r>
      <ns0:r>
        <ns0:rPr>
          <ns0:rFonts ns0:hint="default" ns0:ascii="Times New Roman" ns0:hAnsi="Times New Roman" ns0:eastAsia="Times New Roman" ns0:cs="Times New Roman"/>
          <ns0:i/>
          <ns0:color ns0:val="auto"/>
          <ns0:sz ns0:val="23"/>
          <ns0:szCs ns0:val="23"/>
          <ns0:lang ns0:val="pt-BR"/>
        </ns0:rPr>
        <ns0:t>Hum. Mov. Sci.</ns0:t>
      </ns0:r>
      <ns0:r>
        <ns0:rPr>
          <ns0:rFonts ns0:hint="default" ns0:ascii="Times New Roman" ns0:hAnsi="Times New Roman" ns0:eastAsia="Times New Roman" ns0:cs="Times New Roman"/>
          <ns0:color ns0:val="auto"/>
          <ns0:sz ns0:val="23"/>
          <ns0:szCs ns0:val="23"/>
          <ns0:lang ns0:val="pt-BR"/>
        </ns0:rPr>
        <ns0:t>, v. 58, p. 195–204, abr. 2018, doi: 10.1016/j.humov.2018.02.007.</ns0:t>
      </ns0:r>
    </ns0:p>
    <ns0:p ns2:paraId="61D40D06">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P. Hedbávný, J. Sklenaříková, D. Hupka, e M. Kalichová, “BALANCING IN HANDSTAND ON THE FLOOR”, v. 5, n. 3.</ns0:t>
      </ns0:r>
    </ns0:p>
    <ns0:p ns2:paraId="2BCCEBF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“Analyzing optimal muscle dynamics during handstands: a comprehensive investigation of skilled gymnasts”, </ns0:t>
      </ns0:r>
      <ns0:r>
        <ns0:rPr>
          <ns0:rFonts ns0:hint="default" ns0:ascii="Times New Roman" ns0:hAnsi="Times New Roman" ns0:eastAsia="Times New Roman" ns0:cs="Times New Roman"/>
          <ns0:i/>
          <ns0:color ns0:val="auto"/>
          <ns0:sz ns0:val="23"/>
          <ns0:szCs ns0:val="23"/>
          <ns0:lang ns0:val="pt-BR"/>
        </ns0:rPr>
        <ns0:t>J. Phys. Educ. Sport</ns0:t>
      </ns0:r>
      <ns0:r>
        <ns0:rPr>
          <ns0:rFonts ns0:hint="default" ns0:ascii="Times New Roman" ns0:hAnsi="Times New Roman" ns0:eastAsia="Times New Roman" ns0:cs="Times New Roman"/>
          <ns0:color ns0:val="auto"/>
          <ns0:sz ns0:val="23"/>
          <ns0:szCs ns0:val="23"/>
          <ns0:lang ns0:val="pt-BR"/>
        </ns0:rPr>
        <ns0:t>, v. 24, n. 4.</ns0:t>
      </ns0:r>
    </ns0:p>
    <ns0:p ns2:paraId="70E406EE">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P. S. B. Belčič, “Kinematic Analysis of handstands in gymnastics”, </ns0:t>
      </ns0:r>
      <ns0:r>
        <ns0:rPr>
          <ns0:rFonts ns0:hint="default" ns0:ascii="Times New Roman" ns0:hAnsi="Times New Roman" ns0:eastAsia="Times New Roman" ns0:cs="Times New Roman"/>
          <ns0:i/>
          <ns0:color ns0:val="auto"/>
          <ns0:sz ns0:val="23"/>
          <ns0:szCs ns0:val="23"/>
          <ns0:lang ns0:val="pt-BR"/>
        </ns0:rPr>
        <ns0:t>Science of Gymnastics Journal</ns0:t>
      </ns0:r>
      <ns0:r>
        <ns0:rPr>
          <ns0:rFonts ns0:hint="default" ns0:ascii="Times New Roman" ns0:hAnsi="Times New Roman" ns0:eastAsia="Times New Roman" ns0:cs="Times New Roman"/>
          <ns0:color ns0:val="auto"/>
          <ns0:sz ns0:val="23"/>
          <ns0:szCs ns0:val="23"/>
          <ns0:lang ns0:val="pt-BR"/>
        </ns0:rPr>
        <ns0:t>, v. 7, p. 19–30, 2015.</ns0:t>
      </ns0:r>
    </ns0:p>
    <ns0:p ns2:paraId="711C237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C. Eyssartier, P. Billard, P. Thoreux, e C. Sauret, “Spine Kinematics Behavior During the Handstand Posture: A Biplanar Radiographic Analysis”, </ns0:t>
      </ns0:r>
      <ns0:r>
        <ns0:rPr>
          <ns0:rFonts ns0:hint="default" ns0:ascii="Times New Roman" ns0:hAnsi="Times New Roman" ns0:eastAsia="Times New Roman" ns0:cs="Times New Roman"/>
          <ns0:i/>
          <ns0:color ns0:val="auto"/>
          <ns0:sz ns0:val="23"/>
          <ns0:szCs ns0:val="23"/>
          <ns0:lang ns0:val="pt-BR"/>
        </ns0:rPr>
        <ns0:t>J. Funct. Morphol. Kinesiol.</ns0:t>
      </ns0:r>
      <ns0:r>
        <ns0:rPr>
          <ns0:rFonts ns0:hint="default" ns0:ascii="Times New Roman" ns0:hAnsi="Times New Roman" ns0:eastAsia="Times New Roman" ns0:cs="Times New Roman"/>
          <ns0:color ns0:val="auto"/>
          <ns0:sz ns0:val="23"/>
          <ns0:szCs ns0:val="23"/>
          <ns0:lang ns0:val="pt-BR"/>
        </ns0:rPr>
        <ns0:t>, v. 9, n. 4, p. 252, dez. 2024, doi: 10.3390/jfmk9040252.</ns0:t>
      </ns0:r>
    </ns0:p>
    <ns0:p ns2:paraId="6DB412CF">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McDonald, J. S. Baker, Y. Gu, e U. C. Ugbolue, “Biomechanical analyses of the handstand: a systematic review”, </ns0:t>
      </ns0:r>
      <ns0:r>
        <ns0:rPr>
          <ns0:rFonts ns0:hint="default" ns0:ascii="Times New Roman" ns0:hAnsi="Times New Roman" ns0:eastAsia="Times New Roman" ns0:cs="Times New Roman"/>
          <ns0:i/>
          <ns0:color ns0:val="auto"/>
          <ns0:sz ns0:val="23"/>
          <ns0:szCs ns0:val="23"/>
          <ns0:lang ns0:val="pt-BR"/>
        </ns0:rPr>
        <ns0:t>Front. Sports Act. Living</ns0:t>
      </ns0:r>
      <ns0:r>
        <ns0:rPr>
          <ns0:rFonts ns0:hint="default" ns0:ascii="Times New Roman" ns0:hAnsi="Times New Roman" ns0:eastAsia="Times New Roman" ns0:cs="Times New Roman"/>
          <ns0:color ns0:val="auto"/>
          <ns0:sz ns0:val="23"/>
          <ns0:szCs ns0:val="23"/>
          <ns0:lang ns0:val="pt-BR"/>
        </ns0:rPr>
        <ns0:t>, v. 7, p. 1694648, dez. 2025, doi: 10.3389/fspor.2025.1694648.</ns0:t>
      </ns0:r>
    </ns0:p>
    <ns0:p ns2:paraId="6857143D">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Milosis e T. Satras, “THE EFFECTIVENESS OF DIFFERENT HANDSTAND PLACEMENT TECHNIQUES IN HANDSTAND BALANCE CONTROL AND GENDER DIFFERENCESDSTAND BALANCE CONTROL AND GENDER DIFFERENCES”, </ns0:t>
      </ns0:r>
      <ns0:r>
        <ns0:rPr>
          <ns0:rFonts ns0:hint="default" ns0:ascii="Times New Roman" ns0:hAnsi="Times New Roman" ns0:eastAsia="Times New Roman" ns0:cs="Times New Roman"/>
          <ns0:i/>
          <ns0:color ns0:val="auto"/>
          <ns0:sz ns0:val="23"/>
          <ns0:szCs ns0:val="23"/>
          <ns0:lang ns0:val="pt-BR"/>
        </ns0:rPr>
        <ns0:t>Sci. Gymnast. J.</ns0:t>
      </ns0:r>
      <ns0:r>
        <ns0:rPr>
          <ns0:rFonts ns0:hint="default" ns0:ascii="Times New Roman" ns0:hAnsi="Times New Roman" ns0:eastAsia="Times New Roman" ns0:cs="Times New Roman"/>
          <ns0:color ns0:val="auto"/>
          <ns0:sz ns0:val="23"/>
          <ns0:szCs ns0:val="23"/>
          <ns0:lang ns0:val="pt-BR"/>
        </ns0:rPr>
        <ns0:t>, v. 15, n. 3, p. 375–394, out. 2023, doi: 10.52165/sgj.15.3.375-394.</ns0:t>
      </ns0:r>
    </ns0:p>
    <ns0:p ns2:paraId="63639AC6">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Farana, P. Brtva, G. Irwin, e K. M. Newell, “Neck Angle in the Handstand Changes the Pattern of Multi-Joint Variability”, </ns0:t>
      </ns0:r>
      <ns0:r>
        <ns0:rPr>
          <ns0:rFonts ns0:hint="default" ns0:ascii="Times New Roman" ns0:hAnsi="Times New Roman" ns0:eastAsia="Times New Roman" ns0:cs="Times New Roman"/>
          <ns0:i/>
          <ns0:color ns0:val="auto"/>
          <ns0:sz ns0:val="23"/>
          <ns0:szCs ns0:val="23"/>
          <ns0:lang ns0:val="pt-BR"/>
        </ns0:rPr>
        <ns0:t>J. Mot. Behav.</ns0:t>
      </ns0:r>
      <ns0:r>
        <ns0:rPr>
          <ns0:rFonts ns0:hint="default" ns0:ascii="Times New Roman" ns0:hAnsi="Times New Roman" ns0:eastAsia="Times New Roman" ns0:cs="Times New Roman"/>
          <ns0:color ns0:val="auto"/>
          <ns0:sz ns0:val="23"/>
          <ns0:szCs ns0:val="23"/>
          <ns0:lang ns0:val="pt-BR"/>
        </ns0:rPr>
        <ns0:t>, v. 57, n. 6, p. 768–776, nov. 2025, doi: 10.1080/00222895.2025.2558711.</ns0:t>
      </ns0:r>
    </ns0:p>
    <ns0:p ns2:paraId="20429487">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E. Thomas </ns0:t>
      </ns0:r>
      <ns0:r>
        <ns0:rPr>
          <ns0:rFonts ns0:hint="default" ns0:ascii="Times New Roman" ns0:hAnsi="Times New Roman" ns0:eastAsia="Times New Roman" ns0:cs="Times New Roman"/>
          <ns0:i/>
          <ns0:color ns0:val="auto"/>
          <ns0:sz ns0:val="23"/>
          <ns0:szCs ns0:val="23"/>
          <ns0:lang ns0:val="pt-BR"/>
        </ns0:rPr>
        <ns0:t>et al.</ns0:t>
      </ns0:r>
      <ns0:r>
        <ns0:rPr>
          <ns0:rFonts ns0:hint="default" ns0:ascii="Times New Roman" ns0:hAnsi="Times New Roman" ns0:eastAsia="Times New Roman" ns0:cs="Times New Roman"/>
          <ns0:color ns0:val="auto"/>
          <ns0:sz ns0:val="23"/>
          <ns0:szCs ns0:val="23"/>
          <ns0:lang ns0:val="pt-BR"/>
        </ns0:rPr>
        <ns0:t xml:space="preserve">, “Evaluation of Posturographic and Neuromuscular Parameters during Upright Stance and Hand Standing: A Pilot Study”, </ns0:t>
      </ns0:r>
      <ns0:r>
        <ns0:rPr>
          <ns0:rFonts ns0:hint="default" ns0:ascii="Times New Roman" ns0:hAnsi="Times New Roman" ns0:eastAsia="Times New Roman" ns0:cs="Times New Roman"/>
          <ns0:i/>
          <ns0:color ns0:val="auto"/>
          <ns0:sz ns0:val="23"/>
          <ns0:szCs ns0:val="23"/>
          <ns0:lang ns0:val="pt-BR"/>
        </ns0:rPr>
        <ns0:t>J. Funct. Morphol. Kinesiol.</ns0:t>
      </ns0:r>
      <ns0:r>
        <ns0:rPr>
          <ns0:rFonts ns0:hint="default" ns0:ascii="Times New Roman" ns0:hAnsi="Times New Roman" ns0:eastAsia="Times New Roman" ns0:cs="Times New Roman"/>
          <ns0:color ns0:val="auto"/>
          <ns0:sz ns0:val="23"/>
          <ns0:szCs ns0:val="23"/>
          <ns0:lang ns0:val="pt-BR"/>
        </ns0:rPr>
        <ns0:t>, v. 8, n. 2, p. 40, mar. 2023, doi: 10.3390/jfmk8020040.</ns0:t>
      </ns0:r>
    </ns0:p>
    <ns0:p ns2:paraId="00E6478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[19]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Sabido, F. García-Aguilar, C. Caballero, e F. J. Moreno, “How does fatigue affect handstand balance? a non-linear approach to study fatigue influence in handstand performance”, </ns0:t>
      </ns0:r>
      <ns0:r>
        <ns0:rPr>
          <ns0:rFonts ns0:hint="default" ns0:ascii="Times New Roman" ns0:hAnsi="Times New Roman" ns0:eastAsia="Times New Roman" ns0:cs="Times New Roman"/>
          <ns0:i/>
          <ns0:color ns0:val="auto"/>
          <ns0:sz ns0:val="23"/>
          <ns0:szCs ns0:val="23"/>
          <ns0:lang ns0:val="pt-BR"/>
        </ns0:rPr>
        <ns0:t>J. NeuroEngineering Rehabil.</ns0:t>
      </ns0:r>
      <ns0:r>
        <ns0:rPr>
          <ns0:rFonts ns0:hint="default" ns0:ascii="Times New Roman" ns0:hAnsi="Times New Roman" ns0:eastAsia="Times New Roman" ns0:cs="Times New Roman"/>
          <ns0:color ns0:val="auto"/>
          <ns0:sz ns0:val="23"/>
          <ns0:szCs ns0:val="23"/>
          <ns0:lang ns0:val="pt-BR"/>
        </ns0:rPr>
        <ns0:t>, v. 21, n. 1, p. 171, set. 2024, doi: 10.1186/s12984-024-01442-6.</ns0:t>
      </ns0:r>
    </ns0:p>
    <ns0:p ns2:paraId="778D8BAC">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Omorczyk, A. Zajac, e E. Puszczalowska-Lizis, “Relationships between postural stability in standing and handstand and psychological factors in athletes practicing artistic gymnastics”, </ns0:t>
      </ns0:r>
      <ns0:r>
        <ns0:rPr>
          <ns0:rFonts ns0:hint="default" ns0:ascii="Times New Roman" ns0:hAnsi="Times New Roman" ns0:eastAsia="Times New Roman" ns0:cs="Times New Roman"/>
          <ns0:i/>
          <ns0:color ns0:val="auto"/>
          <ns0:sz ns0:val="23"/>
          <ns0:szCs ns0:val="23"/>
          <ns0:lang ns0:val="pt-BR"/>
        </ns0:rPr>
        <ns0:t>Balt. J. Health Phys. Act.</ns0:t>
      </ns0:r>
      <ns0:r>
        <ns0:rPr>
          <ns0:rFonts ns0:hint="default" ns0:ascii="Times New Roman" ns0:hAnsi="Times New Roman" ns0:eastAsia="Times New Roman" ns0:cs="Times New Roman"/>
          <ns0:color ns0:val="auto"/>
          <ns0:sz ns0:val="23"/>
          <ns0:szCs ns0:val="23"/>
          <ns0:lang ns0:val="pt-BR"/>
        </ns0:rPr>
        <ns0:t>, p. 96–106, dez. 2019, doi: 10.29359/BJHPA.11.4.11.</ns0:t>
      </ns0:r>
    </ns0:p>
    <ns0:p ns2:paraId="6856B623">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Omorczyk, P. Bujas, E. Puszczałowska-Lizis, e L. Biskup, “Balance in handstand and postural stability in standing position in athletes practicing gymnastics”, </ns0:t>
      </ns0:r>
      <ns0:r>
        <ns0:rPr>
          <ns0:rFonts ns0:hint="default" ns0:ascii="Times New Roman" ns0:hAnsi="Times New Roman" ns0:eastAsia="Times New Roman" ns0:cs="Times New Roman"/>
          <ns0:i/>
          <ns0:color ns0:val="auto"/>
          <ns0:sz ns0:val="23"/>
          <ns0:szCs ns0:val="23"/>
          <ns0:lang ns0:val="pt-BR"/>
        </ns0:rPr>
        <ns0:t>Acta Bioeng. Biomech. 022018 ISSN 1509-409X</ns0:t>
      </ns0:r>
      <ns0:r>
        <ns0:rPr>
          <ns0:rFonts ns0:hint="default" ns0:ascii="Times New Roman" ns0:hAnsi="Times New Roman" ns0:eastAsia="Times New Roman" ns0:cs="Times New Roman"/>
          <ns0:color ns0:val="auto"/>
          <ns0:sz ns0:val="23"/>
          <ns0:szCs ns0:val="23"/>
          <ns0:lang ns0:val="pt-BR"/>
        </ns0:rPr>
        <ns0:t>, 2018, doi: 10.5277/ABB-01110-2018-02.</ns0:t>
      </ns0:r>
    </ns0:p>
    <ns0:p ns2:paraId="75E4730A">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 Kochanowicz, K. Kochanowicz, B. Niespodzinski, J. Mieszkowski, e L. Biskup, “The level of body balance in a handstand and the effectiveness of sports training in gymnastics”, </ns0:t>
      </ns0:r>
      <ns0:r>
        <ns0:rPr>
          <ns0:rFonts ns0:hint="default" ns0:ascii="Times New Roman" ns0:hAnsi="Times New Roman" ns0:eastAsia="Times New Roman" ns0:cs="Times New Roman"/>
          <ns0:i/>
          <ns0:color ns0:val="auto"/>
          <ns0:sz ns0:val="23"/>
          <ns0:szCs ns0:val="23"/>
          <ns0:lang ns0:val="pt-BR"/>
        </ns0:rPr>
        <ns0:t>Balt. J. Health Phys. Act.</ns0:t>
      </ns0:r>
      <ns0:r>
        <ns0:rPr>
          <ns0:rFonts ns0:hint="default" ns0:ascii="Times New Roman" ns0:hAnsi="Times New Roman" ns0:eastAsia="Times New Roman" ns0:cs="Times New Roman"/>
          <ns0:color ns0:val="auto"/>
          <ns0:sz ns0:val="23"/>
          <ns0:szCs ns0:val="23"/>
          <ns0:lang ns0:val="pt-BR"/>
        </ns0:rPr>
        <ns0:t>, v. 7, n. 4, p. 117–124, dez. 2015, doi: 10.29359/BJHPA.07.4.11.</ns0:t>
      </ns0:r>
    </ns0:p>
    <ns0:p ns2:paraId="5E3F67C4">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Grabowiecki, L. Rum, L. Laudani, e G. Vannozzi, “Biomechanical characteristics of handstand walking initiation”, </ns0:t>
      </ns0:r>
      <ns0:r>
        <ns0:rPr>
          <ns0:rFonts ns0:hint="default" ns0:ascii="Times New Roman" ns0:hAnsi="Times New Roman" ns0:eastAsia="Times New Roman" ns0:cs="Times New Roman"/>
          <ns0:i/>
          <ns0:color ns0:val="auto"/>
          <ns0:sz ns0:val="23"/>
          <ns0:szCs ns0:val="23"/>
          <ns0:lang ns0:val="pt-BR"/>
        </ns0:rPr>
        <ns0:t>Gait Posture</ns0:t>
      </ns0:r>
      <ns0:r>
        <ns0:rPr>
          <ns0:rFonts ns0:hint="default" ns0:ascii="Times New Roman" ns0:hAnsi="Times New Roman" ns0:eastAsia="Times New Roman" ns0:cs="Times New Roman"/>
          <ns0:color ns0:val="auto"/>
          <ns0:sz ns0:val="23"/>
          <ns0:szCs ns0:val="23"/>
          <ns0:lang ns0:val="pt-BR"/>
        </ns0:rPr>
        <ns0:t>, v. 86, p. 311–318, maio 2021, doi: 10.1016/j.gaitpost.2021.03.036.</ns0:t>
      </ns0:r>
    </ns0:p>
    <ns0:p ns2:paraId="45EBDC8D">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Grabowiecki, L. Rum, L. Laudani, e G. Vannozzi, “Effects of an external load on anticipatory mechanisms of handstand walking initiation in experienced gymnasts”, </ns0:t>
      </ns0:r>
      <ns0:r>
        <ns0:rPr>
          <ns0:rFonts ns0:hint="default" ns0:ascii="Times New Roman" ns0:hAnsi="Times New Roman" ns0:eastAsia="Times New Roman" ns0:cs="Times New Roman"/>
          <ns0:i/>
          <ns0:color ns0:val="auto"/>
          <ns0:sz ns0:val="23"/>
          <ns0:szCs ns0:val="23"/>
          <ns0:lang ns0:val="pt-BR"/>
        </ns0:rPr>
        <ns0:t>J. Sports Sci.</ns0:t>
      </ns0:r>
      <ns0:r>
        <ns0:rPr>
          <ns0:rFonts ns0:hint="default" ns0:ascii="Times New Roman" ns0:hAnsi="Times New Roman" ns0:eastAsia="Times New Roman" ns0:cs="Times New Roman"/>
          <ns0:color ns0:val="auto"/>
          <ns0:sz ns0:val="23"/>
          <ns0:szCs ns0:val="23"/>
          <ns0:lang ns0:val="pt-BR"/>
        </ns0:rPr>
        <ns0:t>, v. 43, n. 4, p. 370–380, fev. 2025, doi: 10.1080/02640414.2025.2458995.</ns0:t>
      </ns0:r>
    </ns0:p>
    <ns0:p ns2:paraId="0E452D55">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G. M. Earhart e C. Mosiman, “COORDINATION OF HANDWALKING IN GYMNASTS: A COMPARISON TO BIPEDAL WALKING”, v. 2, n. 2.</ns0:t>
      </ns0:r>
    </ns0:p>
    <ns0:p ns2:paraId="27EA4007">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N. F. A. Ambrósio, G. M. Lage, L. E. A. Bicalho, C. R. Couto, I. M. S. Aleixo, e T. Apolinario-Souza, “THE RELATIONSHIP BETWEEN STRENGTH CAPACITY AND MOTOR PERFORMANCE IN THE GYMNASTIC HANDSTAND: A MACHINE LEARNING STUDY”, </ns0:t>
      </ns0:r>
      <ns0:r>
        <ns0:rPr>
          <ns0:rFonts ns0:hint="default" ns0:ascii="Times New Roman" ns0:hAnsi="Times New Roman" ns0:eastAsia="Times New Roman" ns0:cs="Times New Roman"/>
          <ns0:i/>
          <ns0:color ns0:val="auto"/>
          <ns0:sz ns0:val="23"/>
          <ns0:szCs ns0:val="23"/>
          <ns0:lang ns0:val="pt-BR"/>
        </ns0:rPr>
        <ns0:t>Sci. Gymnast. J.</ns0:t>
      </ns0:r>
      <ns0:r>
        <ns0:rPr>
          <ns0:rFonts ns0:hint="default" ns0:ascii="Times New Roman" ns0:hAnsi="Times New Roman" ns0:eastAsia="Times New Roman" ns0:cs="Times New Roman"/>
          <ns0:color ns0:val="auto"/>
          <ns0:sz ns0:val="23"/>
          <ns0:szCs ns0:val="23"/>
          <ns0:lang ns0:val="pt-BR"/>
        </ns0:rPr>
        <ns0:t>, v. 16, n. 2, p. 211–223, jun. 2024, doi: 10.52165/sgj.16.2.211-223.</ns0:t>
      </ns0:r>
    </ns0:p>
    <ns0:p ns2:paraId="05D6A574">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P. Hedbávný, G. Bago, e M. Kalichová, “Influence of Strength Abilities on Quality of the Handstand”, v. 7, n. 10, 2013.</ns0:t>
      </ns0:r>
    </ns0:p>
    <ns0:p ns2:paraId="1FDD226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Jemni, Org., </ns0:t>
      </ns0:r>
      <ns0:r>
        <ns0:rPr>
          <ns0:rFonts ns0:hint="default" ns0:ascii="Times New Roman" ns0:hAnsi="Times New Roman" ns0:eastAsia="Times New Roman" ns0:cs="Times New Roman"/>
          <ns0:i/>
          <ns0:color ns0:val="auto"/>
          <ns0:sz ns0:val="23"/>
          <ns0:szCs ns0:val="23"/>
          <ns0:lang ns0:val="pt-BR"/>
        </ns0:rPr>
        <ns0:t>The Science of Gymnastics: Advanced Concepts</ns0:t>
      </ns0:r>
      <ns0:r>
        <ns0:rPr>
          <ns0:rFonts ns0:hint="default" ns0:ascii="Times New Roman" ns0:hAnsi="Times New Roman" ns0:eastAsia="Times New Roman" ns0:cs="Times New Roman"/>
          <ns0:color ns0:val="auto"/>
          <ns0:sz ns0:val="23"/>
          <ns0:szCs ns0:val="23"/>
          <ns0:lang ns0:val="pt-BR"/>
        </ns0:rPr>
        <ns0:t>, 2</ns0:t>
      </ns0:r>
      <ns0:r>
        <ns0:rPr>
          <ns0:rFonts ns0:hint="default" ns0:ascii="Times New Roman" ns0:hAnsi="Times New Roman" ns0:eastAsia="Times New Roman" ns0:cs="Times New Roman"/>
          <ns0:color ns0:val="auto"/>
          <ns0:sz ns0:val="23"/>
          <ns0:szCs ns0:val="23"/>
          <ns0:vertAlign ns0:val="superscript"/>
          <ns0:lang ns0:val="pt-BR"/>
        </ns0:rPr>
        <ns0:t>o</ns0:t>
      </ns0:r>
      <ns0:r>
        <ns0:rPr>
          <ns0:rFonts ns0:hint="default" ns0:ascii="Times New Roman" ns0:hAnsi="Times New Roman" ns0:eastAsia="Times New Roman" ns0:cs="Times New Roman"/>
          <ns0:color ns0:val="auto"/>
          <ns0:sz ns0:val="23"/>
          <ns0:szCs ns0:val="23"/>
          <ns0:lang ns0:val="pt-BR"/>
        </ns0:rPr>
        <ns0:t xml:space="preserve"> ed. Routledge, 2017. doi: 10.4324/9781315203805.</ns0:t>
      </ns0:r>
    </ns0:p>
    <ns0:p ns2:paraId="402A56A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[29]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A. Winter, </ns0:t>
      </ns0:r>
      <ns0:r>
        <ns0:rPr>
          <ns0:rFonts ns0:hint="default" ns0:ascii="Times New Roman" ns0:hAnsi="Times New Roman" ns0:eastAsia="Times New Roman" ns0:cs="Times New Roman"/>
          <ns0:i/>
          <ns0:color ns0:val="auto"/>
          <ns0:sz ns0:val="23"/>
          <ns0:szCs ns0:val="23"/>
          <ns0:lang ns0:val="pt-BR"/>
        </ns0:rPr>
        <ns0:t>Biomechanics and motor control of human movement</ns0:t>
      </ns0:r>
      <ns0:r>
        <ns0:rPr>
          <ns0:rFonts ns0:hint="default" ns0:ascii="Times New Roman" ns0:hAnsi="Times New Roman" ns0:eastAsia="Times New Roman" ns0:cs="Times New Roman"/>
          <ns0:color ns0:val="auto"/>
          <ns0:sz ns0:val="23"/>
          <ns0:szCs ns0:val="23"/>
          <ns0:lang ns0:val="pt-BR"/>
        </ns0:rPr>
        <ns0:t>, 4th ed. Hoboken, N.J: Wiley, 2009.</ns0:t>
      </ns0:r>
    </ns0:p>
    <ns0:p ns2:paraId="37321B0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S. M. Slobounov e K. M. Newell, “Postural Dynamics in Upright and Inverted Stances”, </ns0:t>
      </ns0:r>
      <ns0:r>
        <ns0:rPr>
          <ns0:rFonts ns0:hint="default" ns0:ascii="Times New Roman" ns0:hAnsi="Times New Roman" ns0:eastAsia="Times New Roman" ns0:cs="Times New Roman"/>
          <ns0:i/>
          <ns0:color ns0:val="auto"/>
          <ns0:sz ns0:val="23"/>
          <ns0:szCs ns0:val="23"/>
          <ns0:lang ns0:val="pt-BR"/>
        </ns0:rPr>
        <ns0:t>J. Appl. Biomech.</ns0:t>
      </ns0:r>
      <ns0:r>
        <ns0:rPr>
          <ns0:rFonts ns0:hint="default" ns0:ascii="Times New Roman" ns0:hAnsi="Times New Roman" ns0:eastAsia="Times New Roman" ns0:cs="Times New Roman"/>
          <ns0:color ns0:val="auto"/>
          <ns0:sz ns0:val="23"/>
          <ns0:szCs ns0:val="23"/>
          <ns0:lang ns0:val="pt-BR"/>
        </ns0:rPr>
        <ns0:t>, v. 12, n. 2, p. 185–196, maio 1996, doi: 10.1123/jab.12.2.185.</ns0:t>
      </ns0:r>
    </ns0:p>
    <ns0:p ns2:paraId="1C1A5A7A">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G. Gautier, R. Thouvarecq, e D. Chollet, “Visual and postural control of an arbitrary posture: The handstand”, </ns0:t>
      </ns0:r>
      <ns0:r>
        <ns0:rPr>
          <ns0:rFonts ns0:hint="default" ns0:ascii="Times New Roman" ns0:hAnsi="Times New Roman" ns0:eastAsia="Times New Roman" ns0:cs="Times New Roman"/>
          <ns0:i/>
          <ns0:color ns0:val="auto"/>
          <ns0:sz ns0:val="23"/>
          <ns0:szCs ns0:val="23"/>
          <ns0:lang ns0:val="pt-BR"/>
        </ns0:rPr>
        <ns0:t>J. Sports Sci.</ns0:t>
      </ns0:r>
      <ns0:r>
        <ns0:rPr>
          <ns0:rFonts ns0:hint="default" ns0:ascii="Times New Roman" ns0:hAnsi="Times New Roman" ns0:eastAsia="Times New Roman" ns0:cs="Times New Roman"/>
          <ns0:color ns0:val="auto"/>
          <ns0:sz ns0:val="23"/>
          <ns0:szCs ns0:val="23"/>
          <ns0:lang ns0:val="pt-BR"/>
        </ns0:rPr>
        <ns0:t>, v. 25, n. 11, p. 1271–1278, set. 2007, doi: 10.1080/02640410601049144.</ns0:t>
      </ns0:r>
    </ns0:p>
    <ns0:p ns2:paraId="28E534A7">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W.-L. Hsu, J. P. Scholz, G. Schöner, J. J. Jeka, e T. Kiemel, “Control and Estimation of Posture During Quiet Stance Depends on Multijoint Coordination”, </ns0:t>
      </ns0:r>
      <ns0:r>
        <ns0:rPr>
          <ns0:rFonts ns0:hint="default" ns0:ascii="Times New Roman" ns0:hAnsi="Times New Roman" ns0:eastAsia="Times New Roman" ns0:cs="Times New Roman"/>
          <ns0:i/>
          <ns0:color ns0:val="auto"/>
          <ns0:sz ns0:val="23"/>
          <ns0:szCs ns0:val="23"/>
          <ns0:lang ns0:val="pt-BR"/>
        </ns0:rPr>
        <ns0:t>J. Neurophysiol.</ns0:t>
      </ns0:r>
      <ns0:r>
        <ns0:rPr>
          <ns0:rFonts ns0:hint="default" ns0:ascii="Times New Roman" ns0:hAnsi="Times New Roman" ns0:eastAsia="Times New Roman" ns0:cs="Times New Roman"/>
          <ns0:color ns0:val="auto"/>
          <ns0:sz ns0:val="23"/>
          <ns0:szCs ns0:val="23"/>
          <ns0:lang ns0:val="pt-BR"/>
        </ns0:rPr>
        <ns0:t>, v. 97, n. 4, p. 3024–3035, abr. 2007, doi: 10.1152/jn.01142.2006.</ns0:t>
      </ns0:r>
    </ns0:p>
    <ns0:p ns2:paraId="0425755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C. Kilby, P. C. M. Molenaar, e K. M. Newell, “Models of Postural Control: Shared Variance in Joint and COM Motions”, </ns0:t>
      </ns0:r>
      <ns0:r>
        <ns0:rPr>
          <ns0:rFonts ns0:hint="default" ns0:ascii="Times New Roman" ns0:hAnsi="Times New Roman" ns0:eastAsia="Times New Roman" ns0:cs="Times New Roman"/>
          <ns0:i/>
          <ns0:color ns0:val="auto"/>
          <ns0:sz ns0:val="23"/>
          <ns0:szCs ns0:val="23"/>
          <ns0:lang ns0:val="pt-BR"/>
        </ns0:rPr>
        <ns0:t>PLOS ONE</ns0:t>
      </ns0:r>
      <ns0:r>
        <ns0:rPr>
          <ns0:rFonts ns0:hint="default" ns0:ascii="Times New Roman" ns0:hAnsi="Times New Roman" ns0:eastAsia="Times New Roman" ns0:cs="Times New Roman"/>
          <ns0:color ns0:val="auto"/>
          <ns0:sz ns0:val="23"/>
          <ns0:szCs ns0:val="23"/>
          <ns0:lang ns0:val="pt-BR"/>
        </ns0:rPr>
        <ns0:t>, v. 10, n. 5, p. e0126379, maio 2015, doi: 10.1371/journal.pone.0126379.</ns0:t>
      </ns0:r>
    </ns0:p>
    <ns0:p ns2:paraId="48C11369">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W. H. Gage, D. A. Winter, J. S. Frank, e A. L. Adkin, “Kinematic and kinetic validity of the inverted pendulum model in quiet standing”, </ns0:t>
      </ns0:r>
      <ns0:r>
        <ns0:rPr>
          <ns0:rFonts ns0:hint="default" ns0:ascii="Times New Roman" ns0:hAnsi="Times New Roman" ns0:eastAsia="Times New Roman" ns0:cs="Times New Roman"/>
          <ns0:i/>
          <ns0:color ns0:val="auto"/>
          <ns0:sz ns0:val="23"/>
          <ns0:szCs ns0:val="23"/>
          <ns0:lang ns0:val="pt-BR"/>
        </ns0:rPr>
        <ns0:t>Gait Posture</ns0:t>
      </ns0:r>
      <ns0:r>
        <ns0:rPr>
          <ns0:rFonts ns0:hint="default" ns0:ascii="Times New Roman" ns0:hAnsi="Times New Roman" ns0:eastAsia="Times New Roman" ns0:cs="Times New Roman"/>
          <ns0:color ns0:val="auto"/>
          <ns0:sz ns0:val="23"/>
          <ns0:szCs ns0:val="23"/>
          <ns0:lang ns0:val="pt-BR"/>
        </ns0:rPr>
        <ns0:t>, v. 19, n. 2, p. 124–132, abr. 2004, doi: 10.1016/S0966-6362(03)00037-7.</ns0:t>
      </ns0:r>
    </ns0:p>
    <ns0:p ns2:paraId="557C622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Winter, “Human balance and posture control during standing and walking”, </ns0:t>
      </ns0:r>
      <ns0:r>
        <ns0:rPr>
          <ns0:rFonts ns0:hint="default" ns0:ascii="Times New Roman" ns0:hAnsi="Times New Roman" ns0:eastAsia="Times New Roman" ns0:cs="Times New Roman"/>
          <ns0:i/>
          <ns0:color ns0:val="auto"/>
          <ns0:sz ns0:val="23"/>
          <ns0:szCs ns0:val="23"/>
          <ns0:lang ns0:val="pt-BR"/>
        </ns0:rPr>
        <ns0:t>Gait Posture</ns0:t>
      </ns0:r>
      <ns0:r>
        <ns0:rPr>
          <ns0:rFonts ns0:hint="default" ns0:ascii="Times New Roman" ns0:hAnsi="Times New Roman" ns0:eastAsia="Times New Roman" ns0:cs="Times New Roman"/>
          <ns0:color ns0:val="auto"/>
          <ns0:sz ns0:val="23"/>
          <ns0:szCs ns0:val="23"/>
          <ns0:lang ns0:val="pt-BR"/>
        </ns0:rPr>
        <ns0:t>, v. 3, n. 4, p. 193–214, dez. 1995, doi: 10.1016/0966-6362(96)82849-9.</ns0:t>
      </ns0:r>
    </ns0:p>
    <ns0:p ns2:paraId="60F740F3">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Abrahamová e F. Hlavačka, “Age-related changes of human balance during quiet stance”, </ns0:t>
      </ns0:r>
      <ns0:r>
        <ns0:rPr>
          <ns0:rFonts ns0:hint="default" ns0:ascii="Times New Roman" ns0:hAnsi="Times New Roman" ns0:eastAsia="Times New Roman" ns0:cs="Times New Roman"/>
          <ns0:i/>
          <ns0:color ns0:val="auto"/>
          <ns0:sz ns0:val="23"/>
          <ns0:szCs ns0:val="23"/>
          <ns0:lang ns0:val="pt-BR"/>
        </ns0:rPr>
        <ns0:t>Physiol. Res.</ns0:t>
      </ns0:r>
      <ns0:r>
        <ns0:rPr>
          <ns0:rFonts ns0:hint="default" ns0:ascii="Times New Roman" ns0:hAnsi="Times New Roman" ns0:eastAsia="Times New Roman" ns0:cs="Times New Roman"/>
          <ns0:color ns0:val="auto"/>
          <ns0:sz ns0:val="23"/>
          <ns0:szCs ns0:val="23"/>
          <ns0:lang ns0:val="pt-BR"/>
        </ns0:rPr>
        <ns0:t>, p. 957–964, 2008, doi: 10.33549/physiolres.931238.</ns0:t>
      </ns0:r>
    </ns0:p>
    <ns0:p ns2:paraId="7B6AEB4B">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Y. Laufer, “Effect of Age on Characteristics of Forward and Backward Gait at Preferred and Accelerated Walking Speed”, </ns0:t>
      </ns0:r>
      <ns0:r>
        <ns0:rPr>
          <ns0:rFonts ns0:hint="default" ns0:ascii="Times New Roman" ns0:hAnsi="Times New Roman" ns0:eastAsia="Times New Roman" ns0:cs="Times New Roman"/>
          <ns0:i/>
          <ns0:color ns0:val="auto"/>
          <ns0:sz ns0:val="23"/>
          <ns0:szCs ns0:val="23"/>
          <ns0:lang ns0:val="pt-BR"/>
        </ns0:rPr>
        <ns0:t>J. Gerontol. A. Biol. Sci. Med. Sci.</ns0:t>
      </ns0:r>
      <ns0:r>
        <ns0:rPr>
          <ns0:rFonts ns0:hint="default" ns0:ascii="Times New Roman" ns0:hAnsi="Times New Roman" ns0:eastAsia="Times New Roman" ns0:cs="Times New Roman"/>
          <ns0:color ns0:val="auto"/>
          <ns0:sz ns0:val="23"/>
          <ns0:szCs ns0:val="23"/>
          <ns0:lang ns0:val="pt-BR"/>
        </ns0:rPr>
        <ns0:t>, v. 60, n. 5, p. 627–632, maio 2005, doi: 10.1093/gerona/60.5.627.</ns0:t>
      </ns0:r>
    </ns0:p>
    <ns0:p ns2:paraId="286F6C7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K. A. Ericsson, R. T. Krampe, e C. Tesch-Römer, “The role of deliberate practice in the acquisition of expert performance.”, </ns0:t>
      </ns0:r>
      <ns0:r>
        <ns0:rPr>
          <ns0:rFonts ns0:hint="default" ns0:ascii="Times New Roman" ns0:hAnsi="Times New Roman" ns0:eastAsia="Times New Roman" ns0:cs="Times New Roman"/>
          <ns0:i/>
          <ns0:color ns0:val="auto"/>
          <ns0:sz ns0:val="23"/>
          <ns0:szCs ns0:val="23"/>
          <ns0:lang ns0:val="pt-BR"/>
        </ns0:rPr>
        <ns0:t>Psychol. Rev.</ns0:t>
      </ns0:r>
      <ns0:r>
        <ns0:rPr>
          <ns0:rFonts ns0:hint="default" ns0:ascii="Times New Roman" ns0:hAnsi="Times New Roman" ns0:eastAsia="Times New Roman" ns0:cs="Times New Roman"/>
          <ns0:color ns0:val="auto"/>
          <ns0:sz ns0:val="23"/>
          <ns0:szCs ns0:val="23"/>
          <ns0:lang ns0:val="pt-BR"/>
        </ns0:rPr>
        <ns0:t>, v. 100, n. 3, p. 363–406, jul. 1993, doi: 10.1037/0033-295X.100.3.363.</ns0:t>
      </ns0:r>
    </ns0:p>
    <ns0:p ns2:paraId="16F81169">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[39]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D. Seidler </ns0:t>
      </ns0:r>
      <ns0:r>
        <ns0:rPr>
          <ns0:rFonts ns0:hint="default" ns0:ascii="Times New Roman" ns0:hAnsi="Times New Roman" ns0:eastAsia="Times New Roman" ns0:cs="Times New Roman"/>
          <ns0:i/>
          <ns0:color ns0:val="auto"/>
          <ns0:sz ns0:val="23"/>
          <ns0:szCs ns0:val="23"/>
          <ns0:lang ns0:val="pt-BR"/>
        </ns0:rPr>
        <ns0:t>et al.</ns0:t>
      </ns0:r>
      <ns0:r>
        <ns0:rPr>
          <ns0:rFonts ns0:hint="default" ns0:ascii="Times New Roman" ns0:hAnsi="Times New Roman" ns0:eastAsia="Times New Roman" ns0:cs="Times New Roman"/>
          <ns0:color ns0:val="auto"/>
          <ns0:sz ns0:val="23"/>
          <ns0:szCs ns0:val="23"/>
          <ns0:lang ns0:val="pt-BR"/>
        </ns0:rPr>
        <ns0:t xml:space="preserve">, “Motor control and aging: Links to age-related brain structural, functional, and biochemical effects”, </ns0:t>
      </ns0:r>
      <ns0:r>
        <ns0:rPr>
          <ns0:rFonts ns0:hint="default" ns0:ascii="Times New Roman" ns0:hAnsi="Times New Roman" ns0:eastAsia="Times New Roman" ns0:cs="Times New Roman"/>
          <ns0:i/>
          <ns0:color ns0:val="auto"/>
          <ns0:sz ns0:val="23"/>
          <ns0:szCs ns0:val="23"/>
          <ns0:lang ns0:val="pt-BR"/>
        </ns0:rPr>
        <ns0:t>Neurosci. Biobehav. Rev.</ns0:t>
      </ns0:r>
      <ns0:r>
        <ns0:rPr>
          <ns0:rFonts ns0:hint="default" ns0:ascii="Times New Roman" ns0:hAnsi="Times New Roman" ns0:eastAsia="Times New Roman" ns0:cs="Times New Roman"/>
          <ns0:color ns0:val="auto"/>
          <ns0:sz ns0:val="23"/>
          <ns0:szCs ns0:val="23"/>
          <ns0:lang ns0:val="pt-BR"/>
        </ns0:rPr>
        <ns0:t>, v. 34, n. 5, p. 721–733, abr. 2010, doi: 10.1016/j.neubiorev.2009.10.005.</ns0:t>
      </ns0:r>
    </ns0:p>
    <ns0:p ns2:paraId="44ADB4F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F. Faul, E. Erdfelder, A.-G. Lang, e A. Buchner, “G*Power 3: A flexible statistical power analysis program for the social, behavioral, and biomedical sciences”, </ns0:t>
      </ns0:r>
      <ns0:r>
        <ns0:rPr>
          <ns0:rFonts ns0:hint="default" ns0:ascii="Times New Roman" ns0:hAnsi="Times New Roman" ns0:eastAsia="Times New Roman" ns0:cs="Times New Roman"/>
          <ns0:i/>
          <ns0:color ns0:val="auto"/>
          <ns0:sz ns0:val="23"/>
          <ns0:szCs ns0:val="23"/>
          <ns0:lang ns0:val="pt-BR"/>
        </ns0:rPr>
        <ns0:t>Behav. Res. Methods</ns0:t>
      </ns0:r>
      <ns0:r>
        <ns0:rPr>
          <ns0:rFonts ns0:hint="default" ns0:ascii="Times New Roman" ns0:hAnsi="Times New Roman" ns0:eastAsia="Times New Roman" ns0:cs="Times New Roman"/>
          <ns0:color ns0:val="auto"/>
          <ns0:sz ns0:val="23"/>
          <ns0:szCs ns0:val="23"/>
          <ns0:lang ns0:val="pt-BR"/>
        </ns0:rPr>
        <ns0:t>, v. 39, n. 2, p. 175–191, maio 2007, doi: 10.3758/BF03193146.</ns0:t>
      </ns0:r>
    </ns0:p>
    <ns0:p ns2:paraId="50A8C81E">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F. Faul, E. Erdfelder, A. Buchner, e A.-G. Lang, “Statistical power analyses using G*Power 3.1: Tests for correlation and regression analyses”, </ns0:t>
      </ns0:r>
      <ns0:r>
        <ns0:rPr>
          <ns0:rFonts ns0:hint="default" ns0:ascii="Times New Roman" ns0:hAnsi="Times New Roman" ns0:eastAsia="Times New Roman" ns0:cs="Times New Roman"/>
          <ns0:i/>
          <ns0:color ns0:val="auto"/>
          <ns0:sz ns0:val="23"/>
          <ns0:szCs ns0:val="23"/>
          <ns0:lang ns0:val="pt-BR"/>
        </ns0:rPr>
        <ns0:t>Behav. Res. Methods</ns0:t>
      </ns0:r>
      <ns0:r>
        <ns0:rPr>
          <ns0:rFonts ns0:hint="default" ns0:ascii="Times New Roman" ns0:hAnsi="Times New Roman" ns0:eastAsia="Times New Roman" ns0:cs="Times New Roman"/>
          <ns0:color ns0:val="auto"/>
          <ns0:sz ns0:val="23"/>
          <ns0:szCs ns0:val="23"/>
          <ns0:lang ns0:val="pt-BR"/>
        </ns0:rPr>
        <ns0:t>, v. 41, n. 4, p. 1149–1160, nov. 2009, doi: 10.3758/BRM.41.4.1149.</ns0:t>
      </ns0:r>
    </ns0:p>
    <ns0:p ns2:paraId="71D199F6">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Cohen, </ns0:t>
      </ns0:r>
      <ns0:r>
        <ns0:rPr>
          <ns0:rFonts ns0:hint="default" ns0:ascii="Times New Roman" ns0:hAnsi="Times New Roman" ns0:eastAsia="Times New Roman" ns0:cs="Times New Roman"/>
          <ns0:i/>
          <ns0:color ns0:val="auto"/>
          <ns0:sz ns0:val="23"/>
          <ns0:szCs ns0:val="23"/>
          <ns0:lang ns0:val="pt-BR"/>
        </ns0:rPr>
        <ns0:t>Statistical power analysis for the behavioral sciences</ns0:t>
      </ns0:r>
      <ns0:r>
        <ns0:rPr>
          <ns0:rFonts ns0:hint="default" ns0:ascii="Times New Roman" ns0:hAnsi="Times New Roman" ns0:eastAsia="Times New Roman" ns0:cs="Times New Roman"/>
          <ns0:color ns0:val="auto"/>
          <ns0:sz ns0:val="23"/>
          <ns0:szCs ns0:val="23"/>
          <ns0:lang ns0:val="pt-BR"/>
        </ns0:rPr>
        <ns0:t>, 2. ed., Reprint. New York, NY: Psychology Press, 2009.</ns0:t>
      </ns0:r>
    </ns0:p>
    <ns0:p ns2:paraId="1A372D5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H. Chen, P. Cohen, e S. Chen, “How Big is a Big Odds Ratio? Interpreting the Magnitudes of Odds Ratios in Epidemiological Studies”, </ns0:t>
      </ns0:r>
      <ns0:r>
        <ns0:rPr>
          <ns0:rFonts ns0:hint="default" ns0:ascii="Times New Roman" ns0:hAnsi="Times New Roman" ns0:eastAsia="Times New Roman" ns0:cs="Times New Roman"/>
          <ns0:i/>
          <ns0:color ns0:val="auto"/>
          <ns0:sz ns0:val="23"/>
          <ns0:szCs ns0:val="23"/>
          <ns0:lang ns0:val="pt-BR"/>
        </ns0:rPr>
        <ns0:t>Commun. Stat. - Simul. Comput.</ns0:t>
      </ns0:r>
      <ns0:r>
        <ns0:rPr>
          <ns0:rFonts ns0:hint="default" ns0:ascii="Times New Roman" ns0:hAnsi="Times New Roman" ns0:eastAsia="Times New Roman" ns0:cs="Times New Roman"/>
          <ns0:color ns0:val="auto"/>
          <ns0:sz ns0:val="23"/>
          <ns0:szCs ns0:val="23"/>
          <ns0:lang ns0:val="pt-BR"/>
        </ns0:rPr>
        <ns0:t>, v. 39, n. 4, p. 860–864, mar. 2010, doi: 10.1080/03610911003650383.</ns0:t>
      </ns0:r>
    </ns0:p>
    <ns0:p ns2:paraId="12D93378">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P. Peduzzi, J. Concato, E. Kemper, T. R. Holford, e A. R. Feinstein, “A simulation study of the number of events per variable in logistic regression analysis”, </ns0:t>
      </ns0:r>
      <ns0:r>
        <ns0:rPr>
          <ns0:rFonts ns0:hint="default" ns0:ascii="Times New Roman" ns0:hAnsi="Times New Roman" ns0:eastAsia="Times New Roman" ns0:cs="Times New Roman"/>
          <ns0:i/>
          <ns0:color ns0:val="auto"/>
          <ns0:sz ns0:val="23"/>
          <ns0:szCs ns0:val="23"/>
          <ns0:lang ns0:val="pt-BR"/>
        </ns0:rPr>
        <ns0:t>J. Clin. Epidemiol.</ns0:t>
      </ns0:r>
      <ns0:r>
        <ns0:rPr>
          <ns0:rFonts ns0:hint="default" ns0:ascii="Times New Roman" ns0:hAnsi="Times New Roman" ns0:eastAsia="Times New Roman" ns0:cs="Times New Roman"/>
          <ns0:color ns0:val="auto"/>
          <ns0:sz ns0:val="23"/>
          <ns0:szCs ns0:val="23"/>
          <ns0:lang ns0:val="pt-BR"/>
        </ns0:rPr>
        <ns0:t>, v. 49, n. 12, p. 1373–1379, dez. 1996, doi: 10.1016/S0895-4356(96)00236-3.</ns0:t>
      </ns0:r>
    </ns0:p>
    <ns0:p ns2:paraId="55C78466">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Y. Benjamini e Y. Hochberg, “Controlling the False Discovery Rate: A Practical and Powerful Approach to Multiple Testing”, </ns0:t>
      </ns0:r>
      <ns0:r>
        <ns0:rPr>
          <ns0:rFonts ns0:hint="default" ns0:ascii="Times New Roman" ns0:hAnsi="Times New Roman" ns0:eastAsia="Times New Roman" ns0:cs="Times New Roman"/>
          <ns0:i/>
          <ns0:color ns0:val="auto"/>
          <ns0:sz ns0:val="23"/>
          <ns0:szCs ns0:val="23"/>
          <ns0:lang ns0:val="pt-BR"/>
        </ns0:rPr>
        <ns0:t>J. R. Stat. Soc. Ser. B Stat. Methodol.</ns0:t>
      </ns0:r>
      <ns0:r>
        <ns0:rPr>
          <ns0:rFonts ns0:hint="default" ns0:ascii="Times New Roman" ns0:hAnsi="Times New Roman" ns0:eastAsia="Times New Roman" ns0:cs="Times New Roman"/>
          <ns0:color ns0:val="auto"/>
          <ns0:sz ns0:val="23"/>
          <ns0:szCs ns0:val="23"/>
          <ns0:lang ns0:val="pt-BR"/>
        </ns0:rPr>
        <ns0:t>, v. 57, n. 1, p. 289–300, jan. 1995, doi: 10.1111/j.2517-6161.1995.tb02031.x.</ns0:t>
      </ns0:r>
    </ns0:p>
    <ns0:p ns2:paraId="593BDD2B">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American College of Sports Medicine, C. Ozemek, A. R. Bonikowske, J. W. Christle, e P. M. Gallo, Org., </ns0:t>
      </ns0:r>
      <ns0:r>
        <ns0:rPr>
          <ns0:rFonts ns0:hint="default" ns0:ascii="Times New Roman" ns0:hAnsi="Times New Roman" ns0:eastAsia="Times New Roman" ns0:cs="Times New Roman"/>
          <ns0:i/>
          <ns0:color ns0:val="auto"/>
          <ns0:sz ns0:val="23"/>
          <ns0:szCs ns0:val="23"/>
          <ns0:lang ns0:val="pt-BR"/>
        </ns0:rPr>
        <ns0:t>ACSM’s guidelines for exercise testing and prescription</ns0:t>
      </ns0:r>
      <ns0:r>
        <ns0:rPr>
          <ns0:rFonts ns0:hint="default" ns0:ascii="Times New Roman" ns0:hAnsi="Times New Roman" ns0:eastAsia="Times New Roman" ns0:cs="Times New Roman"/>
          <ns0:color ns0:val="auto"/>
          <ns0:sz ns0:val="23"/>
          <ns0:szCs ns0:val="23"/>
          <ns0:lang ns0:val="pt-BR"/>
        </ns0:rPr>
        <ns0:t>, Twelfth edition. Philadelphia, PA: Wolters Kluwer, 2026.</ns0:t>
      </ns0:r>
    </ns0:p>
    <ns0:p ns2:paraId="443BD16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G. Haff, N. T. Triplett, e National Strength &amp; Conditioning Association, Org., </ns0:t>
      </ns0:r>
      <ns0:r>
        <ns0:rPr>
          <ns0:rFonts ns0:hint="default" ns0:ascii="Times New Roman" ns0:hAnsi="Times New Roman" ns0:eastAsia="Times New Roman" ns0:cs="Times New Roman"/>
          <ns0:i/>
          <ns0:color ns0:val="auto"/>
          <ns0:sz ns0:val="23"/>
          <ns0:szCs ns0:val="23"/>
          <ns0:lang ns0:val="pt-BR"/>
        </ns0:rPr>
        <ns0:t>Essentials of strength training and conditioning</ns0:t>
      </ns0:r>
      <ns0:r>
        <ns0:rPr>
          <ns0:rFonts ns0:hint="default" ns0:ascii="Times New Roman" ns0:hAnsi="Times New Roman" ns0:eastAsia="Times New Roman" ns0:cs="Times New Roman"/>
          <ns0:color ns0:val="auto"/>
          <ns0:sz ns0:val="23"/>
          <ns0:szCs ns0:val="23"/>
          <ns0:lang ns0:val="pt-BR"/>
        </ns0:rPr>
        <ns0:t>, Fifth edition. Champaign, IL: Human Kinetics, 2027.</ns0:t>
      </ns0:r>
    </ns0:p>
    <ns0:p ns2:paraId="1D171917">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U. Kyle, “Bioelectrical impedance analysis?part I: review of principles and methods”, </ns0:t>
      </ns0:r>
      <ns0:r>
        <ns0:rPr>
          <ns0:rFonts ns0:hint="default" ns0:ascii="Times New Roman" ns0:hAnsi="Times New Roman" ns0:eastAsia="Times New Roman" ns0:cs="Times New Roman"/>
          <ns0:i/>
          <ns0:color ns0:val="auto"/>
          <ns0:sz ns0:val="23"/>
          <ns0:szCs ns0:val="23"/>
          <ns0:lang ns0:val="pt-BR"/>
        </ns0:rPr>
        <ns0:t>Clin. Nutr.</ns0:t>
      </ns0:r>
      <ns0:r>
        <ns0:rPr>
          <ns0:rFonts ns0:hint="default" ns0:ascii="Times New Roman" ns0:hAnsi="Times New Roman" ns0:eastAsia="Times New Roman" ns0:cs="Times New Roman"/>
          <ns0:color ns0:val="auto"/>
          <ns0:sz ns0:val="23"/>
          <ns0:szCs ns0:val="23"/>
          <ns0:lang ns0:val="pt-BR"/>
        </ns0:rPr>
        <ns0:t>, v. 23, n. 5, p. 1226–1243, out. 2004, doi: 10.1016/j.clnu.2004.06.004.</ns0:t>
      </ns0:r>
    </ns0:p>
    <ns0:p ns2:paraId="4BCFDE24">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[49]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H. C. Lukaski, W. W. Bolonchuk, C. B. Hall, e W. A. Siders, “Validation of tetrapolar bioelectrical impedance method to assess human body composition”, </ns0:t>
      </ns0:r>
      <ns0:r>
        <ns0:rPr>
          <ns0:rFonts ns0:hint="default" ns0:ascii="Times New Roman" ns0:hAnsi="Times New Roman" ns0:eastAsia="Times New Roman" ns0:cs="Times New Roman"/>
          <ns0:i/>
          <ns0:color ns0:val="auto"/>
          <ns0:sz ns0:val="23"/>
          <ns0:szCs ns0:val="23"/>
          <ns0:lang ns0:val="pt-BR"/>
        </ns0:rPr>
        <ns0:t>J. Appl. Physiol.</ns0:t>
      </ns0:r>
      <ns0:r>
        <ns0:rPr>
          <ns0:rFonts ns0:hint="default" ns0:ascii="Times New Roman" ns0:hAnsi="Times New Roman" ns0:eastAsia="Times New Roman" ns0:cs="Times New Roman"/>
          <ns0:color ns0:val="auto"/>
          <ns0:sz ns0:val="23"/>
          <ns0:szCs ns0:val="23"/>
          <ns0:lang ns0:val="pt-BR"/>
        </ns0:rPr>
        <ns0:t>, v. 60, n. 4, p. 1327–1332, abr. 1986, doi: 10.1152/jappl.1986.60.4.1327.</ns0:t>
      </ns0:r>
    </ns0:p>
    <ns0:p ns2:paraId="0F9FFF45">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V. Mathiowetz, “Comparison of Rolyan and Jamar dynamometers for measuring grip strength”, </ns0:t>
      </ns0:r>
      <ns0:r>
        <ns0:rPr>
          <ns0:rFonts ns0:hint="default" ns0:ascii="Times New Roman" ns0:hAnsi="Times New Roman" ns0:eastAsia="Times New Roman" ns0:cs="Times New Roman"/>
          <ns0:i/>
          <ns0:color ns0:val="auto"/>
          <ns0:sz ns0:val="23"/>
          <ns0:szCs ns0:val="23"/>
          <ns0:lang ns0:val="pt-BR"/>
        </ns0:rPr>
        <ns0:t>Occup. Ther. Int.</ns0:t>
      </ns0:r>
      <ns0:r>
        <ns0:rPr>
          <ns0:rFonts ns0:hint="default" ns0:ascii="Times New Roman" ns0:hAnsi="Times New Roman" ns0:eastAsia="Times New Roman" ns0:cs="Times New Roman"/>
          <ns0:color ns0:val="auto"/>
          <ns0:sz ns0:val="23"/>
          <ns0:szCs ns0:val="23"/>
          <ns0:lang ns0:val="pt-BR"/>
        </ns0:rPr>
        <ns0:t>, v. 9, n. 3, p. 201–209, ago. 2002, doi: 10.1002/oti.165.</ns0:t>
      </ns0:r>
    </ns0:p>
    <ns0:p ns2:paraId="393DEF15">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M. Reis e P. M. M. Arantes, “Medida da força de preensão manual- validade e confiabilidade do dinamômetro saehan”, </ns0:t>
      </ns0:r>
      <ns0:r>
        <ns0:rPr>
          <ns0:rFonts ns0:hint="default" ns0:ascii="Times New Roman" ns0:hAnsi="Times New Roman" ns0:eastAsia="Times New Roman" ns0:cs="Times New Roman"/>
          <ns0:i/>
          <ns0:color ns0:val="auto"/>
          <ns0:sz ns0:val="23"/>
          <ns0:szCs ns0:val="23"/>
          <ns0:lang ns0:val="pt-BR"/>
        </ns0:rPr>
        <ns0:t>Fisioter. E Pesqui.</ns0:t>
      </ns0:r>
      <ns0:r>
        <ns0:rPr>
          <ns0:rFonts ns0:hint="default" ns0:ascii="Times New Roman" ns0:hAnsi="Times New Roman" ns0:eastAsia="Times New Roman" ns0:cs="Times New Roman"/>
          <ns0:color ns0:val="auto"/>
          <ns0:sz ns0:val="23"/>
          <ns0:szCs ns0:val="23"/>
          <ns0:lang ns0:val="pt-BR"/>
        </ns0:rPr>
        <ns0:t>, v. 18, n. 2, p. 176–181, jun. 2011, doi: 10.1590/S1809-29502011000200013.</ns0:t>
      </ns0:r>
    </ns0:p>
    <ns0:p ns2:paraId="1335CDB4">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H. C. Roberts </ns0:t>
      </ns0:r>
      <ns0:r>
        <ns0:rPr>
          <ns0:rFonts ns0:hint="default" ns0:ascii="Times New Roman" ns0:hAnsi="Times New Roman" ns0:eastAsia="Times New Roman" ns0:cs="Times New Roman"/>
          <ns0:i/>
          <ns0:color ns0:val="auto"/>
          <ns0:sz ns0:val="23"/>
          <ns0:szCs ns0:val="23"/>
          <ns0:lang ns0:val="pt-BR"/>
        </ns0:rPr>
        <ns0:t>et al.</ns0:t>
      </ns0:r>
      <ns0:r>
        <ns0:rPr>
          <ns0:rFonts ns0:hint="default" ns0:ascii="Times New Roman" ns0:hAnsi="Times New Roman" ns0:eastAsia="Times New Roman" ns0:cs="Times New Roman"/>
          <ns0:color ns0:val="auto"/>
          <ns0:sz ns0:val="23"/>
          <ns0:szCs ns0:val="23"/>
          <ns0:lang ns0:val="pt-BR"/>
        </ns0:rPr>
        <ns0:t xml:space="preserve">, “A review of the measurement of grip strength in clinical and epidemiological studies: towards a standardised approach”, </ns0:t>
      </ns0:r>
      <ns0:r>
        <ns0:rPr>
          <ns0:rFonts ns0:hint="default" ns0:ascii="Times New Roman" ns0:hAnsi="Times New Roman" ns0:eastAsia="Times New Roman" ns0:cs="Times New Roman"/>
          <ns0:i/>
          <ns0:color ns0:val="auto"/>
          <ns0:sz ns0:val="23"/>
          <ns0:szCs ns0:val="23"/>
          <ns0:lang ns0:val="pt-BR"/>
        </ns0:rPr>
        <ns0:t>Age Ageing</ns0:t>
      </ns0:r>
      <ns0:r>
        <ns0:rPr>
          <ns0:rFonts ns0:hint="default" ns0:ascii="Times New Roman" ns0:hAnsi="Times New Roman" ns0:eastAsia="Times New Roman" ns0:cs="Times New Roman"/>
          <ns0:color ns0:val="auto"/>
          <ns0:sz ns0:val="23"/>
          <ns0:szCs ns0:val="23"/>
          <ns0:lang ns0:val="pt-BR"/>
        </ns0:rPr>
        <ns0:t>, v. 40, n. 4, p. 423–429, jul. 2011, doi: 10.1093/ageing/afr051.</ns0:t>
      </ns0:r>
    </ns0:p>
    <ns0:p ns2:paraId="07474170">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S. Jaric, “Muscle Strength Testing: Use of Normalisation for Body Size”, </ns0:t>
      </ns0:r>
      <ns0:r>
        <ns0:rPr>
          <ns0:rFonts ns0:hint="default" ns0:ascii="Times New Roman" ns0:hAnsi="Times New Roman" ns0:eastAsia="Times New Roman" ns0:cs="Times New Roman"/>
          <ns0:i/>
          <ns0:color ns0:val="auto"/>
          <ns0:sz ns0:val="23"/>
          <ns0:szCs ns0:val="23"/>
          <ns0:lang ns0:val="pt-BR"/>
        </ns0:rPr>
        <ns0:t>Sports Med.</ns0:t>
      </ns0:r>
      <ns0:r>
        <ns0:rPr>
          <ns0:rFonts ns0:hint="default" ns0:ascii="Times New Roman" ns0:hAnsi="Times New Roman" ns0:eastAsia="Times New Roman" ns0:cs="Times New Roman"/>
          <ns0:color ns0:val="auto"/>
          <ns0:sz ns0:val="23"/>
          <ns0:szCs ns0:val="23"/>
          <ns0:lang ns0:val="pt-BR"/>
        </ns0:rPr>
        <ns0:t>, v. 32, n. 10, p. 615–631, 2002, doi: 10.2165/00007256-200232100-00002.</ns0:t>
      </ns0:r>
    </ns0:p>
    <ns0:p ns2:paraId="2DFCB06B">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L. Lieber e J. Fridén, “Musculoskeletal balance of the human wrist elucidated using intraoperative laser diffraction”, </ns0:t>
      </ns0:r>
      <ns0:r>
        <ns0:rPr>
          <ns0:rFonts ns0:hint="default" ns0:ascii="Times New Roman" ns0:hAnsi="Times New Roman" ns0:eastAsia="Times New Roman" ns0:cs="Times New Roman"/>
          <ns0:i/>
          <ns0:color ns0:val="auto"/>
          <ns0:sz ns0:val="23"/>
          <ns0:szCs ns0:val="23"/>
          <ns0:lang ns0:val="pt-BR"/>
        </ns0:rPr>
        <ns0:t>J. Electromyogr. Kinesiol.</ns0:t>
      </ns0:r>
      <ns0:r>
        <ns0:rPr>
          <ns0:rFonts ns0:hint="default" ns0:ascii="Times New Roman" ns0:hAnsi="Times New Roman" ns0:eastAsia="Times New Roman" ns0:cs="Times New Roman"/>
          <ns0:color ns0:val="auto"/>
          <ns0:sz ns0:val="23"/>
          <ns0:szCs ns0:val="23"/>
          <ns0:lang ns0:val="pt-BR"/>
        </ns0:rPr>
        <ns0:t>, v. 8, n. 2, p. 93–100, abr. 1998, doi: 10.1016/S1050-6411(97)00025-4.</ns0:t>
      </ns0:r>
    </ns0:p>
    <ns0:p ns2:paraId="3C5455E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Z. Dvir, </ns0:t>
      </ns0:r>
      <ns0:r>
        <ns0:rPr>
          <ns0:rFonts ns0:hint="default" ns0:ascii="Times New Roman" ns0:hAnsi="Times New Roman" ns0:eastAsia="Times New Roman" ns0:cs="Times New Roman"/>
          <ns0:i/>
          <ns0:color ns0:val="auto"/>
          <ns0:sz ns0:val="23"/>
          <ns0:szCs ns0:val="23"/>
          <ns0:lang ns0:val="pt-BR"/>
        </ns0:rPr>
        <ns0:t>Isokinetics: Muscle Testing, Interpretation and Clinical Applications</ns0:t>
      </ns0:r>
      <ns0:r>
        <ns0:rPr>
          <ns0:rFonts ns0:hint="default" ns0:ascii="Times New Roman" ns0:hAnsi="Times New Roman" ns0:eastAsia="Times New Roman" ns0:cs="Times New Roman"/>
          <ns0:color ns0:val="auto"/>
          <ns0:sz ns0:val="23"/>
          <ns0:szCs ns0:val="23"/>
          <ns0:lang ns0:val="pt-BR"/>
        </ns0:rPr>
        <ns0:t>, 3</ns0:t>
      </ns0:r>
      <ns0:r>
        <ns0:rPr>
          <ns0:rFonts ns0:hint="default" ns0:ascii="Times New Roman" ns0:hAnsi="Times New Roman" ns0:eastAsia="Times New Roman" ns0:cs="Times New Roman"/>
          <ns0:color ns0:val="auto"/>
          <ns0:sz ns0:val="23"/>
          <ns0:szCs ns0:val="23"/>
          <ns0:vertAlign ns0:val="superscript"/>
          <ns0:lang ns0:val="pt-BR"/>
        </ns0:rPr>
        <ns0:t>o</ns0:t>
      </ns0:r>
      <ns0:r>
        <ns0:rPr>
          <ns0:rFonts ns0:hint="default" ns0:ascii="Times New Roman" ns0:hAnsi="Times New Roman" ns0:eastAsia="Times New Roman" ns0:cs="Times New Roman"/>
          <ns0:color ns0:val="auto"/>
          <ns0:sz ns0:val="23"/>
          <ns0:szCs ns0:val="23"/>
          <ns0:lang ns0:val="pt-BR"/>
        </ns0:rPr>
        <ns0:t xml:space="preserve"> ed. New York: Routledge, 2025. doi: 10.4324/9781003380719.</ns0:t>
      </ns0:r>
    </ns0:p>
    <ns0:p ns2:paraId="4B668CAB">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C. Bishop, “Interlimb Asymmetries: Are Thresholds a Usable Concept?”, </ns0:t>
      </ns0:r>
      <ns0:r>
        <ns0:rPr>
          <ns0:rFonts ns0:hint="default" ns0:ascii="Times New Roman" ns0:hAnsi="Times New Roman" ns0:eastAsia="Times New Roman" ns0:cs="Times New Roman"/>
          <ns0:i/>
          <ns0:color ns0:val="auto"/>
          <ns0:sz ns0:val="23"/>
          <ns0:szCs ns0:val="23"/>
          <ns0:lang ns0:val="pt-BR"/>
        </ns0:rPr>
        <ns0:t>Strength Cond. J.</ns0:t>
      </ns0:r>
      <ns0:r>
        <ns0:rPr>
          <ns0:rFonts ns0:hint="default" ns0:ascii="Times New Roman" ns0:hAnsi="Times New Roman" ns0:eastAsia="Times New Roman" ns0:cs="Times New Roman"/>
          <ns0:color ns0:val="auto"/>
          <ns0:sz ns0:val="23"/>
          <ns0:szCs ns0:val="23"/>
          <ns0:lang ns0:val="pt-BR"/>
        </ns0:rPr>
        <ns0:t>, v. 43, n. 1, p. 32–36, fev. 2021, doi: 10.1519/SSC.0000000000000554.</ns0:t>
      </ns0:r>
    </ns0:p>
    <ns0:p ns2:paraId="66413F8F">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M. R. Dias </ns0:t>
      </ns0:r>
      <ns0:r>
        <ns0:rPr>
          <ns0:rFonts ns0:hint="default" ns0:ascii="Times New Roman" ns0:hAnsi="Times New Roman" ns0:eastAsia="Times New Roman" ns0:cs="Times New Roman"/>
          <ns0:i/>
          <ns0:color ns0:val="auto"/>
          <ns0:sz ns0:val="23"/>
          <ns0:szCs ns0:val="23"/>
          <ns0:lang ns0:val="pt-BR"/>
        </ns0:rPr>
        <ns0:t>et al.</ns0:t>
      </ns0:r>
      <ns0:r>
        <ns0:rPr>
          <ns0:rFonts ns0:hint="default" ns0:ascii="Times New Roman" ns0:hAnsi="Times New Roman" ns0:eastAsia="Times New Roman" ns0:cs="Times New Roman"/>
          <ns0:color ns0:val="auto"/>
          <ns0:sz ns0:val="23"/>
          <ns0:szCs ns0:val="23"/>
          <ns0:lang ns0:val="pt-BR"/>
        </ns0:rPr>
        <ns0:t xml:space="preserve">, “Influência do processo de familiarização para avaliação da força muscular em testes de 1-RM”, </ns0:t>
      </ns0:r>
      <ns0:r>
        <ns0:rPr>
          <ns0:rFonts ns0:hint="default" ns0:ascii="Times New Roman" ns0:hAnsi="Times New Roman" ns0:eastAsia="Times New Roman" ns0:cs="Times New Roman"/>
          <ns0:i/>
          <ns0:color ns0:val="auto"/>
          <ns0:sz ns0:val="23"/>
          <ns0:szCs ns0:val="23"/>
          <ns0:lang ns0:val="pt-BR"/>
        </ns0:rPr>
        <ns0:t>Rev. Bras. Med. Esporte</ns0:t>
      </ns0:r>
      <ns0:r>
        <ns0:rPr>
          <ns0:rFonts ns0:hint="default" ns0:ascii="Times New Roman" ns0:hAnsi="Times New Roman" ns0:eastAsia="Times New Roman" ns0:cs="Times New Roman"/>
          <ns0:color ns0:val="auto"/>
          <ns0:sz ns0:val="23"/>
          <ns0:szCs ns0:val="23"/>
          <ns0:lang ns0:val="pt-BR"/>
        </ns0:rPr>
        <ns0:t>, v. 11, n. 1, 2005, doi: 10.1590/s1517-86922005000100004.</ns0:t>
      </ns0:r>
    </ns0:p>
    <ns0:p ns2:paraId="22D3BB9C">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A. Soriano, T. J. Suchomel, e P. Comfort, “Weightlifting Overhead Pressing Derivatives: A Review of the Literature”, </ns0:t>
      </ns0:r>
      <ns0:r>
        <ns0:rPr>
          <ns0:rFonts ns0:hint="default" ns0:ascii="Times New Roman" ns0:hAnsi="Times New Roman" ns0:eastAsia="Times New Roman" ns0:cs="Times New Roman"/>
          <ns0:i/>
          <ns0:color ns0:val="auto"/>
          <ns0:sz ns0:val="23"/>
          <ns0:szCs ns0:val="23"/>
          <ns0:lang ns0:val="pt-BR"/>
        </ns0:rPr>
        <ns0:t>Sports Med.</ns0:t>
      </ns0:r>
      <ns0:r>
        <ns0:rPr>
          <ns0:rFonts ns0:hint="default" ns0:ascii="Times New Roman" ns0:hAnsi="Times New Roman" ns0:eastAsia="Times New Roman" ns0:cs="Times New Roman"/>
          <ns0:color ns0:val="auto"/>
          <ns0:sz ns0:val="23"/>
          <ns0:szCs ns0:val="23"/>
          <ns0:lang ns0:val="pt-BR"/>
        </ns0:rPr>
        <ns0:t>, v. 49, n. 6, p. 867–885, jun. 2019, doi: 10.1007/s40279-019-01096-8.</ns0:t>
      </ns0:r>
    </ns0:p>
    <ns0:p ns2:paraId="182C03E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[59]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G. D. P. Lemos, “A força máxima no shoulder press relativa à massa corporal é uma medida preditiva do  desempenho no strict handstand push-up dentro da modalidade CrossFit®?”, 2024.</ns0:t>
      </ns0:r>
    </ns0:p>
    <ns0:p ns2:paraId="53F65F5C">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W. A. Sands, D. J. Caine, e J. Borms, </ns0:t>
      </ns0:r>
      <ns0:r>
        <ns0:rPr>
          <ns0:rFonts ns0:hint="default" ns0:ascii="Times New Roman" ns0:hAnsi="Times New Roman" ns0:eastAsia="Times New Roman" ns0:cs="Times New Roman"/>
          <ns0:i/>
          <ns0:color ns0:val="auto"/>
          <ns0:sz ns0:val="23"/>
          <ns0:szCs ns0:val="23"/>
          <ns0:lang ns0:val="pt-BR"/>
        </ns0:rPr>
        <ns0:t>Scientific Aspects of Women’s Gymnastics</ns0:t>
      </ns0:r>
      <ns0:r>
        <ns0:rPr>
          <ns0:rFonts ns0:hint="default" ns0:ascii="Times New Roman" ns0:hAnsi="Times New Roman" ns0:eastAsia="Times New Roman" ns0:cs="Times New Roman"/>
          <ns0:color ns0:val="auto"/>
          <ns0:sz ns0:val="23"/>
          <ns0:szCs ns0:val="23"/>
          <ns0:lang ns0:val="pt-BR"/>
        </ns0:rPr>
        <ns0:t>, v. 45. em Medicine and Sport Science, vol. 45. S. Karger AG, 2002. doi: 10.1159/isbn.978-3-318-00894-4.</ns0:t>
      </ns0:r>
    </ns0:p>
    <ns0:p ns2:paraId="17F0A77E">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B. Davis, S. Õunpuu, D. Tyburski, e J. R. Gage, “A gait analysis data collection and reduction technique”, </ns0:t>
      </ns0:r>
      <ns0:r>
        <ns0:rPr>
          <ns0:rFonts ns0:hint="default" ns0:ascii="Times New Roman" ns0:hAnsi="Times New Roman" ns0:eastAsia="Times New Roman" ns0:cs="Times New Roman"/>
          <ns0:i/>
          <ns0:color ns0:val="auto"/>
          <ns0:sz ns0:val="23"/>
          <ns0:szCs ns0:val="23"/>
          <ns0:lang ns0:val="pt-BR"/>
        </ns0:rPr>
        <ns0:t>Hum. Mov. Sci.</ns0:t>
      </ns0:r>
      <ns0:r>
        <ns0:rPr>
          <ns0:rFonts ns0:hint="default" ns0:ascii="Times New Roman" ns0:hAnsi="Times New Roman" ns0:eastAsia="Times New Roman" ns0:cs="Times New Roman"/>
          <ns0:color ns0:val="auto"/>
          <ns0:sz ns0:val="23"/>
          <ns0:szCs ns0:val="23"/>
          <ns0:lang ns0:val="pt-BR"/>
        </ns0:rPr>
        <ns0:t>, v. 10, n. 5, p. 575–587, out. 1991, doi: 10.1016/0167-9457(91)90046-Z.</ns0:t>
      </ns0:r>
    </ns0:p>
    <ns0:p ns2:paraId="76A4D1A9">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P. Kadaba, H. K. Ramakrishnan, e M. E. Wootten, “Measurement of lower extremity kinematics during level walking”, </ns0:t>
      </ns0:r>
      <ns0:r>
        <ns0:rPr>
          <ns0:rFonts ns0:hint="default" ns0:ascii="Times New Roman" ns0:hAnsi="Times New Roman" ns0:eastAsia="Times New Roman" ns0:cs="Times New Roman"/>
          <ns0:i/>
          <ns0:color ns0:val="auto"/>
          <ns0:sz ns0:val="23"/>
          <ns0:szCs ns0:val="23"/>
          <ns0:lang ns0:val="pt-BR"/>
        </ns0:rPr>
        <ns0:t>J. Orthop. Res.</ns0:t>
      </ns0:r>
      <ns0:r>
        <ns0:rPr>
          <ns0:rFonts ns0:hint="default" ns0:ascii="Times New Roman" ns0:hAnsi="Times New Roman" ns0:eastAsia="Times New Roman" ns0:cs="Times New Roman"/>
          <ns0:color ns0:val="auto"/>
          <ns0:sz ns0:val="23"/>
          <ns0:szCs ns0:val="23"/>
          <ns0:lang ns0:val="pt-BR"/>
        </ns0:rPr>
        <ns0:t>, v. 8, n. 3, p. 383–392, maio 1990, doi: 10.1002/jor.1100080310.</ns0:t>
      </ns0:r>
    </ns0:p>
    <ns0:p ns2:paraId="60B201AC">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[63]</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H. Challis, “A procedure for determining rigid body transformation parameters”, </ns0:t>
      </ns0:r>
      <ns0:r>
        <ns0:rPr>
          <ns0:rFonts ns0:hint="default" ns0:ascii="Times New Roman" ns0:hAnsi="Times New Roman" ns0:eastAsia="Times New Roman" ns0:cs="Times New Roman"/>
          <ns0:i/>
          <ns0:color ns0:val="auto"/>
          <ns0:sz ns0:val="23"/>
          <ns0:szCs ns0:val="23"/>
          <ns0:lang ns0:val="pt-BR"/>
        </ns0:rPr>
        <ns0:t>J. Biomech.</ns0:t>
      </ns0:r>
      <ns0:r>
        <ns0:rPr>
          <ns0:rFonts ns0:hint="default" ns0:ascii="Times New Roman" ns0:hAnsi="Times New Roman" ns0:eastAsia="Times New Roman" ns0:cs="Times New Roman"/>
          <ns0:color ns0:val="auto"/>
          <ns0:sz ns0:val="23"/>
          <ns0:szCs ns0:val="23"/>
          <ns0:lang ns0:val="pt-BR"/>
        </ns0:rPr>
        <ns0:t>, v. 28, n. 6, p. 733–737, jun. 1995, doi: 10.1016/0021-9290(94)00116-L.</ns0:t>
      </ns0:r>
    </ns0:p>
    <ns0:p ns2:paraId="341907CB">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[64]</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W. Kabsch, “A solution for the best rotation to relate two sets of vectors”, </ns0:t>
      </ns0:r>
      <ns0:r>
        <ns0:rPr>
          <ns0:rFonts ns0:hint="default" ns0:ascii="Times New Roman" ns0:hAnsi="Times New Roman" ns0:eastAsia="Times New Roman" ns0:cs="Times New Roman"/>
          <ns0:i/>
          <ns0:color ns0:val="auto"/>
          <ns0:sz ns0:val="23"/>
          <ns0:szCs ns0:val="23"/>
          <ns0:lang ns0:val="pt-BR"/>
        </ns0:rPr>
        <ns0:t>Acta Crystallogr. Sect. A</ns0:t>
      </ns0:r>
      <ns0:r>
        <ns0:rPr>
          <ns0:rFonts ns0:hint="default" ns0:ascii="Times New Roman" ns0:hAnsi="Times New Roman" ns0:eastAsia="Times New Roman" ns0:cs="Times New Roman"/>
          <ns0:color ns0:val="auto"/>
          <ns0:sz ns0:val="23"/>
          <ns0:szCs ns0:val="23"/>
          <ns0:lang ns0:val="pt-BR"/>
        </ns0:rPr>
        <ns0:t>, v. 32, n. 5, p. 922–923, set. 1976, doi: 10.1107/S0567739476001873.</ns0:t>
      </ns0:r>
    </ns0:p>
    <ns0:p ns2:paraId="2133409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[65]</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B. Michaud e M. Begon, “ezc3d: An easy C3D file I/O cross-platform solution for C++, Python and MATLAB”, </ns0:t>
      </ns0:r>
      <ns0:r>
        <ns0:rPr>
          <ns0:rFonts ns0:hint="default" ns0:ascii="Times New Roman" ns0:hAnsi="Times New Roman" ns0:eastAsia="Times New Roman" ns0:cs="Times New Roman"/>
          <ns0:i/>
          <ns0:color ns0:val="auto"/>
          <ns0:sz ns0:val="23"/>
          <ns0:szCs ns0:val="23"/>
          <ns0:lang ns0:val="pt-BR"/>
        </ns0:rPr>
        <ns0:t>J. Open Source Softw.</ns0:t>
      </ns0:r>
      <ns0:r>
        <ns0:rPr>
          <ns0:rFonts ns0:hint="default" ns0:ascii="Times New Roman" ns0:hAnsi="Times New Roman" ns0:eastAsia="Times New Roman" ns0:cs="Times New Roman"/>
          <ns0:color ns0:val="auto"/>
          <ns0:sz ns0:val="23"/>
          <ns0:szCs ns0:val="23"/>
          <ns0:lang ns0:val="pt-BR"/>
        </ns0:rPr>
        <ns0:t>, v. 6, n. 58, p. 2911, fev. 2021, doi: 10.21105/joss.02911.</ns0:t>
      </ns0:r>
    </ns0:p>
    <ns0:p ns2:paraId="42CE6213">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[66]</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A. Peters, B. Galna, M. Sangeux, M. Morris, e R. Baker, “Quantification of soft tissue artifact in lower limb human motion analysis: A systematic review”, </ns0:t>
      </ns0:r>
      <ns0:r>
        <ns0:rPr>
          <ns0:rFonts ns0:hint="default" ns0:ascii="Times New Roman" ns0:hAnsi="Times New Roman" ns0:eastAsia="Times New Roman" ns0:cs="Times New Roman"/>
          <ns0:i/>
          <ns0:color ns0:val="auto"/>
          <ns0:sz ns0:val="23"/>
          <ns0:szCs ns0:val="23"/>
          <ns0:lang ns0:val="pt-BR"/>
        </ns0:rPr>
        <ns0:t>Gait Posture</ns0:t>
      </ns0:r>
      <ns0:r>
        <ns0:rPr>
          <ns0:rFonts ns0:hint="default" ns0:ascii="Times New Roman" ns0:hAnsi="Times New Roman" ns0:eastAsia="Times New Roman" ns0:cs="Times New Roman"/>
          <ns0:color ns0:val="auto"/>
          <ns0:sz ns0:val="23"/>
          <ns0:szCs ns0:val="23"/>
          <ns0:lang ns0:val="pt-BR"/>
        </ns0:rPr>
        <ns0:t>, v. 31, n. 1, p. 1–8, jan. 2010, doi: 10.1016/j.gaitpost.2009.09.004.</ns0:t>
      </ns0:r>
    </ns0:p>
    <ns0:p ns2:paraId="00B2D4C5">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[67]</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D. G. E. Robertson, G. E. Caldwell, J. Hamill, G. Kamen, e S. N. Whittlesey, </ns0:t>
      </ns0:r>
      <ns0:r>
        <ns0:rPr>
          <ns0:rFonts ns0:hint="default" ns0:ascii="Times New Roman" ns0:hAnsi="Times New Roman" ns0:eastAsia="Times New Roman" ns0:cs="Times New Roman"/>
          <ns0:i/>
          <ns0:color ns0:val="auto"/>
          <ns0:sz ns0:val="23"/>
          <ns0:szCs ns0:val="23"/>
          <ns0:lang ns0:val="pt-BR"/>
        </ns0:rPr>
        <ns0:t>Research Methods in Biomechanics</ns0:t>
      </ns0:r>
      <ns0:r>
        <ns0:rPr>
          <ns0:rFonts ns0:hint="default" ns0:ascii="Times New Roman" ns0:hAnsi="Times New Roman" ns0:eastAsia="Times New Roman" ns0:cs="Times New Roman"/>
          <ns0:color ns0:val="auto"/>
          <ns0:sz ns0:val="23"/>
          <ns0:szCs ns0:val="23"/>
          <ns0:lang ns0:val="pt-BR"/>
        </ns0:rPr>
        <ns0:t>, 2</ns0:t>
      </ns0:r>
      <ns0:r>
        <ns0:rPr>
          <ns0:rFonts ns0:hint="default" ns0:ascii="Times New Roman" ns0:hAnsi="Times New Roman" ns0:eastAsia="Times New Roman" ns0:cs="Times New Roman"/>
          <ns0:color ns0:val="auto"/>
          <ns0:sz ns0:val="23"/>
          <ns0:szCs ns0:val="23"/>
          <ns0:vertAlign ns0:val="superscript"/>
          <ns0:lang ns0:val="pt-BR"/>
        </ns0:rPr>
        <ns0:t>o</ns0:t>
      </ns0:r>
      <ns0:r>
        <ns0:rPr>
          <ns0:rFonts ns0:hint="default" ns0:ascii="Times New Roman" ns0:hAnsi="Times New Roman" ns0:eastAsia="Times New Roman" ns0:cs="Times New Roman"/>
          <ns0:color ns0:val="auto"/>
          <ns0:sz ns0:val="23"/>
          <ns0:szCs ns0:val="23"/>
          <ns0:lang ns0:val="pt-BR"/>
        </ns0:rPr>
        <ns0:t xml:space="preserve"> ed. Human Kinetics, 2014. doi: 10.5040/9781492595809.</ns0:t>
      </ns0:r>
    </ns0:p>
    <ns0:p ns2:paraId="3C5A241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[68]</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S. J. Howarth e J. P. Callaghan, “Quantitative assessment of the accuracy for three interpolation techniques in kinematic analysis of human movement”, </ns0:t>
      </ns0:r>
      <ns0:r>
        <ns0:rPr>
          <ns0:rFonts ns0:hint="default" ns0:ascii="Times New Roman" ns0:hAnsi="Times New Roman" ns0:eastAsia="Times New Roman" ns0:cs="Times New Roman"/>
          <ns0:i/>
          <ns0:color ns0:val="auto"/>
          <ns0:sz ns0:val="23"/>
          <ns0:szCs ns0:val="23"/>
          <ns0:lang ns0:val="pt-BR"/>
        </ns0:rPr>
        <ns0:t>Comput. Methods Biomech. Biomed. Engin.</ns0:t>
      </ns0:r>
      <ns0:r>
        <ns0:rPr>
          <ns0:rFonts ns0:hint="default" ns0:ascii="Times New Roman" ns0:hAnsi="Times New Roman" ns0:eastAsia="Times New Roman" ns0:cs="Times New Roman"/>
          <ns0:color ns0:val="auto"/>
          <ns0:sz ns0:val="23"/>
          <ns0:szCs ns0:val="23"/>
          <ns0:lang ns0:val="pt-BR"/>
        </ns0:rPr>
        <ns0:t>, v. 13, n. 6, p. 847–855, dez. 2010, doi: 10.1080/10255841003664701.</ns0:t>
      </ns0:r>
    </ns0:p>
    <ns0:p ns2:paraId="283AD2B2">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[69]</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M. Šenk e L. Chèze, “Rotation sequence as an important factor in shoulder kinematics”, </ns0:t>
      </ns0:r>
      <ns0:r>
        <ns0:rPr>
          <ns0:rFonts ns0:hint="default" ns0:ascii="Times New Roman" ns0:hAnsi="Times New Roman" ns0:eastAsia="Times New Roman" ns0:cs="Times New Roman"/>
          <ns0:i/>
          <ns0:color ns0:val="auto"/>
          <ns0:sz ns0:val="23"/>
          <ns0:szCs ns0:val="23"/>
          <ns0:lang ns0:val="pt-BR"/>
        </ns0:rPr>
        <ns0:t>Clin. Biomech.</ns0:t>
      </ns0:r>
      <ns0:r>
        <ns0:rPr>
          <ns0:rFonts ns0:hint="default" ns0:ascii="Times New Roman" ns0:hAnsi="Times New Roman" ns0:eastAsia="Times New Roman" ns0:cs="Times New Roman"/>
          <ns0:color ns0:val="auto"/>
          <ns0:sz ns0:val="23"/>
          <ns0:szCs ns0:val="23"/>
          <ns0:lang ns0:val="pt-BR"/>
        </ns0:rPr>
        <ns0:t>, v. 21, p. S3–S8, jan. 2006, doi: 10.1016/j.clinbiomech.2005.09.007.</ns0:t>
      </ns0:r>
    </ns0:p>
    <ns0:p ns2:paraId="71F344C1">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[70]</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R. E. Fellin, W. C. Rose, T. D. Royer, e I. S. Davis, “Comparison of methods for kinematic identification of footstrike and toe-off during overground and treadmill running”, </ns0:t>
      </ns0:r>
      <ns0:r>
        <ns0:rPr>
          <ns0:rFonts ns0:hint="default" ns0:ascii="Times New Roman" ns0:hAnsi="Times New Roman" ns0:eastAsia="Times New Roman" ns0:cs="Times New Roman"/>
          <ns0:i/>
          <ns0:color ns0:val="auto"/>
          <ns0:sz ns0:val="23"/>
          <ns0:szCs ns0:val="23"/>
          <ns0:lang ns0:val="pt-BR"/>
        </ns0:rPr>
        <ns0:t>J. Sci. Med. Sport</ns0:t>
      </ns0:r>
      <ns0:r>
        <ns0:rPr>
          <ns0:rFonts ns0:hint="default" ns0:ascii="Times New Roman" ns0:hAnsi="Times New Roman" ns0:eastAsia="Times New Roman" ns0:cs="Times New Roman"/>
          <ns0:color ns0:val="auto"/>
          <ns0:sz ns0:val="23"/>
          <ns0:szCs ns0:val="23"/>
          <ns0:lang ns0:val="pt-BR"/>
        </ns0:rPr>
        <ns0:t>, v. 13, n. 6, p. 646–650, nov. 2010, doi: 10.1016/j.jsams.2010.03.006.</ns0:t>
      </ns0:r>
    </ns0:p>
    <ns0:p ns2:paraId="45C19E93">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pt-BR"/>
        </ns0:rPr>
      </ns0:pPr>
      <ns0:r>
        <ns0:rPr>
          <ns0:rFonts ns0:hint="default" ns0:ascii="Times New Roman" ns0:hAnsi="Times New Roman" ns0:eastAsia="Times New Roman" ns0:cs="Times New Roman"/>
          <ns0:color ns0:val="auto"/>
          <ns0:sz ns0:val="23"/>
          <ns0:szCs ns0:val="23"/>
          <ns0:lang ns0:val="pt-BR"/>
        </ns0:rPr>
        <ns0:t>[71]</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J. A. Zeni, J. G. Richards, e J. S. Higginson, “Two simple methods for determining gait events during treadmill and overground walking using kinematic data”, </ns0:t>
      </ns0:r>
      <ns0:r>
        <ns0:rPr>
          <ns0:rFonts ns0:hint="default" ns0:ascii="Times New Roman" ns0:hAnsi="Times New Roman" ns0:eastAsia="Times New Roman" ns0:cs="Times New Roman"/>
          <ns0:i/>
          <ns0:color ns0:val="auto"/>
          <ns0:sz ns0:val="23"/>
          <ns0:szCs ns0:val="23"/>
          <ns0:lang ns0:val="pt-BR"/>
        </ns0:rPr>
        <ns0:t>Gait Posture</ns0:t>
      </ns0:r>
      <ns0:r>
        <ns0:rPr>
          <ns0:rFonts ns0:hint="default" ns0:ascii="Times New Roman" ns0:hAnsi="Times New Roman" ns0:eastAsia="Times New Roman" ns0:cs="Times New Roman"/>
          <ns0:color ns0:val="auto"/>
          <ns0:sz ns0:val="23"/>
          <ns0:szCs ns0:val="23"/>
          <ns0:lang ns0:val="pt-BR"/>
        </ns0:rPr>
        <ns0:t>, v. 27, n. 4, p. 710–714, maio 2008, doi: 10.1016/j.gaitpost.2007.07.007.</ns0:t>
      </ns0:r>
    </ns0:p>
    <ns0:p ns2:paraId="73BB0823">
      <ns0:pPr>
        <ns0:tabs>
          <ns0:tab ns0:val="left" ns0:pos="0"/>
        </ns0:tabs>
        <ns0:spacing ns0:after="0" ns0:line="240" ns0:lineRule="auto"/>
        <ns0:ind ns0:left="504" ns0:hanging="504"/>
        <ns0:rPr>
          <ns0:rFonts ns0:hint="default" ns0:ascii="Times New Roman" ns0:hAnsi="Times New Roman" ns0:eastAsia="Times New Roman" ns0:cs="Times New Roman"/>
          <ns0:color ns0:val="auto"/>
          <ns0:sz ns0:val="23"/>
          <ns0:szCs ns0:val="23"/>
          <ns0:lang ns0:val="en-US"/>
        </ns0:rPr>
      </ns0:pPr>
      <ns0:r>
        <ns0:rPr>
          <ns0:rFonts ns0:hint="default" ns0:ascii="Times New Roman" ns0:hAnsi="Times New Roman" ns0:eastAsia="Times New Roman" ns0:cs="Times New Roman"/>
          <ns0:color ns0:val="auto"/>
          <ns0:sz ns0:val="23"/>
          <ns0:szCs ns0:val="23"/>
          <ns0:lang ns0:val="pt-BR"/>
        </ns0:rPr>
        <ns0:t>[72]</ns0:t>
      </ns0:r>
      <ns0:r>
        <ns0:rPr>
          <ns0:rFonts ns0:hint="default" ns0:ascii="Times New Roman" ns0:hAnsi="Times New Roman" ns0:eastAsia="Times New Roman" ns0:cs="Times New Roman"/>
          <ns0:color ns0:val="auto"/>
          <ns0:sz ns0:val="23"/>
          <ns0:szCs ns0:val="23"/>
          <ns0:lang ns0:val="pt-BR"/>
        </ns0:rPr>
        <ns0:tab/>
      </ns0:r>
      <ns0:r>
        <ns0:rPr>
          <ns0:rFonts ns0:hint="default" ns0:ascii="Times New Roman" ns0:hAnsi="Times New Roman" ns0:eastAsia="Times New Roman" ns0:cs="Times New Roman"/>
          <ns0:color ns0:val="auto"/>
          <ns0:sz ns0:val="23"/>
          <ns0:szCs ns0:val="23"/>
          <ns0:lang ns0:val="pt-BR"/>
        </ns0:rPr>
        <ns0:t xml:space="preserve">S. S. Sun </ns0:t>
      </ns0:r>
      <ns0:r>
        <ns0:rPr>
          <ns0:rFonts ns0:hint="default" ns0:ascii="Times New Roman" ns0:hAnsi="Times New Roman" ns0:eastAsia="Times New Roman" ns0:cs="Times New Roman"/>
          <ns0:i/>
          <ns0:color ns0:val="auto"/>
          <ns0:sz ns0:val="23"/>
          <ns0:szCs ns0:val="23"/>
          <ns0:lang ns0:val="pt-BR"/>
        </ns0:rPr>
        <ns0:t>et al.</ns0:t>
      </ns0:r>
      <ns0:r>
        <ns0:rPr>
          <ns0:rFonts ns0:hint="default" ns0:ascii="Times New Roman" ns0:hAnsi="Times New Roman" ns0:eastAsia="Times New Roman" ns0:cs="Times New Roman"/>
          <ns0:color ns0:val="auto"/>
          <ns0:sz ns0:val="23"/>
          <ns0:szCs ns0:val="23"/>
          <ns0:lang ns0:val="pt-BR"/>
        </ns0:rPr>
        <ns0:t xml:space="preserve">, “Development of bioelectrical impedance analysis prediction equations for body composition with the use of a multicomponent model for use in epidemiologic surveys”, </ns0:t>
      </ns0:r>
      <ns0:r>
        <ns0:rPr>
          <ns0:rFonts ns0:hint="default" ns0:ascii="Times New Roman" ns0:hAnsi="Times New Roman" ns0:eastAsia="Times New Roman" ns0:cs="Times New Roman"/>
          <ns0:i/>
          <ns0:color ns0:val="auto"/>
          <ns0:sz ns0:val="23"/>
          <ns0:szCs ns0:val="23"/>
          <ns0:lang ns0:val="pt-BR"/>
        </ns0:rPr>
        <ns0:t>Am. J. Clin. Nutr.</ns0:t>
      </ns0:r>
      <ns0:r>
        <ns0:rPr>
          <ns0:rFonts ns0:hint="default" ns0:ascii="Times New Roman" ns0:hAnsi="Times New Roman" ns0:eastAsia="Times New Roman" ns0:cs="Times New Roman"/>
          <ns0:color ns0:val="auto"/>
          <ns0:sz ns0:val="23"/>
          <ns0:szCs ns0:val="23"/>
          <ns0:lang ns0:val="pt-BR"/>
        </ns0:rPr>
        <ns0:t>, v. 77, n. 2, p. 331–340, fev. 2003, doi: 10.1093/ajcn/77.2.331.</ns0:t>
      </ns0:r>
      <ns0:r>
        <ns0:rPr>
          <ns0:rFonts ns0:hint="default" ns0:ascii="Times New Roman" ns0:hAnsi="Times New Roman" ns0:eastAsia="Times New Roman" ns0:cs="Times New Roman"/>
          <ns0:color ns0:val="auto"/>
          <ns0:sz ns0:val="23"/>
          <ns0:szCs ns0:val="23"/>
          <ns0:lang ns0:val="en-US"/>
        </ns0:rPr>
        <ns0:fldChar ns0:fldCharType="end"/>
      </ns0:r>
    </ns0:p>
    <ns0:p ns2:paraId="37E02F6D">
      <ns0:pPr>
        <ns0:spacing ns0:line="360" ns0:lineRule="auto"/>
        <ns0:rPr>
          <ns0:rFonts ns0:hint="default" ns0:ascii="Times New Roman" ns0:hAnsi="Times New Roman" ns0:eastAsia="Times New Roman" ns0:cs="Times New Roman"/>
          <ns0:color ns0:val="auto"/>
          <ns0:sz ns0:val="23"/>
          <ns0:szCs ns0:val="23"/>
          <ns0:lang ns0:val="en-US"/>
        </ns0:rPr>
      </ns0:pPr>
    </ns0:p>
    <ns0:p ns2:paraId="3ADCE635">
      <ns0:pPr>
        <ns0:rPr>
          <ns0:rFonts ns0:hint="default" ns0:ascii="Times New Roman" ns0:hAnsi="Times New Roman" ns0:eastAsia="Times New Roman" ns0:cs="Times New Roman"/>
          <ns0:color ns0:val="auto"/>
          <ns0:lang ns0:val="en-US"/>
        </ns0:rPr>
      </ns0:pPr>
    </ns0:p>
    <ns0:sectPr>
      <ns0:headerReference ns3:id="rId5" ns0:type="default"/>
      <ns0:footerReference ns3:id="rId6" ns0:type="default"/>
      <ns0:pgSz ns0:w="11906" ns0:h="16838"/>
      <ns0:pgMar ns0:top="1411" ns0:right="1411" ns0:bottom="1411" ns0:left="1411" ns0:header="720" ns0:footer="720" ns0:gutter="0"/>
      <ns0:pgNumType ns0:start="1"/>
      <ns0:cols ns0:space="720" ns0:num="1"/>
      <ns0:formProt ns0:val="0"/>
      <ns0:docGrid ns0:linePitch="100" ns0:charSpace="0"/>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A01C4D">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204E8">
    <w:pPr>
      <w:tabs>
        <w:tab w:val="center" w:pos="4252"/>
        <w:tab w:val="right" w:pos="8504"/>
      </w:tabs>
      <w:rPr>
        <w:color w:val="000000"/>
      </w:rPr>
    </w:pPr>
    <w:r>
      <w:rPr>
        <w:color w:val="000000"/>
      </w:rPr>
      <w:fldChar w:fldCharType="begin"/>
    </w:r>
    <w:r>
      <w:rPr>
        <w:color w:val="000000"/>
      </w:rPr>
      <w:instrText xml:space="preserve"> PAGE </w:instrText>
    </w:r>
    <w:r>
      <w:rPr>
        <w:color w:val="000000"/>
      </w:rPr>
      <w:fldChar w:fldCharType="separate"/>
    </w:r>
    <w:r>
      <w:rPr>
        <w:color w:val="000000"/>
      </w:rPr>
      <w:t>23</w:t>
    </w:r>
    <w:r>
      <w:rPr>
        <w:color w:val="000000"/>
      </w:rPr>
      <w:fldChar w:fldCharType="end"/>
    </w:r>
  </w:p>
  <w:p w14:paraId="43F302FC">
    <w:pPr>
      <w:tabs>
        <w:tab w:val="center" w:pos="4252"/>
        <w:tab w:val="right" w:pos="8504"/>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EE4B7A"/>
    <w:multiLevelType w:val="multilevel"/>
    <w:tmpl w:val="0BEE4B7A"/>
    <w:lvl w:ilvl="0" w:tentative="0">
      <w:start w:val="1"/>
      <w:numFmt w:val="bullet"/>
      <w:lvlText w:val=""/>
      <w:lvlJc w:val="left"/>
      <w:pPr>
        <w:tabs>
          <w:tab w:val="left" w:pos="1428"/>
        </w:tabs>
        <w:ind w:left="1428" w:hanging="360"/>
      </w:pPr>
      <w:rPr>
        <w:rFonts w:hint="default" w:ascii="Wingdings" w:hAnsi="Wingdings"/>
        <w:sz w:val="20"/>
      </w:rPr>
    </w:lvl>
    <w:lvl w:ilvl="1" w:tentative="0">
      <w:start w:val="1"/>
      <w:numFmt w:val="bullet"/>
      <w:lvlText w:val=""/>
      <w:lvlJc w:val="left"/>
      <w:pPr>
        <w:tabs>
          <w:tab w:val="left" w:pos="2148"/>
        </w:tabs>
        <w:ind w:left="2148" w:hanging="360"/>
      </w:pPr>
      <w:rPr>
        <w:rFonts w:hint="default" w:ascii="Symbol" w:hAnsi="Symbol"/>
        <w:sz w:val="20"/>
      </w:rPr>
    </w:lvl>
    <w:lvl w:ilvl="2" w:tentative="0">
      <w:start w:val="1"/>
      <w:numFmt w:val="bullet"/>
      <w:lvlText w:val=""/>
      <w:lvlJc w:val="left"/>
      <w:pPr>
        <w:tabs>
          <w:tab w:val="left" w:pos="2868"/>
        </w:tabs>
        <w:ind w:left="2868" w:hanging="360"/>
      </w:pPr>
      <w:rPr>
        <w:rFonts w:hint="default" w:ascii="Symbol" w:hAnsi="Symbol"/>
        <w:sz w:val="20"/>
      </w:rPr>
    </w:lvl>
    <w:lvl w:ilvl="3" w:tentative="0">
      <w:start w:val="1"/>
      <w:numFmt w:val="bullet"/>
      <w:lvlText w:val=""/>
      <w:lvlJc w:val="left"/>
      <w:pPr>
        <w:tabs>
          <w:tab w:val="left" w:pos="3588"/>
        </w:tabs>
        <w:ind w:left="3588" w:hanging="360"/>
      </w:pPr>
      <w:rPr>
        <w:rFonts w:hint="default" w:ascii="Symbol" w:hAnsi="Symbol"/>
        <w:sz w:val="20"/>
      </w:rPr>
    </w:lvl>
    <w:lvl w:ilvl="4" w:tentative="0">
      <w:start w:val="1"/>
      <w:numFmt w:val="bullet"/>
      <w:lvlText w:val=""/>
      <w:lvlJc w:val="left"/>
      <w:pPr>
        <w:tabs>
          <w:tab w:val="left" w:pos="4308"/>
        </w:tabs>
        <w:ind w:left="4308" w:hanging="360"/>
      </w:pPr>
      <w:rPr>
        <w:rFonts w:hint="default" w:ascii="Symbol" w:hAnsi="Symbol"/>
        <w:sz w:val="20"/>
      </w:rPr>
    </w:lvl>
    <w:lvl w:ilvl="5" w:tentative="0">
      <w:start w:val="1"/>
      <w:numFmt w:val="bullet"/>
      <w:lvlText w:val=""/>
      <w:lvlJc w:val="left"/>
      <w:pPr>
        <w:tabs>
          <w:tab w:val="left" w:pos="5028"/>
        </w:tabs>
        <w:ind w:left="5028" w:hanging="360"/>
      </w:pPr>
      <w:rPr>
        <w:rFonts w:hint="default" w:ascii="Symbol" w:hAnsi="Symbol"/>
        <w:sz w:val="20"/>
      </w:rPr>
    </w:lvl>
    <w:lvl w:ilvl="6" w:tentative="0">
      <w:start w:val="1"/>
      <w:numFmt w:val="bullet"/>
      <w:lvlText w:val=""/>
      <w:lvlJc w:val="left"/>
      <w:pPr>
        <w:tabs>
          <w:tab w:val="left" w:pos="5748"/>
        </w:tabs>
        <w:ind w:left="5748" w:hanging="360"/>
      </w:pPr>
      <w:rPr>
        <w:rFonts w:hint="default" w:ascii="Symbol" w:hAnsi="Symbol"/>
        <w:sz w:val="20"/>
      </w:rPr>
    </w:lvl>
    <w:lvl w:ilvl="7" w:tentative="0">
      <w:start w:val="1"/>
      <w:numFmt w:val="bullet"/>
      <w:lvlText w:val=""/>
      <w:lvlJc w:val="left"/>
      <w:pPr>
        <w:tabs>
          <w:tab w:val="left" w:pos="6468"/>
        </w:tabs>
        <w:ind w:left="6468" w:hanging="360"/>
      </w:pPr>
      <w:rPr>
        <w:rFonts w:hint="default" w:ascii="Symbol" w:hAnsi="Symbol"/>
        <w:sz w:val="20"/>
      </w:rPr>
    </w:lvl>
    <w:lvl w:ilvl="8" w:tentative="0">
      <w:start w:val="1"/>
      <w:numFmt w:val="bullet"/>
      <w:lvlText w:val=""/>
      <w:lvlJc w:val="left"/>
      <w:pPr>
        <w:tabs>
          <w:tab w:val="left" w:pos="7188"/>
        </w:tabs>
        <w:ind w:left="7188" w:hanging="360"/>
      </w:pPr>
      <w:rPr>
        <w:rFonts w:hint="default" w:ascii="Symbol" w:hAnsi="Symbol"/>
        <w:sz w:val="20"/>
      </w:rPr>
    </w:lvl>
  </w:abstractNum>
  <w:abstractNum w:abstractNumId="1">
    <w:nsid w:val="1C8C5FD9"/>
    <w:multiLevelType w:val="multilevel"/>
    <w:tmpl w:val="1C8C5F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5561258"/>
    <w:multiLevelType w:val="multilevel"/>
    <w:tmpl w:val="255612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4B629F"/>
    <w:multiLevelType w:val="multilevel"/>
    <w:tmpl w:val="3B4B629F"/>
    <w:lvl w:ilvl="0" w:tentative="0">
      <w:start w:val="1"/>
      <w:numFmt w:val="decimal"/>
      <w:lvlText w:val="%1"/>
      <w:lvlJc w:val="left"/>
      <w:pPr>
        <w:tabs>
          <w:tab w:val="left" w:pos="0"/>
        </w:tabs>
        <w:ind w:left="780" w:hanging="420"/>
      </w:pPr>
    </w:lvl>
    <w:lvl w:ilvl="1" w:tentative="0">
      <w:start w:val="3"/>
      <w:numFmt w:val="decimal"/>
      <w:lvlText w:val="%1.%2"/>
      <w:lvlJc w:val="left"/>
      <w:pPr>
        <w:tabs>
          <w:tab w:val="left" w:pos="0"/>
        </w:tabs>
        <w:ind w:left="720" w:hanging="360"/>
      </w:pPr>
      <w:rPr>
        <w:i w:val="0"/>
      </w:rPr>
    </w:lvl>
    <w:lvl w:ilvl="2" w:tentative="0">
      <w:start w:val="1"/>
      <w:numFmt w:val="decimal"/>
      <w:lvlText w:val="%1.%2.%3"/>
      <w:lvlJc w:val="left"/>
      <w:pPr>
        <w:tabs>
          <w:tab w:val="left" w:pos="0"/>
        </w:tabs>
        <w:ind w:left="1080" w:hanging="720"/>
      </w:pPr>
      <w:rPr>
        <w:i w:val="0"/>
      </w:rPr>
    </w:lvl>
    <w:lvl w:ilvl="3" w:tentative="0">
      <w:start w:val="1"/>
      <w:numFmt w:val="decimal"/>
      <w:lvlText w:val="%1.%2.%3.%4"/>
      <w:lvlJc w:val="left"/>
      <w:pPr>
        <w:tabs>
          <w:tab w:val="left" w:pos="0"/>
        </w:tabs>
        <w:ind w:left="1080" w:hanging="720"/>
      </w:pPr>
      <w:rPr>
        <w:i w:val="0"/>
      </w:rPr>
    </w:lvl>
    <w:lvl w:ilvl="4" w:tentative="0">
      <w:start w:val="1"/>
      <w:numFmt w:val="decimal"/>
      <w:lvlText w:val="%1.%2.%3.%4.%5"/>
      <w:lvlJc w:val="left"/>
      <w:pPr>
        <w:tabs>
          <w:tab w:val="left" w:pos="0"/>
        </w:tabs>
        <w:ind w:left="1440" w:hanging="1080"/>
      </w:pPr>
      <w:rPr>
        <w:i w:val="0"/>
      </w:rPr>
    </w:lvl>
    <w:lvl w:ilvl="5" w:tentative="0">
      <w:start w:val="1"/>
      <w:numFmt w:val="decimal"/>
      <w:lvlText w:val="%1.%2.%3.%4.%5.%6"/>
      <w:lvlJc w:val="left"/>
      <w:pPr>
        <w:tabs>
          <w:tab w:val="left" w:pos="0"/>
        </w:tabs>
        <w:ind w:left="1440" w:hanging="1080"/>
      </w:pPr>
      <w:rPr>
        <w:i w:val="0"/>
      </w:rPr>
    </w:lvl>
    <w:lvl w:ilvl="6" w:tentative="0">
      <w:start w:val="1"/>
      <w:numFmt w:val="decimal"/>
      <w:lvlText w:val="%1.%2.%3.%4.%5.%6.%7"/>
      <w:lvlJc w:val="left"/>
      <w:pPr>
        <w:tabs>
          <w:tab w:val="left" w:pos="0"/>
        </w:tabs>
        <w:ind w:left="1800" w:hanging="1440"/>
      </w:pPr>
      <w:rPr>
        <w:i w:val="0"/>
      </w:rPr>
    </w:lvl>
    <w:lvl w:ilvl="7" w:tentative="0">
      <w:start w:val="1"/>
      <w:numFmt w:val="decimal"/>
      <w:lvlText w:val="%1.%2.%3.%4.%5.%6.%7.%8"/>
      <w:lvlJc w:val="left"/>
      <w:pPr>
        <w:tabs>
          <w:tab w:val="left" w:pos="0"/>
        </w:tabs>
        <w:ind w:left="1800" w:hanging="1440"/>
      </w:pPr>
      <w:rPr>
        <w:i w:val="0"/>
      </w:rPr>
    </w:lvl>
    <w:lvl w:ilvl="8" w:tentative="0">
      <w:start w:val="1"/>
      <w:numFmt w:val="decimal"/>
      <w:lvlText w:val="%1.%2.%3.%4.%5.%6.%7.%8.%9"/>
      <w:lvlJc w:val="left"/>
      <w:pPr>
        <w:tabs>
          <w:tab w:val="left" w:pos="0"/>
        </w:tabs>
        <w:ind w:left="2160" w:hanging="1800"/>
      </w:pPr>
      <w:rPr>
        <w:i w:val="0"/>
      </w:rPr>
    </w:lvl>
  </w:abstractNum>
  <w:abstractNum w:abstractNumId="4">
    <w:nsid w:val="443E4FBB"/>
    <w:multiLevelType w:val="multilevel"/>
    <w:tmpl w:val="443E4F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D9D57D6"/>
    <w:multiLevelType w:val="multilevel"/>
    <w:tmpl w:val="4D9D57D6"/>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66A055DF"/>
    <w:multiLevelType w:val="multilevel"/>
    <w:tmpl w:val="66A055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Wingdings" w:hAnsi="Wingdings"/>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B072B8B"/>
    <w:multiLevelType w:val="multilevel"/>
    <w:tmpl w:val="6B072B8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7"/>
  </w:num>
  <w:num w:numId="3">
    <w:abstractNumId w:val="5"/>
  </w:num>
  <w:num w:numId="4">
    <w:abstractNumId w:val="1"/>
  </w:num>
  <w:num w:numId="5">
    <w:abstractNumId w:val="4"/>
  </w:num>
  <w:num w:numId="6">
    <w:abstractNumId w:val="6"/>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42A2"/>
    <w:rsid w:val="000045D4"/>
    <w:rsid w:val="000055E4"/>
    <w:rsid w:val="00040667"/>
    <w:rsid w:val="0004107A"/>
    <w:rsid w:val="00041FB1"/>
    <w:rsid w:val="00071FF8"/>
    <w:rsid w:val="0009091A"/>
    <w:rsid w:val="000A6981"/>
    <w:rsid w:val="000C7F68"/>
    <w:rsid w:val="000E0685"/>
    <w:rsid w:val="000E300C"/>
    <w:rsid w:val="000F3F46"/>
    <w:rsid w:val="000F763C"/>
    <w:rsid w:val="0010463D"/>
    <w:rsid w:val="00104795"/>
    <w:rsid w:val="00106348"/>
    <w:rsid w:val="0011061E"/>
    <w:rsid w:val="001151AF"/>
    <w:rsid w:val="001261C5"/>
    <w:rsid w:val="00131A68"/>
    <w:rsid w:val="00141DFC"/>
    <w:rsid w:val="0014269C"/>
    <w:rsid w:val="0015659F"/>
    <w:rsid w:val="00161DFB"/>
    <w:rsid w:val="00171088"/>
    <w:rsid w:val="00176EDF"/>
    <w:rsid w:val="00184328"/>
    <w:rsid w:val="001B0006"/>
    <w:rsid w:val="001C0C56"/>
    <w:rsid w:val="001C400D"/>
    <w:rsid w:val="001C67ED"/>
    <w:rsid w:val="001D45F0"/>
    <w:rsid w:val="001F6EEC"/>
    <w:rsid w:val="001F7D1D"/>
    <w:rsid w:val="0020505A"/>
    <w:rsid w:val="002311F7"/>
    <w:rsid w:val="0023287C"/>
    <w:rsid w:val="002611FA"/>
    <w:rsid w:val="00271907"/>
    <w:rsid w:val="00275ED8"/>
    <w:rsid w:val="00284AFC"/>
    <w:rsid w:val="00286251"/>
    <w:rsid w:val="002942AC"/>
    <w:rsid w:val="002A0B65"/>
    <w:rsid w:val="002D30BA"/>
    <w:rsid w:val="002F21E3"/>
    <w:rsid w:val="003210DC"/>
    <w:rsid w:val="003473D8"/>
    <w:rsid w:val="00354F99"/>
    <w:rsid w:val="00355B29"/>
    <w:rsid w:val="00371144"/>
    <w:rsid w:val="003731AB"/>
    <w:rsid w:val="00377BA5"/>
    <w:rsid w:val="00377CA5"/>
    <w:rsid w:val="00386E8B"/>
    <w:rsid w:val="00390C51"/>
    <w:rsid w:val="003A2A0F"/>
    <w:rsid w:val="003A2EA2"/>
    <w:rsid w:val="003A72E6"/>
    <w:rsid w:val="003D7058"/>
    <w:rsid w:val="003E5B75"/>
    <w:rsid w:val="004056E8"/>
    <w:rsid w:val="004303C6"/>
    <w:rsid w:val="00432FCE"/>
    <w:rsid w:val="00435A20"/>
    <w:rsid w:val="004720E6"/>
    <w:rsid w:val="0047315F"/>
    <w:rsid w:val="004E779F"/>
    <w:rsid w:val="00517AF8"/>
    <w:rsid w:val="00540721"/>
    <w:rsid w:val="00544E6A"/>
    <w:rsid w:val="0055498D"/>
    <w:rsid w:val="00561E5E"/>
    <w:rsid w:val="005648D6"/>
    <w:rsid w:val="005935D2"/>
    <w:rsid w:val="00593855"/>
    <w:rsid w:val="005A52F2"/>
    <w:rsid w:val="005D00CE"/>
    <w:rsid w:val="005D6729"/>
    <w:rsid w:val="005E0C8F"/>
    <w:rsid w:val="005F5C2B"/>
    <w:rsid w:val="00607081"/>
    <w:rsid w:val="00627A07"/>
    <w:rsid w:val="00641EB8"/>
    <w:rsid w:val="00656343"/>
    <w:rsid w:val="006662F0"/>
    <w:rsid w:val="006A4DAF"/>
    <w:rsid w:val="006B08BC"/>
    <w:rsid w:val="006E021D"/>
    <w:rsid w:val="006E2D58"/>
    <w:rsid w:val="006E5C8A"/>
    <w:rsid w:val="006F686C"/>
    <w:rsid w:val="0070316A"/>
    <w:rsid w:val="00740E2C"/>
    <w:rsid w:val="00751223"/>
    <w:rsid w:val="00765775"/>
    <w:rsid w:val="00781381"/>
    <w:rsid w:val="00794172"/>
    <w:rsid w:val="007A3A9B"/>
    <w:rsid w:val="007B30DC"/>
    <w:rsid w:val="007C3542"/>
    <w:rsid w:val="007E1898"/>
    <w:rsid w:val="007F0920"/>
    <w:rsid w:val="00805024"/>
    <w:rsid w:val="00811883"/>
    <w:rsid w:val="00823A3D"/>
    <w:rsid w:val="00826F8C"/>
    <w:rsid w:val="0083696D"/>
    <w:rsid w:val="008517BD"/>
    <w:rsid w:val="00860F6B"/>
    <w:rsid w:val="00864084"/>
    <w:rsid w:val="00876EA4"/>
    <w:rsid w:val="0088478E"/>
    <w:rsid w:val="008D240F"/>
    <w:rsid w:val="008E34DB"/>
    <w:rsid w:val="009331D1"/>
    <w:rsid w:val="00934805"/>
    <w:rsid w:val="00956342"/>
    <w:rsid w:val="00982906"/>
    <w:rsid w:val="00985282"/>
    <w:rsid w:val="009A6CB3"/>
    <w:rsid w:val="009D27B5"/>
    <w:rsid w:val="009D413C"/>
    <w:rsid w:val="009E1461"/>
    <w:rsid w:val="009F38D8"/>
    <w:rsid w:val="009F4FC4"/>
    <w:rsid w:val="00A0517D"/>
    <w:rsid w:val="00A40F5C"/>
    <w:rsid w:val="00A4607B"/>
    <w:rsid w:val="00A729A5"/>
    <w:rsid w:val="00A87FEA"/>
    <w:rsid w:val="00AB6822"/>
    <w:rsid w:val="00AC1D62"/>
    <w:rsid w:val="00AC390A"/>
    <w:rsid w:val="00AD2126"/>
    <w:rsid w:val="00AD67DE"/>
    <w:rsid w:val="00AF5C84"/>
    <w:rsid w:val="00AF7BFE"/>
    <w:rsid w:val="00B01E04"/>
    <w:rsid w:val="00B17192"/>
    <w:rsid w:val="00B22601"/>
    <w:rsid w:val="00B22D56"/>
    <w:rsid w:val="00B33C2F"/>
    <w:rsid w:val="00BB5FEA"/>
    <w:rsid w:val="00BC2D9A"/>
    <w:rsid w:val="00BD68BE"/>
    <w:rsid w:val="00BF454F"/>
    <w:rsid w:val="00C17D42"/>
    <w:rsid w:val="00C65194"/>
    <w:rsid w:val="00C666D3"/>
    <w:rsid w:val="00C67823"/>
    <w:rsid w:val="00C804D7"/>
    <w:rsid w:val="00CC4161"/>
    <w:rsid w:val="00CC6D21"/>
    <w:rsid w:val="00CD0CA1"/>
    <w:rsid w:val="00CE3CEA"/>
    <w:rsid w:val="00CE44DA"/>
    <w:rsid w:val="00D024FB"/>
    <w:rsid w:val="00D2164C"/>
    <w:rsid w:val="00D22345"/>
    <w:rsid w:val="00D27FB1"/>
    <w:rsid w:val="00D41FDD"/>
    <w:rsid w:val="00D711D4"/>
    <w:rsid w:val="00D72ECC"/>
    <w:rsid w:val="00D74C3A"/>
    <w:rsid w:val="00D75A85"/>
    <w:rsid w:val="00D94276"/>
    <w:rsid w:val="00D977BC"/>
    <w:rsid w:val="00DA0602"/>
    <w:rsid w:val="00DA4F88"/>
    <w:rsid w:val="00DC0673"/>
    <w:rsid w:val="00DF03EF"/>
    <w:rsid w:val="00DF63D4"/>
    <w:rsid w:val="00E03A34"/>
    <w:rsid w:val="00E144CC"/>
    <w:rsid w:val="00E2764A"/>
    <w:rsid w:val="00E33541"/>
    <w:rsid w:val="00E54CFD"/>
    <w:rsid w:val="00E75FBB"/>
    <w:rsid w:val="00E86841"/>
    <w:rsid w:val="00E960C7"/>
    <w:rsid w:val="00EC63DD"/>
    <w:rsid w:val="00ED4AB7"/>
    <w:rsid w:val="00ED4D41"/>
    <w:rsid w:val="00EF326D"/>
    <w:rsid w:val="00F042A2"/>
    <w:rsid w:val="00F135DF"/>
    <w:rsid w:val="00F23CCE"/>
    <w:rsid w:val="00F34807"/>
    <w:rsid w:val="00F47C9E"/>
    <w:rsid w:val="00F52E51"/>
    <w:rsid w:val="00F818B9"/>
    <w:rsid w:val="00F943CD"/>
    <w:rsid w:val="00FA68B4"/>
    <w:rsid w:val="00FC53FE"/>
    <w:rsid w:val="00FD1878"/>
    <w:rsid w:val="043E57C2"/>
    <w:rsid w:val="08BE55F8"/>
    <w:rsid w:val="0A864054"/>
    <w:rsid w:val="120D2A76"/>
    <w:rsid w:val="16ED6718"/>
    <w:rsid w:val="18094E13"/>
    <w:rsid w:val="18912A5B"/>
    <w:rsid w:val="1D045AC2"/>
    <w:rsid w:val="1E17043B"/>
    <w:rsid w:val="220533F3"/>
    <w:rsid w:val="226637AB"/>
    <w:rsid w:val="25524700"/>
    <w:rsid w:val="26130FD7"/>
    <w:rsid w:val="29E908E1"/>
    <w:rsid w:val="2DC044DF"/>
    <w:rsid w:val="2FF85476"/>
    <w:rsid w:val="323304EA"/>
    <w:rsid w:val="339D4A97"/>
    <w:rsid w:val="36DB148C"/>
    <w:rsid w:val="41A326BF"/>
    <w:rsid w:val="43352264"/>
    <w:rsid w:val="448536D8"/>
    <w:rsid w:val="508E3FB7"/>
    <w:rsid w:val="5E571978"/>
    <w:rsid w:val="62E01320"/>
    <w:rsid w:val="63DA25E0"/>
    <w:rsid w:val="69687548"/>
    <w:rsid w:val="6B5E5C35"/>
    <w:rsid w:val="6BD620A1"/>
    <w:rsid w:val="6CF65E99"/>
    <w:rsid w:val="6DA35C02"/>
    <w:rsid w:val="713F2BFC"/>
    <w:rsid w:val="721E125E"/>
    <w:rsid w:val="72FA4732"/>
    <w:rsid w:val="761756AB"/>
    <w:rsid w:val="7AB742DC"/>
    <w:rsid w:val="7DBF68F2"/>
    <w:rsid w:val="7F7E58B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uppressAutoHyphens/>
      <w:spacing w:after="0" w:line="480" w:lineRule="auto"/>
      <w:jc w:val="both"/>
    </w:pPr>
    <w:rPr>
      <w:rFonts w:ascii="Times New Roman" w:hAnsi="Times New Roman" w:eastAsia="Times New Roman" w:cs="Times New Roman"/>
      <w:sz w:val="24"/>
      <w:szCs w:val="24"/>
      <w:lang w:val="pt-BR" w:eastAsia="pt-BR" w:bidi="ar-SA"/>
    </w:rPr>
  </w:style>
  <w:style w:type="paragraph" w:styleId="2">
    <w:name w:val="heading 1"/>
    <w:basedOn w:val="1"/>
    <w:next w:val="1"/>
    <w:link w:val="14"/>
    <w:qFormat/>
    <w:uiPriority w:val="9"/>
    <w:pPr>
      <w:keepNext/>
      <w:tabs>
        <w:tab w:val="left" w:pos="90"/>
      </w:tabs>
      <w:spacing w:before="240" w:after="60"/>
      <w:jc w:val="left"/>
      <w:outlineLvl w:val="0"/>
    </w:pPr>
    <w:rPr>
      <w:b/>
    </w:rPr>
  </w:style>
  <w:style w:type="paragraph" w:styleId="3">
    <w:name w:val="heading 2"/>
    <w:basedOn w:val="1"/>
    <w:next w:val="1"/>
    <w:link w:val="19"/>
    <w:semiHidden/>
    <w:unhideWhenUsed/>
    <w:qFormat/>
    <w:uiPriority w:val="9"/>
    <w:pPr>
      <w:keepNext/>
      <w:keepLines/>
      <w:spacing w:before="4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paragraph" w:styleId="5">
    <w:name w:val="heading 4"/>
    <w:basedOn w:val="1"/>
    <w:next w:val="1"/>
    <w:link w:val="20"/>
    <w:unhideWhenUsed/>
    <w:qFormat/>
    <w:uiPriority w:val="9"/>
    <w:pPr>
      <w:keepNext/>
      <w:keepLines/>
      <w:spacing w:before="40"/>
      <w:outlineLvl w:val="3"/>
    </w:pPr>
    <w:rPr>
      <w:rFonts w:asciiTheme="majorHAnsi" w:hAnsiTheme="majorHAnsi" w:eastAsiaTheme="majorEastAsia" w:cstheme="majorBidi"/>
      <w:i/>
      <w:iCs/>
      <w:color w:val="2F5597"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Strong"/>
    <w:qFormat/>
    <w:uiPriority w:val="22"/>
    <w:rPr>
      <w:b/>
      <w:bCs/>
    </w:rPr>
  </w:style>
  <w:style w:type="character" w:styleId="9">
    <w:name w:val="Emphasis"/>
    <w:basedOn w:val="6"/>
    <w:qFormat/>
    <w:uiPriority w:val="20"/>
    <w:rPr>
      <w:i/>
      <w:iCs/>
    </w:rPr>
  </w:style>
  <w:style w:type="paragraph" w:styleId="10">
    <w:name w:val="Body Text"/>
    <w:basedOn w:val="1"/>
    <w:link w:val="15"/>
    <w:qFormat/>
    <w:uiPriority w:val="0"/>
    <w:pPr>
      <w:spacing w:after="140" w:line="276" w:lineRule="auto"/>
    </w:pPr>
  </w:style>
  <w:style w:type="paragraph" w:styleId="11">
    <w:name w:val="Normal (Web)"/>
    <w:basedOn w:val="1"/>
    <w:unhideWhenUsed/>
    <w:qFormat/>
    <w:uiPriority w:val="99"/>
    <w:pPr>
      <w:suppressAutoHyphens w:val="0"/>
      <w:spacing w:before="100" w:beforeAutospacing="1" w:after="100" w:afterAutospacing="1" w:line="240" w:lineRule="auto"/>
      <w:jc w:val="left"/>
    </w:pPr>
    <w:rPr>
      <w:rFonts w:ascii="Times New Roman" w:hAnsi="Times New Roman" w:eastAsia="Times New Roman" w:cs="Times New Roman"/>
    </w:rPr>
  </w:style>
  <w:style w:type="paragraph" w:styleId="12">
    <w:name w:val="header"/>
    <w:basedOn w:val="1"/>
    <w:link w:val="16"/>
    <w:qFormat/>
    <w:uiPriority w:val="0"/>
  </w:style>
  <w:style w:type="paragraph" w:styleId="13">
    <w:name w:val="footer"/>
    <w:basedOn w:val="1"/>
    <w:link w:val="17"/>
    <w:qFormat/>
    <w:uiPriority w:val="0"/>
  </w:style>
  <w:style w:type="character" w:customStyle="1" w:styleId="14">
    <w:name w:val="Título 1 Char"/>
    <w:basedOn w:val="6"/>
    <w:link w:val="2"/>
    <w:qFormat/>
    <w:uiPriority w:val="9"/>
    <w:rPr>
      <w:rFonts w:ascii="Times New Roman" w:hAnsi="Times New Roman" w:eastAsia="Times New Roman" w:cs="Times New Roman"/>
      <w:b/>
      <w:sz w:val="24"/>
      <w:szCs w:val="24"/>
      <w:lang w:eastAsia="pt-BR"/>
    </w:rPr>
  </w:style>
  <w:style w:type="character" w:customStyle="1" w:styleId="15">
    <w:name w:val="Corpo de texto Char"/>
    <w:basedOn w:val="6"/>
    <w:link w:val="10"/>
    <w:qFormat/>
    <w:uiPriority w:val="0"/>
    <w:rPr>
      <w:rFonts w:ascii="Times New Roman" w:hAnsi="Times New Roman" w:eastAsia="Times New Roman" w:cs="Times New Roman"/>
      <w:sz w:val="24"/>
      <w:szCs w:val="24"/>
      <w:lang w:eastAsia="pt-BR"/>
    </w:rPr>
  </w:style>
  <w:style w:type="character" w:customStyle="1" w:styleId="16">
    <w:name w:val="Cabeçalho Char"/>
    <w:basedOn w:val="6"/>
    <w:link w:val="12"/>
    <w:qFormat/>
    <w:uiPriority w:val="0"/>
    <w:rPr>
      <w:rFonts w:ascii="Times New Roman" w:hAnsi="Times New Roman" w:eastAsia="Times New Roman" w:cs="Times New Roman"/>
      <w:sz w:val="24"/>
      <w:szCs w:val="24"/>
      <w:lang w:eastAsia="pt-BR"/>
    </w:rPr>
  </w:style>
  <w:style w:type="character" w:customStyle="1" w:styleId="17">
    <w:name w:val="Rodapé Char"/>
    <w:basedOn w:val="6"/>
    <w:link w:val="13"/>
    <w:qFormat/>
    <w:uiPriority w:val="0"/>
    <w:rPr>
      <w:rFonts w:ascii="Times New Roman" w:hAnsi="Times New Roman" w:eastAsia="Times New Roman" w:cs="Times New Roman"/>
      <w:sz w:val="24"/>
      <w:szCs w:val="24"/>
      <w:lang w:eastAsia="pt-BR"/>
    </w:rPr>
  </w:style>
  <w:style w:type="paragraph" w:customStyle="1" w:styleId="18">
    <w:name w:val="Bibliography"/>
    <w:basedOn w:val="1"/>
    <w:next w:val="1"/>
    <w:unhideWhenUsed/>
    <w:qFormat/>
    <w:uiPriority w:val="37"/>
    <w:pPr>
      <w:tabs>
        <w:tab w:val="left" w:pos="384"/>
      </w:tabs>
      <w:spacing w:line="240" w:lineRule="auto"/>
      <w:ind w:left="384" w:hanging="384"/>
    </w:pPr>
  </w:style>
  <w:style w:type="character" w:customStyle="1" w:styleId="19">
    <w:name w:val="Título 2 Char"/>
    <w:basedOn w:val="6"/>
    <w:link w:val="3"/>
    <w:semiHidden/>
    <w:qFormat/>
    <w:uiPriority w:val="9"/>
    <w:rPr>
      <w:rFonts w:asciiTheme="majorHAnsi" w:hAnsiTheme="majorHAnsi" w:eastAsiaTheme="majorEastAsia" w:cstheme="majorBidi"/>
      <w:color w:val="2F5597" w:themeColor="accent1" w:themeShade="BF"/>
      <w:sz w:val="26"/>
      <w:szCs w:val="26"/>
      <w:lang w:eastAsia="pt-BR"/>
    </w:rPr>
  </w:style>
  <w:style w:type="character" w:customStyle="1" w:styleId="20">
    <w:name w:val="Título 4 Char"/>
    <w:basedOn w:val="6"/>
    <w:link w:val="5"/>
    <w:qFormat/>
    <w:uiPriority w:val="9"/>
    <w:rPr>
      <w:rFonts w:asciiTheme="majorHAnsi" w:hAnsiTheme="majorHAnsi" w:eastAsiaTheme="majorEastAsia" w:cstheme="majorBidi"/>
      <w:i/>
      <w:iCs/>
      <w:color w:val="2F5597" w:themeColor="accent1" w:themeShade="BF"/>
      <w:sz w:val="24"/>
      <w:szCs w:val="24"/>
      <w:lang w:eastAsia="pt-BR"/>
    </w:rPr>
  </w:style>
  <w:style w:type="character" w:customStyle="1" w:styleId="21">
    <w:name w:val="Título 3 Char"/>
    <w:basedOn w:val="6"/>
    <w:link w:val="4"/>
    <w:semiHidden/>
    <w:qFormat/>
    <w:uiPriority w:val="9"/>
    <w:rPr>
      <w:rFonts w:asciiTheme="majorHAnsi" w:hAnsiTheme="majorHAnsi" w:eastAsiaTheme="majorEastAsia" w:cstheme="majorBidi"/>
      <w:color w:val="203864" w:themeColor="accent1" w:themeShade="80"/>
      <w:sz w:val="24"/>
      <w:szCs w:val="24"/>
      <w:lang w:eastAsia="pt-BR"/>
    </w:rPr>
  </w:style>
  <w:style w:type="character" w:customStyle="1" w:styleId="22">
    <w:name w:val="citation-238"/>
    <w:basedOn w:val="6"/>
    <w:qFormat/>
    <w:uiPriority w:val="0"/>
  </w:style>
  <w:style w:type="character" w:customStyle="1" w:styleId="23">
    <w:name w:val="citation-237"/>
    <w:basedOn w:val="6"/>
    <w:qFormat/>
    <w:uiPriority w:val="0"/>
  </w:style>
  <w:style w:type="character" w:customStyle="1" w:styleId="24">
    <w:name w:val="citation-236"/>
    <w:basedOn w:val="6"/>
    <w:qFormat/>
    <w:uiPriority w:val="0"/>
  </w:style>
  <w:style w:type="character" w:customStyle="1" w:styleId="25">
    <w:name w:val="citation-235"/>
    <w:basedOn w:val="6"/>
    <w:qFormat/>
    <w:uiPriority w:val="0"/>
  </w:style>
  <w:style w:type="character" w:customStyle="1" w:styleId="26">
    <w:name w:val="citation-234"/>
    <w:basedOn w:val="6"/>
    <w:qFormat/>
    <w:uiPriority w:val="0"/>
  </w:style>
  <w:style w:type="character" w:customStyle="1" w:styleId="27">
    <w:name w:val="citation-233"/>
    <w:basedOn w:val="6"/>
    <w:qFormat/>
    <w:uiPriority w:val="0"/>
  </w:style>
  <w:style w:type="character" w:customStyle="1" w:styleId="28">
    <w:name w:val="citation-232"/>
    <w:basedOn w:val="6"/>
    <w:qFormat/>
    <w:uiPriority w:val="0"/>
  </w:style>
  <w:style w:type="character" w:customStyle="1" w:styleId="29">
    <w:name w:val="citation-231"/>
    <w:basedOn w:val="6"/>
    <w:qFormat/>
    <w:uiPriority w:val="0"/>
  </w:style>
  <w:style w:type="character" w:customStyle="1" w:styleId="30">
    <w:name w:val="citation-230"/>
    <w:basedOn w:val="6"/>
    <w:qFormat/>
    <w:uiPriority w:val="0"/>
  </w:style>
  <w:style w:type="character" w:customStyle="1" w:styleId="31">
    <w:name w:val="citation-229"/>
    <w:basedOn w:val="6"/>
    <w:qFormat/>
    <w:uiPriority w:val="0"/>
  </w:style>
  <w:style w:type="character" w:customStyle="1" w:styleId="32">
    <w:name w:val="citation-228"/>
    <w:basedOn w:val="6"/>
    <w:qFormat/>
    <w:uiPriority w:val="0"/>
  </w:style>
  <w:style w:type="character" w:customStyle="1" w:styleId="33">
    <w:name w:val="citation-227"/>
    <w:basedOn w:val="6"/>
    <w:qFormat/>
    <w:uiPriority w:val="0"/>
  </w:style>
  <w:style w:type="character" w:customStyle="1" w:styleId="34">
    <w:name w:val="citation-226"/>
    <w:basedOn w:val="6"/>
    <w:qFormat/>
    <w:uiPriority w:val="0"/>
  </w:style>
  <w:style w:type="character" w:customStyle="1" w:styleId="35">
    <w:name w:val="citation-225"/>
    <w:basedOn w:val="6"/>
    <w:qFormat/>
    <w:uiPriority w:val="0"/>
  </w:style>
  <w:style w:type="character" w:customStyle="1" w:styleId="36">
    <w:name w:val="citation-224"/>
    <w:basedOn w:val="6"/>
    <w:qFormat/>
    <w:uiPriority w:val="0"/>
  </w:style>
  <w:style w:type="character" w:customStyle="1" w:styleId="37">
    <w:name w:val="citation-223"/>
    <w:basedOn w:val="6"/>
    <w:qFormat/>
    <w:uiPriority w:val="0"/>
  </w:style>
  <w:style w:type="character" w:customStyle="1" w:styleId="38">
    <w:name w:val="citation-222"/>
    <w:basedOn w:val="6"/>
    <w:qFormat/>
    <w:uiPriority w:val="0"/>
  </w:style>
  <w:style w:type="character" w:customStyle="1" w:styleId="39">
    <w:name w:val="citation-221"/>
    <w:basedOn w:val="6"/>
    <w:qFormat/>
    <w:uiPriority w:val="0"/>
  </w:style>
  <w:style w:type="character" w:customStyle="1" w:styleId="40">
    <w:name w:val="citation-220"/>
    <w:basedOn w:val="6"/>
    <w:qFormat/>
    <w:uiPriority w:val="0"/>
  </w:style>
  <w:style w:type="character" w:customStyle="1" w:styleId="41">
    <w:name w:val="citation-219"/>
    <w:basedOn w:val="6"/>
    <w:qFormat/>
    <w:uiPriority w:val="0"/>
  </w:style>
  <w:style w:type="character" w:customStyle="1" w:styleId="42">
    <w:name w:val="citation-218"/>
    <w:basedOn w:val="6"/>
    <w:qFormat/>
    <w:uiPriority w:val="0"/>
  </w:style>
  <w:style w:type="character" w:customStyle="1" w:styleId="43">
    <w:name w:val="citation-217"/>
    <w:basedOn w:val="6"/>
    <w:qFormat/>
    <w:uiPriority w:val="0"/>
  </w:style>
  <w:style w:type="character" w:customStyle="1" w:styleId="44">
    <w:name w:val="citation-216"/>
    <w:basedOn w:val="6"/>
    <w:qFormat/>
    <w:uiPriority w:val="0"/>
  </w:style>
  <w:style w:type="character" w:customStyle="1" w:styleId="45">
    <w:name w:val="citation-215"/>
    <w:basedOn w:val="6"/>
    <w:qFormat/>
    <w:uiPriority w:val="0"/>
  </w:style>
  <w:style w:type="character" w:customStyle="1" w:styleId="46">
    <w:name w:val="citation-214"/>
    <w:basedOn w:val="6"/>
    <w:qFormat/>
    <w:uiPriority w:val="0"/>
  </w:style>
  <w:style w:type="character" w:customStyle="1" w:styleId="47">
    <w:name w:val="citation-213"/>
    <w:basedOn w:val="6"/>
    <w:qFormat/>
    <w:uiPriority w:val="0"/>
  </w:style>
  <w:style w:type="paragraph" w:styleId="48">
    <w:name w:val="List Paragraph"/>
    <w:basedOn w:val="1"/>
    <w:qFormat/>
    <w:uiPriority w:val="34"/>
    <w:pPr>
      <w:ind w:left="720"/>
      <w:contextualSpacing/>
    </w:pPr>
  </w:style>
  <w:style w:type="character" w:customStyle="1" w:styleId="49">
    <w:name w:val="math-inline"/>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38</Pages>
  <Words>13935</Words>
  <Characters>80799</Characters>
  <Lines>1928</Lines>
  <Paragraphs>547</Paragraphs>
  <TotalTime>58</TotalTime>
  <ScaleCrop>false</ScaleCrop>
  <LinksUpToDate>false</LinksUpToDate>
  <CharactersWithSpaces>94380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2026-03-10T23:05:00Z</dcterms:created>
  <dc:creator>User</dc:creator>
  <cp:lastModifiedBy>Guilherme Lemos</cp:lastModifiedBy>
  <cp:lastPrinted>2025-09-30T19:41:00Z</cp:lastPrinted>
  <dcterms:modified xsi:type="dcterms:W3CDTF">2026-09-18T13:15:37Z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eyJoZGlkIjoiMThhMzU1YmM3NTljMjE0NWZmODIzMTViY2M4NTA0NWIiLCJ1c2VySWQiOiIxMjM2OTU0MjI3MTM2In0=</vt:lpwstr>
  </property>
  <property fmtid="{D5CDD505-2E9C-101B-9397-08002B2CF9AE}" pid="3" name="KSOProductBuildVer">
    <vt:lpwstr>1046-12.1.0.28485</vt:lpwstr>
  </property>
  <property fmtid="{D5CDD505-2E9C-101B-9397-08002B2CF9AE}" pid="4" name="ICV">
    <vt:lpwstr>202F992EAC864BD29387A264FBF8FF5F_13</vt:lpwstr>
  </property>
  <property fmtid="{D5CDD505-2E9C-101B-9397-08002B2CF9AE}" pid="5" name="_ZOTERO_BIBSTYLE_1">
    <vt:lpwstr>{"firstLineIndent":-504,"indent":504,"lineSpacing":240,"entrySpacing":0,"tabStops":[504],"tabStopsCount":1}</vt:lpwstr>
  </property>
  <property fmtid="{D5CDD505-2E9C-101B-9397-08002B2CF9AE}" pid="6" name="ZOTERO_PREF_1">
    <vt:lpwstr>&lt;data data-version="3" zotero-version="10.0.1"&gt;&lt;session id="f2I9vF20"/&gt;&lt;style id="http://www.zotero.org/styles/ieee" locale="pt-BR" hasBibliography="1" bibliographyStyleHasBeenSet="1"/&gt;&lt;prefs&gt;&lt;pref name="fieldType" value="Field"/&gt;&lt;pref name="automaticJour</vt:lpwstr>
  </property>
  <property fmtid="{D5CDD505-2E9C-101B-9397-08002B2CF9AE}" pid="7" name="ZOTERO_PREF_2">
    <vt:lpwstr>nalAbbreviations" value="true"/&gt;&lt;/prefs&gt;&lt;/data&gt;</vt:lpwstr>
  </property>
</Properties>
</file>