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BAA255">
      <w:pPr>
        <w:spacing w:line="360" w:lineRule="auto"/>
        <w:jc w:val="center"/>
        <w:rPr>
          <w:rFonts w:hint="default" w:ascii="Times New Roman" w:hAnsi="Times New Roman" w:eastAsia="Times New Roman" w:cs="Times New Roman"/>
        </w:rPr>
      </w:pPr>
      <w:r>
        <w:rPr>
          <w:rFonts w:hint="default" w:ascii="Times New Roman" w:hAnsi="Times New Roman" w:cs="Times New Roman"/>
        </w:rPr>
        <mc:AlternateContent>
          <mc:Choice Requires="wps">
            <w:drawing>
              <wp:anchor distT="0" distB="0" distL="0" distR="0" simplePos="0" relativeHeight="251659264" behindDoc="0" locked="0" layoutInCell="0" allowOverlap="1">
                <wp:simplePos x="0" y="0"/>
                <wp:positionH relativeFrom="page">
                  <wp:posOffset>-523875</wp:posOffset>
                </wp:positionH>
                <wp:positionV relativeFrom="page">
                  <wp:align>top</wp:align>
                </wp:positionV>
                <wp:extent cx="523875" cy="781050"/>
                <wp:effectExtent l="0" t="0" r="0" b="0"/>
                <wp:wrapNone/>
                <wp:docPr id="2" name="bgLayers_comp-joj48vip"/>
                <wp:cNvGraphicFramePr/>
                <a:graphic xmlns:a="http://schemas.openxmlformats.org/drawingml/2006/main">
                  <a:graphicData uri="http://schemas.microsoft.com/office/word/2010/wordprocessingShape">
                    <wps:wsp>
                      <wps:cNvSpPr txBox="1"/>
                      <wps:spPr>
                        <a:xfrm flipH="1">
                          <a:off x="0" y="0"/>
                          <a:ext cx="523875" cy="781050"/>
                        </a:xfrm>
                        <a:prstGeom prst="rect">
                          <a:avLst/>
                        </a:prstGeom>
                        <a:solidFill>
                          <a:srgbClr val="FFFFFF"/>
                        </a:solidFill>
                      </wps:spPr>
                      <wps:txbx>
                        <w:txbxContent>
                          <w:p w14:paraId="78E06E17"/>
                        </w:txbxContent>
                      </wps:txbx>
                      <wps:bodyPr wrap="square" lIns="0" tIns="0" rIns="0" bIns="0" anchor="t">
                        <a:noAutofit/>
                      </wps:bodyPr>
                    </wps:wsp>
                  </a:graphicData>
                </a:graphic>
              </wp:anchor>
            </w:drawing>
          </mc:Choice>
          <mc:Fallback>
            <w:pict>
              <v:shape id="bgLayers_comp-joj48vip" o:spid="_x0000_s1026" o:spt="202" type="#_x0000_t202" style="position:absolute;left:0pt;flip:x;margin-left:-41.25pt;height:61.5pt;width:41.25pt;mso-position-horizontal-relative:page;mso-position-vertical:top;mso-position-vertical-relative:page;z-index:251659264;mso-width-relative:page;mso-height-relative:page;" fillcolor="#FFFFFF" filled="t" stroked="f" coordsize="21600,21600" o:allowincell="f" o:gfxdata="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t/3Ig9UAAAAFAQAADwAA&#10;AAAAAAABACAAAAAiAAAAZHJzL2Rvd25yZXYueG1sUEsBAhQAFAAAAAgAh07iQP7Rct7gAQAAvgMA&#10;AA4AAAAAAAAAAQAgAAAAJAEAAGRycy9lMm9Eb2MueG1sUEsFBgAAAAAGAAYAWQEAAHYFAAAAAA==&#10;">
                <v:fill on="t" focussize="0,0"/>
                <v:stroke on="f"/>
                <v:imagedata o:title=""/>
                <o:lock v:ext="edit" aspectratio="f"/>
                <v:textbox inset="0mm,0mm,0mm,0mm">
                  <w:txbxContent>
                    <w:p w14:paraId="78E06E17"/>
                  </w:txbxContent>
                </v:textbox>
              </v:shape>
            </w:pict>
          </mc:Fallback>
        </mc:AlternateContent>
      </w:r>
      <w:r>
        <w:rPr>
          <w:rFonts w:hint="default" w:ascii="Times New Roman" w:hAnsi="Times New Roman" w:eastAsia="Times New Roman" w:cs="Times New Roman"/>
        </w:rPr>
        <w:t>UNIVERSIDADE DE SÃO PAULO</w:t>
      </w:r>
      <w:bookmarkStart w:id="0" w:name="_heading=h.f8ewjw6sfegx"/>
      <w:bookmarkEnd w:id="0"/>
    </w:p>
    <w:p w14:paraId="31F266AE">
      <w:pPr>
        <w:spacing w:line="360" w:lineRule="auto"/>
        <w:jc w:val="center"/>
        <w:rPr>
          <w:rFonts w:hint="default" w:ascii="Times New Roman" w:hAnsi="Times New Roman" w:eastAsia="Times New Roman" w:cs="Times New Roman"/>
        </w:rPr>
      </w:pPr>
      <w:r>
        <w:rPr>
          <w:rFonts w:hint="default" w:ascii="Times New Roman" w:hAnsi="Times New Roman" w:eastAsia="Times New Roman" w:cs="Times New Roman"/>
        </w:rPr>
        <w:t>ESCOLA DE EDUCAÇÃO FÍSICA E ESPORTE DE RIBEIRÃO PRETO</w:t>
      </w:r>
    </w:p>
    <w:p w14:paraId="3B59E5D9">
      <w:pPr>
        <w:spacing w:line="360" w:lineRule="auto"/>
        <w:rPr>
          <w:rFonts w:hint="default" w:ascii="Times New Roman" w:hAnsi="Times New Roman" w:eastAsia="Times New Roman" w:cs="Times New Roman"/>
        </w:rPr>
      </w:pPr>
    </w:p>
    <w:p w14:paraId="02D377FF">
      <w:pPr>
        <w:spacing w:line="360" w:lineRule="auto"/>
        <w:rPr>
          <w:rFonts w:hint="default" w:ascii="Times New Roman" w:hAnsi="Times New Roman" w:eastAsia="Times New Roman" w:cs="Times New Roman"/>
        </w:rPr>
      </w:pPr>
    </w:p>
    <w:p w14:paraId="05AF3407">
      <w:pPr>
        <w:spacing w:line="360" w:lineRule="auto"/>
        <w:rPr>
          <w:rFonts w:hint="default" w:ascii="Times New Roman" w:hAnsi="Times New Roman" w:eastAsia="Times New Roman" w:cs="Times New Roman"/>
        </w:rPr>
      </w:pPr>
    </w:p>
    <w:p w14:paraId="2D6BA17A">
      <w:pPr>
        <w:spacing w:line="360" w:lineRule="auto"/>
        <w:rPr>
          <w:rFonts w:hint="default" w:ascii="Times New Roman" w:hAnsi="Times New Roman" w:eastAsia="Times New Roman" w:cs="Times New Roman"/>
        </w:rPr>
      </w:pPr>
    </w:p>
    <w:p w14:paraId="151E80E2">
      <w:pPr>
        <w:spacing w:line="360" w:lineRule="auto"/>
        <w:jc w:val="center"/>
        <w:rPr>
          <w:rFonts w:hint="default" w:ascii="Times New Roman" w:hAnsi="Times New Roman" w:eastAsia="Times New Roman" w:cs="Times New Roman"/>
        </w:rPr>
      </w:pPr>
      <w:r>
        <w:rPr>
          <w:rFonts w:hint="default" w:ascii="Times New Roman" w:hAnsi="Times New Roman" w:eastAsia="Times New Roman" w:cs="Times New Roman"/>
        </w:rPr>
        <w:t>GUILHERME DE PAULA LEMOS</w:t>
      </w:r>
    </w:p>
    <w:p w14:paraId="4E4311D7">
      <w:pPr>
        <w:spacing w:line="360" w:lineRule="auto"/>
        <w:rPr>
          <w:rFonts w:hint="default" w:ascii="Times New Roman" w:hAnsi="Times New Roman" w:eastAsia="Times New Roman" w:cs="Times New Roman"/>
        </w:rPr>
      </w:pPr>
    </w:p>
    <w:p w14:paraId="7E103BFB">
      <w:pPr>
        <w:spacing w:line="360" w:lineRule="auto"/>
        <w:rPr>
          <w:rFonts w:hint="default" w:ascii="Times New Roman" w:hAnsi="Times New Roman" w:eastAsia="Times New Roman" w:cs="Times New Roman"/>
        </w:rPr>
      </w:pPr>
    </w:p>
    <w:p w14:paraId="4FDA10A8">
      <w:pPr>
        <w:spacing w:line="360" w:lineRule="auto"/>
        <w:rPr>
          <w:rFonts w:hint="default" w:ascii="Times New Roman" w:hAnsi="Times New Roman" w:eastAsia="Times New Roman" w:cs="Times New Roman"/>
        </w:rPr>
      </w:pPr>
    </w:p>
    <w:p w14:paraId="7BBDDC43">
      <w:pPr>
        <w:spacing w:line="360" w:lineRule="auto"/>
        <w:rPr>
          <w:rFonts w:hint="default" w:ascii="Times New Roman" w:hAnsi="Times New Roman" w:eastAsia="Times New Roman" w:cs="Times New Roman"/>
        </w:rPr>
      </w:pPr>
    </w:p>
    <w:p w14:paraId="3DB7F15F">
      <w:pPr>
        <w:spacing w:line="360" w:lineRule="auto"/>
        <w:jc w:val="center"/>
        <w:rPr>
          <w:rFonts w:hint="default" w:ascii="Times New Roman" w:hAnsi="Times New Roman" w:eastAsia="Times New Roman" w:cs="Times New Roman"/>
          <w:i/>
          <w:vertAlign w:val="superscript"/>
        </w:rPr>
      </w:pPr>
      <w:r>
        <w:rPr>
          <w:rFonts w:hint="default" w:ascii="Times New Roman" w:hAnsi="Times New Roman" w:eastAsia="Times New Roman" w:cs="Times New Roman"/>
        </w:rPr>
        <w:t xml:space="preserve">ANÁLISE DE FATORES ASSOCIADOS AO DESEMPENHO NO </w:t>
      </w:r>
      <w:r>
        <w:rPr>
          <w:rFonts w:hint="default" w:ascii="Times New Roman" w:hAnsi="Times New Roman" w:eastAsia="Times New Roman" w:cs="Times New Roman"/>
          <w:i/>
        </w:rPr>
        <w:t xml:space="preserve">HANDSTAND </w:t>
      </w:r>
      <w:r>
        <w:rPr>
          <w:rFonts w:hint="default" w:ascii="Times New Roman" w:hAnsi="Times New Roman" w:eastAsia="Times New Roman" w:cs="Times New Roman"/>
        </w:rPr>
        <w:t xml:space="preserve">E </w:t>
      </w:r>
      <w:r>
        <w:rPr>
          <w:rFonts w:hint="default" w:ascii="Times New Roman" w:hAnsi="Times New Roman" w:eastAsia="Times New Roman" w:cs="Times New Roman"/>
          <w:i/>
        </w:rPr>
        <w:t>HANDSTAND WALK</w:t>
      </w:r>
      <w:r>
        <w:rPr>
          <w:rFonts w:hint="default" w:ascii="Times New Roman" w:hAnsi="Times New Roman" w:eastAsia="Times New Roman" w:cs="Times New Roman"/>
        </w:rPr>
        <w:t xml:space="preserve"> </w:t>
      </w:r>
    </w:p>
    <w:p w14:paraId="54B3AD3E">
      <w:pPr>
        <w:spacing w:line="360" w:lineRule="auto"/>
        <w:jc w:val="center"/>
        <w:rPr>
          <w:rFonts w:hint="default" w:ascii="Times New Roman" w:hAnsi="Times New Roman" w:eastAsia="Times New Roman" w:cs="Times New Roman"/>
        </w:rPr>
      </w:pPr>
    </w:p>
    <w:p w14:paraId="0C09F44D">
      <w:pPr>
        <w:spacing w:line="360" w:lineRule="auto"/>
        <w:ind w:left="4320" w:right="18"/>
        <w:rPr>
          <w:rFonts w:hint="default" w:ascii="Times New Roman" w:hAnsi="Times New Roman" w:eastAsia="Times New Roman" w:cs="Times New Roman"/>
          <w:color w:val="000000"/>
        </w:rPr>
      </w:pPr>
      <w:r>
        <w:rPr>
          <w:rFonts w:hint="default" w:ascii="Times New Roman" w:hAnsi="Times New Roman" w:eastAsia="Times New Roman" w:cs="Times New Roman"/>
          <w:color w:val="000000"/>
        </w:rPr>
        <w:t>Candidato: Guilherme de Paula Lemos</w:t>
      </w:r>
    </w:p>
    <w:p w14:paraId="74EDDA1A">
      <w:pPr>
        <w:spacing w:line="360" w:lineRule="auto"/>
        <w:ind w:left="4320" w:right="18"/>
        <w:rPr>
          <w:rFonts w:hint="default" w:ascii="Times New Roman" w:hAnsi="Times New Roman" w:eastAsia="Times New Roman" w:cs="Times New Roman"/>
          <w:color w:val="000000"/>
        </w:rPr>
      </w:pPr>
      <w:r>
        <w:rPr>
          <w:rFonts w:hint="default" w:ascii="Times New Roman" w:hAnsi="Times New Roman" w:eastAsia="Times New Roman" w:cs="Times New Roman"/>
          <w:color w:val="000000"/>
        </w:rPr>
        <w:t>Orientador: Matheus Machado Gomes</w:t>
      </w:r>
    </w:p>
    <w:p w14:paraId="63D5171F">
      <w:pPr>
        <w:spacing w:line="360" w:lineRule="auto"/>
        <w:ind w:left="4320" w:right="18"/>
        <w:rPr>
          <w:rFonts w:hint="default" w:ascii="Times New Roman" w:hAnsi="Times New Roman" w:eastAsia="Times New Roman" w:cs="Times New Roman"/>
          <w:color w:val="000000"/>
        </w:rPr>
      </w:pPr>
      <w:r>
        <w:rPr>
          <w:rFonts w:hint="default" w:ascii="Times New Roman" w:hAnsi="Times New Roman" w:eastAsia="Times New Roman" w:cs="Times New Roman"/>
          <w:color w:val="000000"/>
        </w:rPr>
        <w:t xml:space="preserve">Linha de Pesquisa: </w:t>
      </w:r>
      <w:r>
        <w:rPr>
          <w:rFonts w:hint="default" w:ascii="Times New Roman" w:hAnsi="Times New Roman" w:eastAsia="Times New Roman" w:cs="Times New Roman"/>
          <w:i/>
          <w:color w:val="000000"/>
        </w:rPr>
        <w:t>Aspectos biodinâmicos da atividade física e do esporte</w:t>
      </w:r>
    </w:p>
    <w:p w14:paraId="00E4EDE3">
      <w:pPr>
        <w:spacing w:line="360" w:lineRule="auto"/>
        <w:rPr>
          <w:rFonts w:hint="default" w:ascii="Times New Roman" w:hAnsi="Times New Roman" w:eastAsia="Times New Roman" w:cs="Times New Roman"/>
        </w:rPr>
      </w:pPr>
    </w:p>
    <w:p w14:paraId="6986C6F9">
      <w:pPr>
        <w:spacing w:line="360" w:lineRule="auto"/>
        <w:rPr>
          <w:rFonts w:hint="default" w:ascii="Times New Roman" w:hAnsi="Times New Roman" w:eastAsia="Times New Roman" w:cs="Times New Roman"/>
        </w:rPr>
      </w:pPr>
    </w:p>
    <w:p w14:paraId="728C306C">
      <w:pPr>
        <w:spacing w:line="360" w:lineRule="auto"/>
        <w:rPr>
          <w:rFonts w:hint="default" w:ascii="Times New Roman" w:hAnsi="Times New Roman" w:eastAsia="Times New Roman" w:cs="Times New Roman"/>
        </w:rPr>
      </w:pPr>
    </w:p>
    <w:p w14:paraId="072A8F1B">
      <w:pPr>
        <w:spacing w:line="360" w:lineRule="auto"/>
        <w:rPr>
          <w:rFonts w:hint="default" w:ascii="Times New Roman" w:hAnsi="Times New Roman" w:eastAsia="Times New Roman" w:cs="Times New Roman"/>
        </w:rPr>
      </w:pPr>
    </w:p>
    <w:p w14:paraId="06C0B9A2">
      <w:pPr>
        <w:spacing w:line="360" w:lineRule="auto"/>
        <w:rPr>
          <w:rFonts w:hint="default" w:ascii="Times New Roman" w:hAnsi="Times New Roman" w:eastAsia="Times New Roman" w:cs="Times New Roman"/>
        </w:rPr>
      </w:pPr>
    </w:p>
    <w:p w14:paraId="2A9E1F85">
      <w:pPr>
        <w:spacing w:line="360" w:lineRule="auto"/>
        <w:rPr>
          <w:rFonts w:hint="default" w:ascii="Times New Roman" w:hAnsi="Times New Roman" w:eastAsia="Times New Roman" w:cs="Times New Roman"/>
        </w:rPr>
      </w:pPr>
    </w:p>
    <w:p w14:paraId="0F2BF67B">
      <w:pPr>
        <w:spacing w:line="360" w:lineRule="auto"/>
        <w:rPr>
          <w:rFonts w:hint="default" w:ascii="Times New Roman" w:hAnsi="Times New Roman" w:eastAsia="Times New Roman" w:cs="Times New Roman"/>
        </w:rPr>
      </w:pPr>
    </w:p>
    <w:p w14:paraId="249B72E6">
      <w:pPr>
        <w:spacing w:line="360" w:lineRule="auto"/>
        <w:rPr>
          <w:rFonts w:hint="default" w:ascii="Times New Roman" w:hAnsi="Times New Roman" w:eastAsia="Times New Roman" w:cs="Times New Roman"/>
        </w:rPr>
      </w:pPr>
    </w:p>
    <w:p w14:paraId="7A93AD74">
      <w:pPr>
        <w:spacing w:line="360" w:lineRule="auto"/>
        <w:rPr>
          <w:rFonts w:hint="default" w:ascii="Times New Roman" w:hAnsi="Times New Roman" w:eastAsia="Times New Roman" w:cs="Times New Roman"/>
        </w:rPr>
      </w:pPr>
    </w:p>
    <w:p w14:paraId="0E723B6C">
      <w:pPr>
        <w:spacing w:line="360" w:lineRule="auto"/>
        <w:rPr>
          <w:rFonts w:hint="default" w:ascii="Times New Roman" w:hAnsi="Times New Roman" w:eastAsia="Times New Roman" w:cs="Times New Roman"/>
        </w:rPr>
      </w:pPr>
    </w:p>
    <w:p w14:paraId="4F5E5083">
      <w:pPr>
        <w:spacing w:line="360" w:lineRule="auto"/>
        <w:rPr>
          <w:rFonts w:hint="default" w:ascii="Times New Roman" w:hAnsi="Times New Roman" w:eastAsia="Times New Roman" w:cs="Times New Roman"/>
        </w:rPr>
      </w:pPr>
    </w:p>
    <w:p w14:paraId="704386DB">
      <w:pPr>
        <w:spacing w:line="360" w:lineRule="auto"/>
        <w:rPr>
          <w:rFonts w:hint="default" w:ascii="Times New Roman" w:hAnsi="Times New Roman" w:eastAsia="Times New Roman" w:cs="Times New Roman"/>
        </w:rPr>
      </w:pPr>
    </w:p>
    <w:p w14:paraId="69997485">
      <w:pPr>
        <w:spacing w:line="360" w:lineRule="auto"/>
        <w:rPr>
          <w:rFonts w:hint="default" w:ascii="Times New Roman" w:hAnsi="Times New Roman" w:eastAsia="Times New Roman" w:cs="Times New Roman"/>
        </w:rPr>
      </w:pPr>
    </w:p>
    <w:p w14:paraId="3F1800FC">
      <w:pPr>
        <w:spacing w:line="360" w:lineRule="auto"/>
        <w:jc w:val="center"/>
        <w:rPr>
          <w:rFonts w:hint="default" w:ascii="Times New Roman" w:hAnsi="Times New Roman" w:eastAsia="Times New Roman" w:cs="Times New Roman"/>
        </w:rPr>
      </w:pPr>
      <w:r>
        <w:rPr>
          <w:rFonts w:hint="default" w:ascii="Times New Roman" w:hAnsi="Times New Roman" w:eastAsia="Times New Roman" w:cs="Times New Roman"/>
        </w:rPr>
        <w:t>Ribeirão Preto - SP</w:t>
      </w:r>
    </w:p>
    <w:p w14:paraId="16EAA841">
      <w:pPr>
        <w:spacing w:line="360" w:lineRule="auto"/>
        <w:jc w:val="center"/>
        <w:rPr>
          <w:rFonts w:hint="default" w:ascii="Times New Roman" w:hAnsi="Times New Roman" w:eastAsia="Times New Roman" w:cs="Times New Roman"/>
        </w:rPr>
        <w:sectPr>
          <w:pgSz w:w="11906" w:h="16838"/>
          <w:pgMar w:top="1418" w:right="1418" w:bottom="1418" w:left="1418" w:header="0" w:footer="0" w:gutter="0"/>
          <w:pgNumType w:start="1"/>
          <w:cols w:space="720" w:num="1"/>
          <w:formProt w:val="0"/>
          <w:docGrid w:linePitch="100" w:charSpace="0"/>
        </w:sectPr>
      </w:pPr>
      <w:r>
        <w:rPr>
          <w:rFonts w:hint="default" w:ascii="Times New Roman" w:hAnsi="Times New Roman" w:cs="Times New Roman"/>
        </w:rPr>
        <w:t>2026</w:t>
      </w:r>
    </w:p>
    <w:p w14:paraId="43457DE2">
      <w:pPr>
        <w:spacing w:line="360" w:lineRule="auto"/>
        <w:jc w:val="center"/>
        <w:rPr>
          <w:rFonts w:hint="default" w:ascii="Times New Roman" w:hAnsi="Times New Roman" w:eastAsia="Times New Roman" w:cs="Times New Roman"/>
          <w:i/>
          <w:vertAlign w:val="superscript"/>
        </w:rPr>
      </w:pPr>
      <w:bookmarkStart w:id="1" w:name="_heading=h.o5ku8cknwnit"/>
      <w:bookmarkEnd w:id="1"/>
      <w:r>
        <w:rPr>
          <w:rFonts w:hint="default" w:ascii="Times New Roman" w:hAnsi="Times New Roman" w:eastAsia="Times New Roman" w:cs="Times New Roman"/>
        </w:rPr>
        <w:t xml:space="preserve">ANÁLISE DE FATORES ASSOCIADOS AO DESEMPENHO NO </w:t>
      </w:r>
      <w:r>
        <w:rPr>
          <w:rFonts w:hint="default" w:ascii="Times New Roman" w:hAnsi="Times New Roman" w:eastAsia="Times New Roman" w:cs="Times New Roman"/>
          <w:i/>
        </w:rPr>
        <w:t xml:space="preserve">HANDSTAND </w:t>
      </w:r>
      <w:r>
        <w:rPr>
          <w:rFonts w:hint="default" w:ascii="Times New Roman" w:hAnsi="Times New Roman" w:eastAsia="Times New Roman" w:cs="Times New Roman"/>
        </w:rPr>
        <w:t xml:space="preserve">E </w:t>
      </w:r>
      <w:r>
        <w:rPr>
          <w:rFonts w:hint="default" w:ascii="Times New Roman" w:hAnsi="Times New Roman" w:eastAsia="Times New Roman" w:cs="Times New Roman"/>
          <w:i/>
        </w:rPr>
        <w:t>HANDSTAND WALK</w:t>
      </w:r>
      <w:r>
        <w:rPr>
          <w:rFonts w:hint="default" w:ascii="Times New Roman" w:hAnsi="Times New Roman" w:eastAsia="Times New Roman" w:cs="Times New Roman"/>
        </w:rPr>
        <w:t xml:space="preserve"> </w:t>
      </w:r>
    </w:p>
    <w:p w14:paraId="5BFB30C0">
      <w:pPr>
        <w:spacing w:line="360" w:lineRule="auto"/>
        <w:jc w:val="left"/>
        <w:rPr>
          <w:rFonts w:hint="default" w:ascii="Times New Roman" w:hAnsi="Times New Roman" w:eastAsia="Times New Roman" w:cs="Times New Roman"/>
          <w:b/>
        </w:rPr>
      </w:pPr>
      <w:r>
        <w:rPr>
          <w:rFonts w:hint="default" w:ascii="Times New Roman" w:hAnsi="Times New Roman" w:eastAsia="Times New Roman" w:cs="Times New Roman"/>
          <w:b/>
        </w:rPr>
        <w:t>RESUMO</w:t>
      </w:r>
    </w:p>
    <w:p w14:paraId="092F70AB">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O </w:t>
      </w:r>
      <w:r>
        <w:rPr>
          <w:rFonts w:hint="default" w:ascii="Times New Roman" w:hAnsi="Times New Roman" w:eastAsia="Times New Roman" w:cs="Times New Roman"/>
          <w:i/>
          <w:iCs/>
        </w:rPr>
        <w:t>handstand (HS)</w:t>
      </w:r>
      <w:r>
        <w:rPr>
          <w:rFonts w:hint="default" w:ascii="Times New Roman" w:hAnsi="Times New Roman" w:eastAsia="Times New Roman" w:cs="Times New Roman"/>
        </w:rPr>
        <w:t xml:space="preserve"> é uma tarefa motora caracterizada pelo equilíbrio estático em posição invertida sobre as mãos, enquanto o </w:t>
      </w:r>
      <w:r>
        <w:rPr>
          <w:rFonts w:hint="default" w:ascii="Times New Roman" w:hAnsi="Times New Roman" w:eastAsia="Times New Roman" w:cs="Times New Roman"/>
          <w:i/>
          <w:iCs/>
        </w:rPr>
        <w:t>handstand walk (HSW)</w:t>
      </w:r>
      <w:r>
        <w:rPr>
          <w:rFonts w:hint="default" w:ascii="Times New Roman" w:hAnsi="Times New Roman" w:eastAsia="Times New Roman" w:cs="Times New Roman"/>
        </w:rPr>
        <w:t xml:space="preserve"> envolve deslocamento dinâmico nessa posição; ambos constituem elementos fundamentais em vários contextos esportivos, nos quais são reconhecidos e valorizados como expressão de proficiência e capacidade física. O presente projeto tem como objetivo investigar os fatores determinantes para o desempenho em ambas as habilidades motoras. Embora amplamente reconhecidos pela complexidade motora, 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ainda são predominantemente estudados em amostras restritas, em sua maioria compostas apenas por ginastas experientes, o que limita a compreensão de como variáveis distintas se correlacionam e influenciam essas habilidades em diferentes contextos de prática. Para preencher essa lacuna, serão recrutados adultos, homens e mulheres, com experiência prévia na prática de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e/ou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em suas modalidades de origem, contemplando diferentes perfis técnicos e de tempo de prática. Serão empregados modelos de regressão linear múltipla e regressão logística binária tendo como preditores: força máxima de flexores de punho e dedos, além do </w:t>
      </w:r>
      <w:r>
        <w:rPr>
          <w:rFonts w:hint="default" w:ascii="Times New Roman" w:hAnsi="Times New Roman" w:eastAsia="Times New Roman" w:cs="Times New Roman"/>
          <w:i/>
          <w:iCs/>
        </w:rPr>
        <w:t>shoulder press</w:t>
      </w:r>
      <w:r>
        <w:rPr>
          <w:rFonts w:hint="default" w:ascii="Times New Roman" w:hAnsi="Times New Roman" w:eastAsia="Times New Roman" w:cs="Times New Roman"/>
        </w:rPr>
        <w:t xml:space="preserve"> relativo à massa corporal; resistência muscular em posição invertida; parâmetros estabilométricos de controle postural (distância CoP-CoM, velocidade do CoP e entropia aproximada); medidas antropométricas, incluindo comprimento de membros, altura do centro de massa (CoM) e composição corporal; e análise cinemática 3D dos ângulos articulares (ombros, quadril e cabeça), orientação angular das mãos e largura da base de apoio; além de variáveis de deslocamento no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como tempo, velocidade, cadência e variabilidade espacial e temporal das passadas.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o desempenho será avaliado pelo tempo de sustentação na condição assistida e pelo sucesso na estabilização de entradas livres, enquanto no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será considerada a mediana da distância percorrida. As hipóteses centrais são de que a força e a resistência dos membros superiores, aliadas a características antropométricas favoráveis, maior tempo de prática e refinamento do controle postural, estejam diretamente associadas ao melhor desempenho nas duas tarefas. Acredita-se que os achados contribuirão para suprir lacunas metodológicas da literatura, ampliando a compreensão integrada dos fatores que influenciam o desempenho em inversão e subsidiando programas de treinamento mais eficientes, seguros e específicos a cada modalidade.</w:t>
      </w:r>
    </w:p>
    <w:p w14:paraId="7C020983">
      <w:pPr>
        <w:spacing w:line="360" w:lineRule="auto"/>
        <w:rPr>
          <w:rFonts w:hint="default" w:ascii="Times New Roman" w:hAnsi="Times New Roman" w:eastAsia="Times New Roman" w:cs="Times New Roman"/>
        </w:rPr>
      </w:pPr>
    </w:p>
    <w:p w14:paraId="222B9E07">
      <w:pPr>
        <w:spacing w:line="360" w:lineRule="auto"/>
        <w:rPr>
          <w:rFonts w:hint="default" w:ascii="Times New Roman" w:hAnsi="Times New Roman" w:eastAsia="Times New Roman" w:cs="Times New Roman"/>
          <w:lang w:val="en-US"/>
        </w:rPr>
      </w:pPr>
      <w:r>
        <w:rPr>
          <w:rFonts w:hint="default" w:ascii="Times New Roman" w:hAnsi="Times New Roman" w:cs="Times New Roman"/>
        </w:rPr>
        <w:t>Palavras-chave: Parada de mãos; Andar sobre as mãos; Ginástica; CrossFit®; Calistenia.</w:t>
      </w:r>
    </w:p>
    <w:p w14:paraId="7E5A4316">
      <w:pPr>
        <w:pStyle w:val="2"/>
        <w:numPr>
          <w:ilvl w:val="0"/>
          <w:numId w:val="1"/>
        </w:numPr>
        <w:spacing w:line="360" w:lineRule="auto"/>
        <w:ind w:left="720" w:hanging="360"/>
        <w:rPr>
          <w:rFonts w:hint="default" w:ascii="Times New Roman" w:hAnsi="Times New Roman" w:eastAsia="Times New Roman" w:cs="Times New Roman"/>
        </w:rPr>
      </w:pPr>
      <w:r>
        <w:rPr>
          <w:rFonts w:hint="default" w:ascii="Times New Roman" w:hAnsi="Times New Roman" w:eastAsia="Times New Roman" w:cs="Times New Roman"/>
        </w:rPr>
        <w:t>INTRODUÇÃO</w:t>
      </w:r>
    </w:p>
    <w:p w14:paraId="67CCAD4F">
      <w:pPr>
        <w:spacing w:line="360" w:lineRule="auto"/>
        <w:ind w:firstLine="360"/>
        <w:rPr>
          <w:rFonts w:hint="default" w:ascii="Times New Roman" w:hAnsi="Times New Roman" w:eastAsia="Times New Roman" w:cs="Times New Roman"/>
        </w:rPr>
      </w:pPr>
      <w:r>
        <w:rPr>
          <w:rFonts w:hint="default" w:ascii="Times New Roman" w:hAnsi="Times New Roman" w:eastAsia="Times New Roman" w:cs="Times New Roman"/>
          <w:i/>
        </w:rPr>
        <w:t>Handstand (</w:t>
      </w:r>
      <w:r>
        <w:rPr>
          <w:rFonts w:hint="default" w:ascii="Times New Roman" w:hAnsi="Times New Roman" w:eastAsia="Times New Roman" w:cs="Times New Roman"/>
          <w:i/>
          <w:iCs/>
        </w:rPr>
        <w:t>HS</w:t>
      </w:r>
      <w:r>
        <w:rPr>
          <w:rFonts w:hint="default" w:ascii="Times New Roman" w:hAnsi="Times New Roman" w:eastAsia="Times New Roman" w:cs="Times New Roman"/>
          <w:i/>
        </w:rPr>
        <w:t xml:space="preserve">) </w:t>
      </w:r>
      <w:r>
        <w:rPr>
          <w:rFonts w:hint="default" w:ascii="Times New Roman" w:hAnsi="Times New Roman" w:eastAsia="Times New Roman" w:cs="Times New Roman"/>
        </w:rPr>
        <w:t xml:space="preserve">constitui uma tarefa motora de equilíbrio estático em posição invertida sobre as mãos enquanto </w:t>
      </w:r>
      <w:r>
        <w:rPr>
          <w:rFonts w:hint="default" w:ascii="Times New Roman" w:hAnsi="Times New Roman" w:eastAsia="Times New Roman" w:cs="Times New Roman"/>
          <w:i/>
        </w:rPr>
        <w:t>Handstand Walking (</w:t>
      </w:r>
      <w:r>
        <w:rPr>
          <w:rFonts w:hint="default" w:ascii="Times New Roman" w:hAnsi="Times New Roman" w:eastAsia="Times New Roman" w:cs="Times New Roman"/>
          <w:i/>
          <w:iCs/>
        </w:rPr>
        <w:t>HSW</w:t>
      </w:r>
      <w:r>
        <w:rPr>
          <w:rFonts w:hint="default" w:ascii="Times New Roman" w:hAnsi="Times New Roman" w:eastAsia="Times New Roman" w:cs="Times New Roman"/>
          <w:i/>
        </w:rPr>
        <w:t xml:space="preserve">) </w:t>
      </w:r>
      <w:r>
        <w:rPr>
          <w:rFonts w:hint="default" w:ascii="Times New Roman" w:hAnsi="Times New Roman" w:eastAsia="Times New Roman" w:cs="Times New Roman"/>
        </w:rPr>
        <w:t>é caracterizado por um equilíbrio dinâmico em posição invertida sobre as mãos gerando um deslocamento.</w:t>
      </w:r>
      <w:r>
        <w:rPr>
          <w:rFonts w:hint="default" w:ascii="Times New Roman" w:hAnsi="Times New Roman" w:cs="Times New Roman"/>
        </w:rPr>
        <w:t xml:space="preserve"> </w:t>
      </w:r>
      <w:r>
        <w:rPr>
          <w:rFonts w:hint="default" w:ascii="Times New Roman" w:hAnsi="Times New Roman" w:eastAsia="Times New Roman" w:cs="Times New Roman"/>
        </w:rPr>
        <w:t xml:space="preserve">Ambos são considerados elementos essenciais da ginástica artística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{"citationID":"3hnjItn1","properties":{"formattedCitation":"[1]","plainCitation":"[1]","noteIndex":0},"citationItems":[{"id":333,"uris":["http://zotero.org/users/17274952/items/LV8KSPDR"],"itemData":{"id":333,"type":"article-journal","abstract":"Handstand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e também estão presentes em diversas outras modalidades como, por exemplo, calistenia, </w:t>
      </w:r>
      <w:r>
        <w:rPr>
          <w:rFonts w:hint="default" w:ascii="Times New Roman" w:hAnsi="Times New Roman" w:eastAsia="Times New Roman" w:cs="Times New Roman"/>
          <w:i/>
        </w:rPr>
        <w:t>CrossFit®</w:t>
      </w:r>
      <w:r>
        <w:rPr>
          <w:rFonts w:hint="default" w:ascii="Times New Roman" w:hAnsi="Times New Roman" w:eastAsia="Times New Roman" w:cs="Times New Roman"/>
        </w:rPr>
        <w:t>, yoga</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 xml:space="preserve">artes circenses. São habilidades motoras complexas, valorizadas por desenvolver força, coordenação, equilíbrio e consciência corporal, constituindo referência de domínio técnico nas práticas que as incorporam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{"citationID":"yPUbr5t1","properties":{"formattedCitation":"[2]","plainCitation":"[2]","noteIndex":0},"citationItems":[{"id":327,"uris":["http://zotero.org/users/17274952/items/7HMEIQK4"],"itemData":{"id":327,"type":"article-journal","abstract":"Despite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w:t>
      </w:r>
    </w:p>
    <w:p w14:paraId="32219587">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Há vários trabalhos relacionados ao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abrangendo fatores biomecânicos, neuromusculares e psicológicos, refletindo na manutenção do equilíbrio.  Este é mantido através de estratégias multissegmentares, com participação das articulações distais e proximais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{"citationID":"Z7I5nlk6","properties":{"formattedCitation":"[3], [4]","plainCitation":"[3], [4]","noteIndex":0},"citationItems":[{"id":336,"uris":["http://zotero.org/users/17274952/items/P82NI7IB"],"itemData":{"id":336,"type":"article-journal","abstract":"KERWIN,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G."},{"family":"Trewartha","given":"Grant"}],"issued":{"date-parts":[["2001",7]]}}},{"id":345,"uris":["http://zotero.org/users/17274952/items/RI8HJ578"],"itemData":{"id":345,"type":"article-journal","abstract":"Abstract\n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[3], [4]</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O </w:t>
      </w:r>
      <w:r>
        <w:rPr>
          <w:rFonts w:hint="default" w:ascii="Times New Roman" w:hAnsi="Times New Roman" w:eastAsia="Times New Roman" w:cs="Times New Roman"/>
          <w:i/>
          <w:iCs/>
        </w:rPr>
        <w:t>HS</w:t>
      </w:r>
      <w:r>
        <w:rPr>
          <w:rFonts w:hint="default" w:ascii="Times New Roman" w:hAnsi="Times New Roman" w:eastAsia="Times New Roman" w:cs="Times New Roman"/>
          <w:i/>
        </w:rPr>
        <w:t xml:space="preserve"> </w:t>
      </w:r>
      <w:r>
        <w:rPr>
          <w:rFonts w:hint="default" w:ascii="Times New Roman" w:hAnsi="Times New Roman" w:eastAsia="Times New Roman" w:cs="Times New Roman"/>
        </w:rPr>
        <w:t>apresenta alta variabilidade articular, especialmente em ombros, punhos e quadris, enquanto o CoM e o CoP permanecem estáveis</w:t>
      </w:r>
      <w:r>
        <w:rPr>
          <w:rFonts w:hint="default" w:ascii="Times New Roman" w:hAnsi="Times New Roman" w:eastAsia="Times New Roman" w:cs="Times New Roman"/>
          <w:b/>
        </w:rPr>
        <w:t>,</w:t>
      </w:r>
      <w:r>
        <w:rPr>
          <w:rFonts w:hint="default" w:ascii="Times New Roman" w:hAnsi="Times New Roman" w:eastAsia="Times New Roman" w:cs="Times New Roman"/>
        </w:rPr>
        <w:t xml:space="preserve"> evidenciando que a estabilidade é resultado do ajuste coletivo entre segmentos</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{"citationID":"WFdHNrBZ","properties":{"formattedCitation":"[5]","plainCitation":"[5]","noteIndex":0},"citationItems":[{"id":51,"uris":["http://zotero.org/users/17274952/items/6I25TH2Q"],"itemData":{"id":51,"type":"article-journal","abstract":"The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[5]</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Para isso é necessária coordenação precisa entre músculos estabilizadores e mobilizadores dos membros superiores e do tronco, sendo os flexores de punho, trapézio, deltoide anterior e tríceps braquial os contribuidores primários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{"citationID":"0MUYVmko","properties":{"formattedCitation":"[6]","plainCitation":"[6]","noteIndex":0},"citationItems":[{"id":326,"uris":["http://zotero.org/users/17274952/items/A5MTUBXD"],"itemData":{"id":326,"type":"article-journal","abstract":"Kochanowicz,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[6]</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Nesse contexto, observou-se que os punhos atuam constantemente para manter a pressão contra o solo e realizar microajustes no CoP, sendo responsáveis pelo controle fino frente a pequenas oscilações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{"citationID":"kG7DjW3p","properties":{"formattedCitation":"[2], [3], [7]","plainCitation":"[2], [3], [7]","noteIndex":0},"citationItems":[{"id":327,"uris":["http://zotero.org/users/17274952/items/7HMEIQK4"],"itemData":{"id":327,"type":"article-journal","abstract":"Despite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 [3], [7]</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w:t>
      </w:r>
      <w:r>
        <w:rPr>
          <w:rFonts w:hint="default" w:ascii="Times New Roman" w:hAnsi="Times New Roman" w:cs="Times New Roman"/>
        </w:rPr>
        <w:t xml:space="preserve"> Embora o punho seja o efetor primário, análises cinemáticas 3D recentes indicam que o ombro atua como um colaborador crítico, sendo o maior contribuinte para o controle do COM tanto no plano anteroposterior quanto no mediolateral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{"citationID":"b0rto6yy","properties":{"unsorted":false,"formattedCitation":"[8]","plainCitation":"[8]","noteIndex":0},"citationItems":[{"id":302,"uris":["http://zotero.org/users/17274952/items/NW2TRL4I"],"itemData":{"id":302,"type":"article-journal","abstract":"The goal of a handstand, a fundamental skill in gymnastics, is to maintain a balanced stance by controlling center of mass (COM) position. Successful handstands predominantly use wrist torque to control the COM in the anterior-posterior (AP) plane. The aim of this study was to determine the underlying motor control mechanisms necessary to maintain a strong handstand stance through analysis of joint angle and COM position variability. Full body 3D kinematic data were collected on three competitive level gymnasts during 30 s floor handstands. Variability of joint angles were consistently higher than the center of mass, demonstrating that joints self-organize in a motor control strategy to produce torques in order to control the COM. Using multiple linear regression analysis, it was found that shoulder flexion/extension variability was the largest contributor to controlling the COM in both the medio-lateral (ML) and AP planes.","language":"en","source":"Zotero","title":"HANDSTAND BALANCE MOTOR CONTROL MECHANISMS","author":[{"family":"Pryhoda","given":"Moira K"},{"family":"Newell","given":"Karl M"},{"family":"Irwin","given":"Gareth"}],"issued":{"date-parts":[["2021"]]}}}],"schema":"https://github.com/citation-style-language/schema/raw/master/csl-citation.json"}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t xml:space="preserve">. No âmbito do aprendizado motor, intervenções focadas no ensino explícito da estratégia de punho têm demonstrado eficácia no aumento do tempo de permanência na posição invertida, inclusive em indivíduos iniciantes, sugerindo que a técnica de correção na base pode ser treinada de forma isolada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{"citationID":"B1dti3D7","properties":{"unsorted":false,"formattedCitation":"[9]","plainCitation":"[9]","noteIndex":0},"citationItems":[{"id":299,"uris":["http://zotero.org/users/17274952/items/EJ28IYIX"],"itemData":{"id":299,"type":"article-journal","abstract":"In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t xml:space="preserve">. Além disso, observa-se que a variabilidade dos ângulos articulares é consistentemente maior que a variabilidade do centro de massa, sugerindo que as articulações se auto-organizam em uma estratégia de controle motor para preservar o equilíbrio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{"citationID":"XbH4iuwB","properties":{"unsorted":false,"formattedCitation":"[5]","plainCitation":"[5]","noteIndex":0},"citationItems":[{"id":51,"uris":["http://zotero.org/users/17274952/items/6I25TH2Q"],"itemData":{"id":51,"type":"article-journal","abstract":"The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t>.</w:t>
      </w:r>
      <w:r>
        <w:rPr>
          <w:rFonts w:hint="default" w:ascii="Times New Roman" w:hAnsi="Times New Roman" w:eastAsia="Times New Roman" w:cs="Times New Roman"/>
        </w:rPr>
        <w:t xml:space="preserve"> Ginastas mais experientes apresentam menor deslocamento do CoP e possuem ativação muscular mais eficiente</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{"citationID":"JjiXyt1a","properties":{"formattedCitation":"[10]","plainCitation":"[10]","noteIndex":0},"citationItems":[{"id":338,"uris":["http://zotero.org/users/17274952/items/JUTNAMC7"],"itemData":{"id":338,"type":"article-journal","abstract":"The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[10]</w:t>
      </w:r>
      <w:r>
        <w:rPr>
          <w:rFonts w:hint="default" w:ascii="Times New Roman" w:hAnsi="Times New Roman" w:eastAsia="Times New Roman" w:cs="Times New Roman"/>
        </w:rPr>
        <w:fldChar w:fldCharType="end"/>
      </w:r>
      <w:r>
        <w:rPr>
          <w:rFonts w:hint="default" w:ascii="Times New Roman" w:hAnsi="Times New Roman" w:eastAsia="Times New Roman" w:cs="Times New Roman"/>
          <w:b/>
        </w:rPr>
        <w:t xml:space="preserve">. </w:t>
      </w:r>
      <w:r>
        <w:rPr>
          <w:rFonts w:hint="default" w:ascii="Times New Roman" w:hAnsi="Times New Roman" w:eastAsia="Times New Roman" w:cs="Times New Roman"/>
        </w:rPr>
        <w:t xml:space="preserve">O padrão de ativação muscular é adaptativo, durante maior instabilidade, há incremento da coativação para reforçar a rigidez articular, indicando que a manutenção do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requer não apenas força, mas a otimização da coordenação muscular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{"citationID":"ij9hcXve","properties":{"formattedCitation":"[11], [12]","plainCitation":"[11], [12]","noteIndex":0},"citationItems":[{"id":346,"uris":["http://zotero.org/users/17274952/items/P35N5UEZ"],"itemData":{"id":346,"type":"article-journal","abstract":"The contribution is a review study dealing with a handstand as one of the basic movement structures in artistic gymnastics. Balancing in this inverse position is a complex process based on physiological and physical principles. From physiological point of view the important results are from research dealing with function of vestibular apparatus, visual system, proprioception, central nervous system and motor units and their participation in balance maintaining. Another important question is a relationship between the strength of particular muscle groups and a level of balancing ability. Based on stabilometric measurements and 3D kinematic analysis of correcting movements equalizing the perturbations during a handstand we can distinguish several strategies of maintaining balance. Other important factors influencing the holding time in handstand position in gymnastics, mainly in tool disciplines, are a visual control and position of head.","issue":"3","language":"en","source":"Zotero","title":"BALANCING IN HANDSTAND ON THE FLOOR","volume":"5","author":[{"family":"Hedbávný","given":"Petr"},{"family":"Sklenaříková","given":"Jana"},{"family":"Hupka","given":"Dušan"},{"family":"Kalichová","given":"Miriam"}]}},{"id":334,"uris":["http://zotero.org/users/17274952/items/AFVNAKE4"],"itemData":{"id":334,"type":"article-journal","abstract":"This study aimed to evaluate the muscle dynamics involved in single and double-arm handstands performed by five skilled gymnasts, with a mean age of 23.6 ± 1.94 years. Myoware Muscle Sensor (AT-04-001) (MMS) signals were collected from three key upper limb muscles: Wrist Flexor (WF), Triceps Brachii (TB), and Lateral Deltoid (LD), all on the dominant side of the body. To facilitate data collection and processing, Internet of Things (IoT) programs were employed, utilizing Arduino IDE and Python 3.10.0 applications to connect the NodeMCU (ESP8266) via server and client code. The NodeMCU's display frequency range was set at 0–1024 Hz, with a Baud (Bd) rate of 9600 in Arduino, which is a crucial parameter for visualizing the data accurately. It continuously reads the serial and plotter monitor signals from the MMS through the A0 pin. The processed data was transmitted wirelessly by the NodeMCU, displayed on a monitor, and recorded for analysis. Participants executed three trials of their maximum handstand performance on the floor; the gymnasts peak level of 15 seconds performance was used for analysis (i.e., the middle time of the best trial; e.g., maximum performance was 45 seconds in this 16–30sec used). The observed muscle stimulation range was from a minimum of 109617 Hz to a maximum of 151292 Hz. Overall, one-arm handstands (52.79%) demonstrated better muscle activation than double-arm handstands (47.21%). The analysis revealed a statistically significant positive Correlation (r) and Probability (p) between the WF and LD (r = 0.870, p = 0.001). However, no significant correlations were observed between the WF and the TB (r = 0.507, p = 0.134) or the TB and the LD (r = 0.491, p = 0.150). To conclude, despite comparable inter-muscle contributions, the study suggests a significant association between WF and LD. Future research can build on these findings, exploring additional muscle groups and refining training protocols for performance optimization and injury prevention. This study encourages broader investigations, including more muscles in the upper and lower body, with advanced research laboratories and larger sample sizes.","container-title":"Journal of Physical Education and Sport","ISSN":"22478051, 2247806X","issue":"4","journalAbbreviation":"JPES","language":"en","source":"DOI.org (Crossref)","title":"Analyzing optimal muscle dynamics during handstands: a comprehensive investigation of skilled gymnasts","volume":"24"}}],"schema":"https://github.com/citation-style-language/schema/raw/master/csl-citation.json"}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[11], [12]</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Além disso, análise cinemática com ginastas experientes mostrou que a capacidade de se manter na </w:t>
      </w:r>
      <w:r>
        <w:rPr>
          <w:rFonts w:hint="default" w:ascii="Times New Roman" w:hAnsi="Times New Roman" w:eastAsia="Times New Roman" w:cs="Times New Roman"/>
          <w:i/>
          <w:iCs/>
        </w:rPr>
        <w:t>HS</w:t>
      </w:r>
      <w:r>
        <w:rPr>
          <w:rFonts w:hint="default" w:ascii="Times New Roman" w:hAnsi="Times New Roman" w:eastAsia="Times New Roman" w:cs="Times New Roman"/>
          <w:i/>
        </w:rPr>
        <w:t xml:space="preserve"> </w:t>
      </w:r>
      <w:r>
        <w:rPr>
          <w:rFonts w:hint="default" w:ascii="Times New Roman" w:hAnsi="Times New Roman" w:eastAsia="Times New Roman" w:cs="Times New Roman"/>
        </w:rPr>
        <w:t xml:space="preserve">está associado ao alinhamento corporal, sobretudo à sobreposição de ombros e quadris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{"citationID":"Pl3hTtMj","properties":{"formattedCitation":"[13], [14]","plainCitation":"[13], [14]","noteIndex":0},"citationItems":[{"id":328,"uris":["http://zotero.org/users/17274952/items/PDH4GHVG"],"itemData":{"id":328,"type":"article-journal","journalAbbreviation":"Science of Gymnastics Journal","page":"19-30","title":"Kinematic Analysis of handstands in gymnastics","volume":"7","author":[{"family":"B. Belčič","given":"P. Samardžija"}],"issued":{"date-parts":[["2015"]]}}},{"id":337,"uris":["http://zotero.org/users/17274952/items/89GK6CG5"],"itemData":{"id":337,"type":"article-journal","abstract":"Background/Objectives: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[13], [14]</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w:t>
      </w:r>
      <w:r>
        <w:rPr>
          <w:rFonts w:hint="default" w:ascii="Times New Roman" w:hAnsi="Times New Roman" w:eastAsia="Times New Roman" w:cs="Times New Roman"/>
          <w:b/>
        </w:rPr>
        <w:t xml:space="preserve"> </w:t>
      </w:r>
      <w:r>
        <w:rPr>
          <w:rFonts w:hint="default" w:ascii="Times New Roman" w:hAnsi="Times New Roman" w:eastAsia="Times New Roman" w:cs="Times New Roman"/>
        </w:rPr>
        <w:t xml:space="preserve">Contudo, treinamentos focados exclusivamente no alinhamento corporal, embora aperfeiçoem a execução, não garantem maior duração do equilíbrio, evidenciando a relevância do papel dos punhos e antebraços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{"citationID":"1YqKAwnu","properties":{"formattedCitation":"[2]","plainCitation":"[2]","noteIndex":0},"citationItems":[{"id":327,"uris":["http://zotero.org/users/17274952/items/7HMEIQK4"],"itemData":{"id":327,"type":"article-journal","abstract":"Despite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w:t>
      </w:r>
      <w:r>
        <w:rPr>
          <w:rFonts w:hint="default" w:ascii="Times New Roman" w:hAnsi="Times New Roman" w:cs="Times New Roman"/>
        </w:rPr>
        <w:t xml:space="preserve">Uma revisão sistemática abrangente reforçou que, embora o alinhamento corporal rígido seja o ideal estético, a manutenção da estabilidade depende de uma coordenação dinâmica constante entre o centro de massa (COM) e o centro de pressão (COP)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{"citationID":"v6sPizuA","properties":{"unsorted":false,"formattedCitation":"[15]","plainCitation":"[15]","noteIndex":0},"citationItems":[{"id":303,"uris":["http://zotero.org/users/17274952/items/GMN3DDXM"],"itemData":{"id":303,"type":"article-journal","abstract":"Purpose: The aim of this systematic review was to investigate the biomechanical analysis of the handstand.\nMethods: Systematic searches were conducted using databases SPORTDiscus, ScienceDirect, and PubMed up to August 2025. The search included the following terms: “EMG or Electromyography and Handstand AND Gymnastics,” “Kinetics AND Kinematics and Handstand AND Gymnastics,” “Kinetics AND Handstand,” and “Kinematics AND Handstand.” Initially, 491 publications were identiﬁed. Of these, 21 studies were included in this systematic review, each of which conducted a biomechanical analysis of the handstand. Data from the 21 articles were extracted to conduct a biomechanical analysis of the handstand.\nResults: Of the included studies, 31% analyzed balance control strategies of the handstand, 57% performed a kinetic and kinematic analysis of the handstand, and 10% compared muscle activity during the handstand. Furthermore, 42% of the publications analyzed the center of pressure of the handstand, 36% analyzed joint angles, 21% reported on velocity, 21% examined joint torque contributions, 15% investigated angular velocity, 10% analyzed ground reaction forces (GRFs), 10% investigated electromyography (EMG) data, and 5% assessed vertical ground reaction forces (vGRFs).\nConclusion: The ﬁndings of this study indicate that gymnasts minimize problems related to disturbed balance during the handstand using a “wrist strategy” to secure a ﬁxed-body conﬁguration. If the “wrist strategy” fails, then the wrists, shoulders, hips, and elbows are utilized, which can be interpreted as a mixed control strategy. Visual conditions and head positions also affect handstand balance. In particular, closing the eyes leads to decreased stability, and neck ﬂexion impairs performance during the handstand. Gymnasts with greater strength possess better balance control. Other factors that also inﬂuence handstand performance are participation level and age of the performers.","container-title":"Frontiers in Sports and Active Living","DOI":"10.3389/fspor.2025.1694648","ISSN":"2624-9367","journalAbbreviation":"Front. Sports Act. Living","language":"en","page":"1694648","source":"DOI.org (Crossref)","title":"Biomechanical analyses of the handstand: a systematic review","title-short":"Biomechanical analyses of the handstand","volume":"7","author":[{"family":"McDonald","given":"Mahri"},{"family":"Baker","given":"Julien S."},{"family":"Gu","given":"Yaodong"},{"family":"Ugbolue","given":"Ukadike C."}],"issued":{"date-parts":[["2025",12,15]]}}}],"schema":"https://github.com/citation-style-language/schema/raw/master/csl-citation.json"}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t>.</w:t>
      </w:r>
      <w:r>
        <w:rPr>
          <w:rFonts w:hint="default" w:ascii="Times New Roman" w:hAnsi="Times New Roman" w:eastAsia="Times New Roman" w:cs="Times New Roman"/>
        </w:rPr>
        <w:t xml:space="preserve"> </w:t>
      </w:r>
      <w:r>
        <w:rPr>
          <w:rFonts w:hint="default" w:ascii="Times New Roman" w:hAnsi="Times New Roman" w:cs="Times New Roman"/>
        </w:rPr>
        <w:t xml:space="preserve">Quanto à configuração da base de suporte, um estudo com o </w:t>
      </w:r>
      <w:r>
        <w:rPr>
          <w:rFonts w:hint="default" w:ascii="Times New Roman" w:hAnsi="Times New Roman" w:cs="Times New Roman"/>
          <w:i/>
          <w:iCs/>
        </w:rPr>
        <w:t>HS</w:t>
      </w:r>
      <w:r>
        <w:rPr>
          <w:rFonts w:hint="default" w:ascii="Times New Roman" w:hAnsi="Times New Roman" w:cs="Times New Roman"/>
        </w:rPr>
        <w:t xml:space="preserve"> demonstrou que a utilização de palmas planas com os dedos unidos e estendidos proporciona menor oscilação do centro de pressão e maior eficiência no equilíbrio quando comparada às variações de dedos afastados ou flexionados em garra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{"citationID":"1hAfAeGr","properties":{"unsorted":false,"formattedCitation":"[16]","plainCitation":"[16]","noteIndex":0},"citationItems":[{"id":304,"uris":["http://zotero.org/users/17274952/items/PKRF3FK3"],"itemData":{"id":304,"type":"article-journal","abstract":"The purpose of the study was twofold: (a) to examine the impact of various finger placements and utilization on the quality, control, and overall efficiency of handstand performance, and (b) to investigate potential gender differences in relation to these factors. Thirty-one young competitive gymnasts (15 males; age: 12.60 ± 2.08, and 16 females; age: 13.31 ± 2.21) participated in this study. A portable posturographic digital platform was used to record hand area (cm²), maximal pressure (kPa), CoP (center of hand pressure) sway area (mm²), CoP linear distance displacement (mm) and CoP velocity. Derived data were analyzed in an integrated software module (Foot Checker, version 4.0). The intra-class correlation coefficient and the coefficient of variation supported the reliability of the measurements. One-way MANOVA showed better balance control for all gymnasts for the handstand with flat palms and joined and fully stretched fingers, followed by that of flat palms and wide open and fully stretched fingers, and wide flat palms and open and flexed fingers. Results from one-way MANOVA indicated no differences between males and females in age, training age, body mass, height, and body mass index. With control for the effects of age, training age, personal characteristics and hand area of support in place, females had better balance control compared to males based on differences in CoP sway area, CoP linear distance displacement, and CoP velocity. Despite the study's limitations, the findings contribute to the existing literature on balance control techniques in handstands in relation to gender differences. The study provides recommendations for more effective training for coaches and suggests avenues for future research.","container-title":"Science of Gymnastics Journal","DOI":"10.52165/sgj.15.3.375-394","ISSN":"1855-7171, 2232-2639","issue":"3","journalAbbreviation":"SGJ","language":"en","license":"https://creativecommons.org/licenses/by-sa/4.0","page":"375-394","source":"DOI.org (Crossref)","title":"THE EFFECTIVENESS OF DIFFERENT HANDSTAND PLACEMENT TECHNIQUES IN HANDSTAND BALANCE CONTROL AND GENDER DIFFERENCESDSTAND BALANCE CONTROL AND GENDER DIFFERENCES","volume":"15","author":[{"family":"Milosis","given":"Dimitrios"},{"family":"Satras","given":"Theophanis"}],"issued":{"date-parts":[["2023",10,30]]}}}],"schema":"https://github.com/citation-style-language/schema/raw/master/csl-citation.json"}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t xml:space="preserve">. Contudo, a orientação angular das mãos, especificamente o grau de rotação externa, permanece inexplorada pela literatura científica, tanto na condição estática quanto na dinâmica. Essa rotação poderia atuar como uma estratégia compensatória para limitações na amplitude de extensão do punho, alterando o plano dos torques corretivos e otimizando a projeção do centro de massa. </w:t>
      </w:r>
      <w:r>
        <w:rPr>
          <w:rFonts w:hint="default" w:ascii="Times New Roman" w:hAnsi="Times New Roman" w:eastAsia="Times New Roman" w:cs="Times New Roman"/>
        </w:rPr>
        <w:t>A</w:t>
      </w:r>
      <w:r>
        <w:rPr>
          <w:rFonts w:hint="default" w:ascii="Times New Roman" w:hAnsi="Times New Roman" w:cs="Times New Roman"/>
        </w:rPr>
        <w:t xml:space="preserve"> orientação da cabeça também exerce influência direta na estabilidade. Alterações no ângulo do pescoço modificam os padrões de variabilidade multiarticular, o que pode impactar a percepção visual e o controle postural durante a inversão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{"citationID":"FDvN6bYP","properties":{"unsorted":false,"formattedCitation":"[17]","plainCitation":"[17]","noteIndex":0},"citationItems":[{"id":301,"uris":["http://zotero.org/users/17274952/items/IRV3ADLG"],"itemData":{"id":301,"type":"article-journal","abstract":"This study investigated the effects of neck angle on center of mass (CM) stability and joint angle variability in the handstand. Seven experienced female gymnasts performed handstands in extended, neutral, and flexed neck angles. Kinematic data were collected using a 3D motion capture system, and variability was assessed for wrist, elbow, shoulder, hip, and neck angles and, CM position. The findings showed that the extended neck angle posture exhibited the lowest CM variability, aligning with its prevalent use in practice and competition. Regression analyses revealed that joint angle variability was significantly corelated to CM motion, with the typical extended neck angle related to shoulder, wrist, and neck angle variability contributions (33%, 23%, and 21%, respectively). In contrast, the neutral neck angle was moderately corelated to hip variability (32%), while the flexed neck angle showed a dominant reliance on neck angle variability (63%). The results show the strong role of neck angle in the postural variability of the handstand that is mediated by joint angle variability, visual information and tonic reflex support.","container-title":"Journal of Motor Behavior","DOI":"10.1080/00222895.2025.2558711","ISSN":"0022-2895, 1940-1027","issue":"6","journalAbbreviation":"Journal of Motor Behavior","language":"en","page":"768-776","source":"DOI.org (Crossref)","title":"Neck Angle in the Handstand Changes the Pattern of Multi-Joint Variability","volume":"57","author":[{"family":"Farana","given":"Roman"},{"family":"Brtva","given":"Pavel"},{"family":"Irwin","given":"Gareth"},{"family":"Newell","given":"Karl M."}],"issued":{"date-parts":[["2025",11,2]]}}}],"schema":"https://github.com/citation-style-language/schema/raw/master/csl-citation.json"}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t xml:space="preserve">. Além dos ajustes mecânicos, o controle sensorial desempenha um papel determinante na estabilização da postura invertida. Estudos clássicos demonstram que o </w:t>
      </w:r>
      <w:r>
        <w:rPr>
          <w:rFonts w:hint="default" w:ascii="Times New Roman" w:hAnsi="Times New Roman" w:cs="Times New Roman"/>
          <w:i/>
          <w:iCs/>
        </w:rPr>
        <w:t>HS</w:t>
      </w:r>
      <w:r>
        <w:rPr>
          <w:rFonts w:hint="default" w:ascii="Times New Roman" w:hAnsi="Times New Roman" w:cs="Times New Roman"/>
        </w:rPr>
        <w:t xml:space="preserve">, por ser uma postura não natural, exige uma recalibração dos sistemas visual e vestibular, sendo que indivíduos especialistas apresentam uma menor dependência de informações visuais externas em comparação a novatos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{"citationID":"5XQGFuZD","properties":{"formattedCitation":"[13]","plainCitation":"[13]","dontUpdate":true,"noteIndex":0},"citationItems":[{"id":340,"uris":["http://zotero.org/users/17274952/items/YAEMRNPP"],"itemData":{"id":340,"type":"article-journal","abstract":"Upright bipedal posture is the physiological human posture; however, it is not the only possible form of human standing; indeed, an inverted position, a handstand, is required during gymnastics or other sports. Thus, this study aimed to understand the differences between the two standing strategies from a postural and neuromuscular perspective. Thirteen gymnasts with at least three years of sports experience underwent a baropodometric assessment and a surface electromyography (sEMG) examination in a standard upright bipodalic stance and during a handstand. The sEMG examination was performed on the gastrocnemius during an upright stance and on the ﬂexor carpi radialis during the handstand. Limb weight distribution presented differences between the two vertical stances (p &lt; 0.01). During the handstand, the weight ratio was prevalently observed on the palm of the hand for both hands with a signiﬁcant difference between the front and rear aspect of the hand compared to the standing tasks (p &lt; 0.01). Normalized sEMG amplitude showed signiﬁcant differences during bipedal standing and hand standing; however, over a 5 s period, the normalized median frequency (MDF) value was similar for the two tasks. Both standing tasks presented similar postural weight managing patterns when analysed on the frontal plane, but they were different on the sagittal plane. In addition, the neuromuscular patterns during a 5 s window differ in amplitude but not for the frequency domain.","container-title":"Journal of Functional Morphology and Kinesiology","DOI":"10.3390/jfmk8020040","ISSN":"2411-5142","issue":"2","journalAbbreviation":"JFMK","language":"en","license":"https://creativecommons.org/licenses/by/4.0/","page":"40","source":"DOI.org (Crossref)","title":"Evaluation of Posturographic and Neuromuscular Parameters during Upright Stance and Hand Standing: A Pilot Study","title-short":"Evaluation of Posturographic and Neuromuscular Parameters during Upright Stance and Hand Standing","volume":"8","author":[{"family":"Thomas","given":"Ewan"},{"family":"Rossi","given":"Carlo"},{"family":"Petrigna","given":"Luca"},{"family":"Messina","given":"Giuseppe"},{"family":"Bellafiore","given":"Marianna"},{"family":"Şahin","given":"Fatma Neşe"},{"family":"Proia","given":"Patrizia"},{"family":"Palma","given":"Antonio"},{"family":"Bianco","given":"Antonino"}],"issued":{"date-parts":[["2023",3,30]]}}}],"schema":"https://github.com/citation-style-language/schema/raw/master/csl-citation.json"}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[13],[25]</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A fadiga muscular, como seria de se esperar, tem um grande impacto negativo sobre o </w:t>
      </w:r>
      <w:r>
        <w:rPr>
          <w:rFonts w:hint="default" w:ascii="Times New Roman" w:hAnsi="Times New Roman" w:eastAsia="Times New Roman" w:cs="Times New Roman"/>
          <w:i/>
          <w:iCs/>
        </w:rPr>
        <w:t>HS</w:t>
      </w:r>
      <w:r>
        <w:rPr>
          <w:rFonts w:hint="default" w:ascii="Times New Roman" w:hAnsi="Times New Roman" w:eastAsia="Times New Roman" w:cs="Times New Roman"/>
        </w:rPr>
        <w:t>, sugerindo que quanto maior a resistência muscular maior a capacidade de manter o equilíbrio nessa posição.</w:t>
      </w:r>
      <w:r>
        <w:rPr>
          <w:rFonts w:hint="default" w:ascii="Times New Roman" w:hAnsi="Times New Roman" w:cs="Times New Roman"/>
        </w:rPr>
        <w:t xml:space="preserve"> </w:t>
      </w:r>
      <w:r>
        <w:rPr>
          <w:rFonts w:hint="default" w:ascii="Times New Roman" w:hAnsi="Times New Roman" w:eastAsia="Times New Roman" w:cs="Times New Roman"/>
        </w:rPr>
        <w:t xml:space="preserve">Além do efeito físico, destacou-se que a fadiga também tem um fator psicológico, relacionado à percepção de esforço e à redução da concentração, o que pode comprometer a capacidade de manter ajustes finos necessários à estabilidade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{"citationID":"1cwAaJNT","properties":{"formattedCitation":"[19]","plainCitation":"[19]","noteIndex":0},"citationItems":[{"id":339,"uris":["http://zotero.org/users/17274952/items/9539FXDG"],"itemData":{"id":339,"type":"article-journal","container-title":"Journal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[19]</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Outros fatores psicológicos também influenciam na qualidade do equilíbrio: em ginastas com maior ansiedade, observou-se pior desempenho, com maiores oscilações posturais. Já atletas com maior autoconfiança apresentaram</w:t>
      </w:r>
      <w:r>
        <w:rPr>
          <w:rFonts w:hint="default" w:ascii="Times New Roman" w:hAnsi="Times New Roman" w:eastAsia="Times New Roman" w:cs="Times New Roman"/>
          <w:b/>
        </w:rPr>
        <w:t xml:space="preserve"> </w:t>
      </w:r>
      <w:r>
        <w:rPr>
          <w:rFonts w:hint="default" w:ascii="Times New Roman" w:hAnsi="Times New Roman" w:eastAsia="Times New Roman" w:cs="Times New Roman"/>
        </w:rPr>
        <w:t xml:space="preserve">maior tempo de sustentação e menor variabilidade postural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{"citationID":"tXKlUqsZ","properties":{"formattedCitation":"[20]","plainCitation":"[20]","noteIndex":0},"citationItems":[{"id":343,"uris":["http://zotero.org/users/17274952/items/L7ZWVBWS"],"itemData":{"id":343,"type":"article-journal","abstract":"Background: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[20]</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Estudos comparando ginastas juniores e seniores demonstraram que a experiência esportiva se traduz em maior estabilidade tanto em pé quanto em posição invertida, indicando que o nível de equilíbrio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funciona como um parâmetro de desenvolvimento técnico e de desempenho competitivo</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{"citationID":"4bCNht1k","properties":{"formattedCitation":"[21], [22]","plainCitation":"[21], [22]","noteIndex":0},"citationItems":[{"id":347,"uris":["http://zotero.org/users/17274952/items/2VQLW2EI"],"itemData":{"id":347,"type":"article-journal","abstract":"Purpose: The aim of this study was to compare and analyse of relationships between stability indices registered in two positions: standing and handstand in athletes practicing gymnastics at various levels of advancement. Methods: The study included 46 athletes practicing gymnastics. The research tool was posturograph CQ-Stab 2P. Results: In both standing position and handstand in the seniors there were statistically significantly lower values of such indicators as: sway area delimited by the center of pressure ( p = 0.004, p = 0.014), mean amplitude of COP ( p = 0.021, p = 0.017), mean displacement of the center of feet/hands pressure in medio-lateral direction ( p = 0.011, p = 0.003) and maximal displacement of the center of feet/hands pressure in mediolateral direction ( p = 0.036, p = 0.036). In the standing position, seniors also had statistically significantly lower values of the statokinesiogram path length, both total ( p = 0.000) as well as in anteroposterior ( p = 0.001) and mediolateral ( p = 0.002) directions. In the seniors group there were statistically significant correlations between variables obtained in standing position and handstand. Conclusions: The level of sport advancement significantly differentiates the stability of a body in standing position and handstand. The seniors practicing gymnastics, compared to juniors, are characterized by a better ability to control the position of the body in both positions. The lack of relationships between stability indices registered in standing and handstand in juniors suggests that the analysis of the values of stability indices obtained in a standing position does not provide the possibility of predicting the ability to maintain balance in the handstand during the recruitment of candidates for gymnastics.","container-title":"Acta of Bioengineering and Biomechanics; 02/2018; ISSN 1509-409X","DOI":"10.5277/ABB-01110-2018-02","language":"en","note":"medium: PDF","publisher":"Institute of Machine Design and Operation, Wrocław University of Technology, Wrocław","source":"DOI.org (Datacite)","title":"Balance in handstand and postural stability in standing position in athletes practicing gymnastics","URL":"http://www.actabio.pwr.wroc.pl/Vol20No2/36.pdf","author":[{"family":"Omorczyk","given":"Jarosław"},{"family":"Bujas","given":"Przemysław"},{"family":"Puszczałowska-Lizis","given":"Ewa"},{"family":"Biskup","given":"Leon"}],"accessed":{"date-parts":[["2025",9,3]]},"issued":{"date-parts":[["2018"]]}}},{"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[21], [22]</w:t>
      </w:r>
      <w:r>
        <w:rPr>
          <w:rFonts w:hint="default" w:ascii="Times New Roman" w:hAnsi="Times New Roman" w:cs="Times New Roman"/>
        </w:rPr>
        <w:fldChar w:fldCharType="end"/>
      </w:r>
      <w:r>
        <w:rPr>
          <w:rFonts w:hint="default" w:ascii="Times New Roman" w:hAnsi="Times New Roman" w:eastAsia="Times New Roman" w:cs="Times New Roman"/>
        </w:rPr>
        <w:t>.</w:t>
      </w:r>
    </w:p>
    <w:p w14:paraId="4D72301D">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Em relação ao </w:t>
      </w:r>
      <w:r>
        <w:rPr>
          <w:rFonts w:hint="default" w:ascii="Times New Roman" w:hAnsi="Times New Roman" w:eastAsia="Times New Roman" w:cs="Times New Roman"/>
          <w:i/>
          <w:iCs/>
        </w:rPr>
        <w:t xml:space="preserve">HSW </w:t>
      </w:r>
      <w:r>
        <w:rPr>
          <w:rFonts w:hint="default" w:ascii="Times New Roman" w:hAnsi="Times New Roman" w:eastAsia="Times New Roman" w:cs="Times New Roman"/>
        </w:rPr>
        <w:t>estudos demonstram que a iniciação movimento envolve ajustes posturais antecipatórios (APAs) que promovem um deslocamento intencional do CoP, por estratégias posteriores ou anteriores, para propulsionar o centro de massa (CoM) à frente</w:t>
      </w:r>
      <w:r>
        <w:rPr>
          <w:rFonts w:hint="default" w:ascii="Times New Roman" w:hAnsi="Times New Roman" w:cs="Times New Roman"/>
        </w:rPr>
        <w:t xml:space="preserve">. </w:t>
      </w:r>
      <w:r>
        <w:rPr>
          <w:rFonts w:hint="default" w:ascii="Times New Roman" w:hAnsi="Times New Roman" w:eastAsia="Times New Roman" w:cs="Times New Roman"/>
        </w:rPr>
        <w:t xml:space="preserve">Embora essas estratégias preparatórias sejam diferentes, o resultado de execução do passo é similar, sugerindo redundância neuromuscular para alcançar o mesmo objetivo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{"citationID":"X1Ewbspc","properties":{"formattedCitation":"[23]","plainCitation":"[23]","noteIndex":0},"citationItems":[{"id":344,"uris":["http://zotero.org/users/17274952/items/IA4SHZ82"],"itemData":{"id":344,"type":"article-journal","abstract":"Background: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[23]</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Além disso, verificou-se que a aplicação de uma carga externa nos tornozelos não alterou o padrão desses APAs, mas aumentou a magnitude das forças envolvidas, indicando que os ginastas ajustam a intensidade, e não a forma, da preparação motora para iniciar a locomoção invertida.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{"citationID":"y0h2puxq","properties":{"formattedCitation":"[24]","plainCitation":"[24]","noteIndex":0},"citationItems":[{"id":341,"uris":["http://zotero.org/users/17274952/items/3CGH6KGH"],"itemData":{"id":341,"type":"article-journal","abstract":"Anticipatory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[24]</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Embora a cadência do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se assemelhe à da marcha bípede, 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é caracterizado por</w:t>
      </w:r>
      <w:r>
        <w:rPr>
          <w:rFonts w:hint="default" w:ascii="Times New Roman" w:hAnsi="Times New Roman" w:eastAsia="Times New Roman" w:cs="Times New Roman"/>
          <w:b/>
        </w:rPr>
        <w:t xml:space="preserve"> </w:t>
      </w:r>
      <w:r>
        <w:rPr>
          <w:rFonts w:hint="default" w:ascii="Times New Roman" w:hAnsi="Times New Roman" w:eastAsia="Times New Roman" w:cs="Times New Roman"/>
        </w:rPr>
        <w:t xml:space="preserve">passos mais curtos, base de suporte alargada e maior tempo em duplo suporte. Atletas mais experientes passam maior tempo em duplo suporte o que sugeriria um maior domínio do movimento ao priorizar um controle prolongado com ambas as mãos no solo, em detrimento de uma propulsão rápida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{"citationID":"tmVeMC2M","properties":{"formattedCitation":"[25]","plainCitation":"[25]","noteIndex":0},"citationItems":[{"id":342,"uris":["http://zotero.org/users/17274952/items/25HVULTT"],"itemData":{"id":342,"type":"article-journal","abstract":"Handwalking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[25]</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Em contraste ao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permanece pouco explorado na literatura científica. Deste modo, identificar preditores de desempenho nessa tarefa complexa representa uma contribuição relevante, pois pode apoiar treinadores e atletas no desenvolvimento de estratégias mais eficazes de preparação física e técnica</w:t>
      </w:r>
      <w:r>
        <w:rPr>
          <w:rFonts w:hint="default" w:ascii="Times New Roman" w:hAnsi="Times New Roman" w:cs="Times New Roman"/>
        </w:rPr>
        <w:t xml:space="preserve">. </w:t>
      </w:r>
    </w:p>
    <w:p w14:paraId="30AC9ABC">
      <w:pPr>
        <w:spacing w:line="360" w:lineRule="auto"/>
        <w:ind w:firstLine="426"/>
        <w:rPr>
          <w:rFonts w:hint="default" w:ascii="Times New Roman" w:hAnsi="Times New Roman" w:eastAsia="Times New Roman" w:cs="Times New Roman"/>
        </w:rPr>
      </w:pPr>
      <w:r>
        <w:rPr>
          <w:rFonts w:hint="default" w:ascii="Times New Roman" w:hAnsi="Times New Roman" w:eastAsia="Times New Roman" w:cs="Times New Roman"/>
        </w:rPr>
        <w:t xml:space="preserve">Sendo assim, torna-se relevante examinar de maneira integrada as variáveis que influenciam o desempenho tanto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quanto no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considerando sua interação e a diversidade de contextos esportivos. Estudos anteriores já demonstraram que a estabilidade em posição invertida envolve mecanismos neuromotores complexos, incluindo controle postural multissegmentar, ativação coordenada de músculos estabilizadores e mobilizadores, ajustes posturais antecipatórios e compensatórios, e integração sensório-motora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{"citationID":"U3ZsZOYN","properties":{"formattedCitation":"[2], [3], [7], [10]","plainCitation":"[2], [3], [7], [10]","noteIndex":0},"citationItems":[{"id":327,"uris":["http://zotero.org/users/17274952/items/7HMEIQK4"],"itemData":{"id":327,"type":"article-journal","abstract":"Despite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J."}],"issued":{"date-parts":[["2017",7]]}}},{"id":338,"uris":["http://zotero.org/users/17274952/items/JUTNAMC7"],"itemData":{"id":338,"type":"article-journal","abstract":"The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 [3], [7], [10]</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Contudo, a literatura disponível permanece limitada, pois a maioria das pesquisas restringe-se a amostras pequenas de ginastas experientes, negligenciando tanto a diversidade de modalidades quanto a interação entre fatores múltiplos. Além disso, variáveis como deslocamento do centro de pressão (CoP), estratégias de controle do centro de massa (CoM), tempo de sustentação, distância percorrida e força relativa em padrões específicos de empurrar têm sido frequentemente analisadas de forma isolada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{"citationID":"83pEsn7E","properties":{"formattedCitation":"[1], [3], [7], [13]","plainCitation":"[1], [3], [7], [13]","noteIndex":0},"citationItems":[{"id":333,"uris":["http://zotero.org/users/17274952/items/LV8KSPDR"],"itemData":{"id":333,"type":"article-journal","abstract":"Handstand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J."}],"issued":{"date-parts":[["2017",7]]}}},{"id":328,"uris":["http://zotero.org/users/17274952/items/PDH4GHVG"],"itemData":{"id":328,"type":"article-journal","journalAbbreviation":"Science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[1], [3], [7], [13]</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Ao contemplar participantes de diferentes contextos esportivos e investigar essas variáveis de maneira integrada, este estudo busca preencher essa lacuna e ampliar a compreensão sobre os elementos que sustentam a performance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w:t>
      </w:r>
      <w:r>
        <w:rPr>
          <w:rFonts w:hint="default" w:ascii="Times New Roman" w:hAnsi="Times New Roman" w:eastAsia="Times New Roman" w:cs="Times New Roman"/>
          <w:i/>
          <w:iCs/>
        </w:rPr>
        <w:t>HSW.</w:t>
      </w:r>
    </w:p>
    <w:p w14:paraId="03565C45">
      <w:pPr>
        <w:spacing w:line="360" w:lineRule="auto"/>
        <w:ind w:firstLine="426"/>
        <w:rPr>
          <w:rFonts w:hint="default" w:ascii="Times New Roman" w:hAnsi="Times New Roman" w:eastAsia="Times New Roman" w:cs="Times New Roman"/>
          <w:highlight w:val="none"/>
        </w:rPr>
      </w:pPr>
      <w:r>
        <w:rPr>
          <w:rFonts w:hint="default" w:ascii="Times New Roman" w:hAnsi="Times New Roman" w:eastAsia="Times New Roman" w:cs="Times New Roman"/>
          <w:highlight w:val="none"/>
        </w:rPr>
        <w:t xml:space="preserve">Dentre as variáveis de força, a literatura sugere que a estabilidade no </w:t>
      </w:r>
      <w:r>
        <w:rPr>
          <w:rFonts w:hint="default" w:ascii="Times New Roman" w:hAnsi="Times New Roman" w:eastAsia="Times New Roman" w:cs="Times New Roman"/>
          <w:i/>
          <w:iCs/>
          <w:highlight w:val="none"/>
        </w:rPr>
        <w:t xml:space="preserve">HS </w:t>
      </w:r>
      <w:r>
        <w:rPr>
          <w:rFonts w:hint="default" w:ascii="Times New Roman" w:hAnsi="Times New Roman" w:eastAsia="Times New Roman" w:cs="Times New Roman"/>
          <w:highlight w:val="none"/>
        </w:rPr>
        <w:t>depende de um equilíbrio ativo entre diferentes grupos musculares, com destaque para a atuação dos flexores de punho (flexor radial do carpo, flexor ulnar do carpo e palmar longo), do tríceps braquial e do deltoide anterior como principais contribuintes para a manutenção da posição invertida e para o controle das oscilações corporais</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lang w:val="pt-BR"/>
        </w:rPr>
        <w:fldChar w:fldCharType="begin"/>
      </w:r>
      <w:r>
        <w:rPr>
          <w:rFonts w:hint="default" w:ascii="Times New Roman" w:hAnsi="Times New Roman" w:eastAsia="Times New Roman" w:cs="Times New Roman"/>
          <w:highlight w:val="none"/>
          <w:lang w:val="pt-BR"/>
        </w:rPr>
        <w:instrText xml:space="preserve"> ADDIN ZOTERO_ITEM CSL_CITATION {"citationID":"YD3gAgGZ","properties":{"unsorted":false,"formattedCitation":"[6], [7]","plainCitation":"[6], [7]","noteIndex":0},"citationItems":[{"id":326,"uris":["http://zotero.org/users/17274952/items/A5MTUBXD"],"itemData":{"id":326,"type":"article-journal","abstract":"Kochanowicz,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hint="default" w:ascii="Times New Roman" w:hAnsi="Times New Roman" w:eastAsia="Times New Roman" w:cs="Times New Roman"/>
          <w:highlight w:val="none"/>
          <w:lang w:val="pt-BR"/>
        </w:rPr>
        <w:fldChar w:fldCharType="separate"/>
      </w:r>
      <w:r>
        <w:rPr>
          <w:rFonts w:hint="default" w:ascii="Times New Roman" w:hAnsi="Times New Roman" w:eastAsia="Times New Roman" w:cs="Times New Roman"/>
          <w:highlight w:val="none"/>
          <w:lang w:val="pt-BR"/>
        </w:rPr>
        <w:t>[6], [7]</w:t>
      </w:r>
      <w:r>
        <w:rPr>
          <w:rFonts w:hint="default" w:ascii="Times New Roman" w:hAnsi="Times New Roman" w:eastAsia="Times New Roman" w:cs="Times New Roman"/>
          <w:highlight w:val="none"/>
          <w:lang w:val="pt-BR"/>
        </w:rPr>
        <w:fldChar w:fldCharType="end"/>
      </w:r>
      <w:r>
        <w:rPr>
          <w:rFonts w:hint="default" w:ascii="Times New Roman" w:hAnsi="Times New Roman" w:eastAsia="Times New Roman" w:cs="Times New Roman"/>
          <w:highlight w:val="none"/>
        </w:rPr>
        <w:t xml:space="preserve">. Evidências indicam que a força relativa no </w:t>
      </w:r>
      <w:r>
        <w:rPr>
          <w:rFonts w:hint="default" w:ascii="Times New Roman" w:hAnsi="Times New Roman" w:eastAsia="Times New Roman" w:cs="Times New Roman"/>
          <w:i/>
          <w:iCs/>
          <w:highlight w:val="none"/>
        </w:rPr>
        <w:t>SP</w:t>
      </w:r>
      <w:r>
        <w:rPr>
          <w:rFonts w:hint="default" w:ascii="Times New Roman" w:hAnsi="Times New Roman" w:eastAsia="Times New Roman" w:cs="Times New Roman"/>
          <w:highlight w:val="none"/>
        </w:rPr>
        <w:t xml:space="preserve">, quando ajustada à massa corporal, apresenta forte correlação com o desempenho no </w:t>
      </w:r>
      <w:r>
        <w:rPr>
          <w:rFonts w:hint="default" w:ascii="Times New Roman" w:hAnsi="Times New Roman" w:eastAsia="Times New Roman" w:cs="Times New Roman"/>
          <w:i/>
          <w:iCs/>
          <w:highlight w:val="none"/>
        </w:rPr>
        <w:t>strict handstand push up</w:t>
      </w:r>
      <w:r>
        <w:rPr>
          <w:rFonts w:hint="default" w:ascii="Times New Roman" w:hAnsi="Times New Roman" w:eastAsia="Times New Roman" w:cs="Times New Roman"/>
          <w:highlight w:val="none"/>
        </w:rPr>
        <w:t xml:space="preserve"> [36], sugerindo que a força de empurrar acima da cabeça é um componente fundamental para executar movimentos dinâmicos</w:t>
      </w:r>
      <w:r>
        <w:rPr>
          <w:rFonts w:hint="default" w:ascii="Times New Roman" w:hAnsi="Times New Roman" w:eastAsia="Times New Roman" w:cs="Times New Roman"/>
          <w:highlight w:val="none"/>
          <w:lang w:val="pt-BR"/>
        </w:rPr>
        <w:t>. O que poderia tornar</w:t>
      </w:r>
      <w:r>
        <w:rPr>
          <w:rFonts w:hint="default" w:ascii="Times New Roman" w:hAnsi="Times New Roman" w:eastAsia="Times New Roman" w:cs="Times New Roman"/>
          <w:highlight w:val="none"/>
        </w:rPr>
        <w:t xml:space="preserve"> </w:t>
      </w:r>
      <w:r>
        <w:rPr>
          <w:rFonts w:hint="default" w:ascii="Times New Roman" w:hAnsi="Times New Roman" w:eastAsia="Times New Roman" w:cs="Times New Roman"/>
          <w:highlight w:val="none"/>
          <w:lang w:val="pt-BR"/>
        </w:rPr>
        <w:t>e</w:t>
      </w:r>
      <w:r>
        <w:rPr>
          <w:rFonts w:hint="default" w:ascii="Times New Roman" w:hAnsi="Times New Roman" w:eastAsia="Times New Roman" w:cs="Times New Roman"/>
          <w:highlight w:val="none"/>
        </w:rPr>
        <w:t>ssa capacidade de produção de força máxima</w:t>
      </w:r>
      <w:r>
        <w:rPr>
          <w:rFonts w:hint="default" w:ascii="Times New Roman" w:hAnsi="Times New Roman" w:eastAsia="Times New Roman" w:cs="Times New Roman"/>
          <w:highlight w:val="none"/>
          <w:lang w:val="pt-BR"/>
        </w:rPr>
        <w:t xml:space="preserve"> acima da cabeça</w:t>
      </w:r>
      <w:r>
        <w:rPr>
          <w:rFonts w:hint="default" w:ascii="Times New Roman" w:hAnsi="Times New Roman" w:eastAsia="Times New Roman" w:cs="Times New Roman"/>
          <w:highlight w:val="none"/>
        </w:rPr>
        <w:t xml:space="preserve"> também </w:t>
      </w:r>
      <w:r>
        <w:rPr>
          <w:rFonts w:hint="default" w:ascii="Times New Roman" w:hAnsi="Times New Roman" w:eastAsia="Times New Roman" w:cs="Times New Roman"/>
          <w:highlight w:val="none"/>
          <w:lang w:val="pt-BR"/>
        </w:rPr>
        <w:t>importante</w:t>
      </w:r>
      <w:r>
        <w:rPr>
          <w:rFonts w:hint="default" w:ascii="Times New Roman" w:hAnsi="Times New Roman" w:eastAsia="Times New Roman" w:cs="Times New Roman"/>
          <w:highlight w:val="none"/>
        </w:rPr>
        <w:t xml:space="preserve"> para tarefas de locomoção como o </w:t>
      </w:r>
      <w:r>
        <w:rPr>
          <w:rFonts w:hint="default" w:ascii="Times New Roman" w:hAnsi="Times New Roman" w:eastAsia="Times New Roman" w:cs="Times New Roman"/>
          <w:i/>
          <w:iCs/>
          <w:highlight w:val="none"/>
          <w:lang w:val="pt-BR"/>
        </w:rPr>
        <w:t>HSW</w:t>
      </w:r>
      <w:r>
        <w:rPr>
          <w:rFonts w:hint="default" w:ascii="Times New Roman" w:hAnsi="Times New Roman" w:eastAsia="Times New Roman" w:cs="Times New Roman"/>
          <w:highlight w:val="none"/>
        </w:rPr>
        <w:t>. Contudo, quando a demanda passa a ser a manutenção do equilíbrio na parada de mão estática (</w:t>
      </w:r>
      <w:r>
        <w:rPr>
          <w:rFonts w:hint="default" w:ascii="Times New Roman" w:hAnsi="Times New Roman" w:eastAsia="Times New Roman" w:cs="Times New Roman"/>
          <w:i/>
          <w:iCs/>
          <w:highlight w:val="none"/>
        </w:rPr>
        <w:t>HS</w:t>
      </w:r>
      <w:r>
        <w:rPr>
          <w:rFonts w:hint="default" w:ascii="Times New Roman" w:hAnsi="Times New Roman" w:eastAsia="Times New Roman" w:cs="Times New Roman"/>
          <w:highlight w:val="none"/>
        </w:rPr>
        <w:t xml:space="preserve">), investigações recentes utilizando modelos de </w:t>
      </w:r>
      <w:r>
        <w:rPr>
          <w:rFonts w:hint="default" w:ascii="Times New Roman" w:hAnsi="Times New Roman" w:eastAsia="Times New Roman" w:cs="Times New Roman"/>
          <w:i/>
          <w:iCs/>
          <w:highlight w:val="none"/>
        </w:rPr>
        <w:t xml:space="preserve">machine learning </w:t>
      </w:r>
      <w:r>
        <w:rPr>
          <w:rFonts w:hint="default" w:ascii="Times New Roman" w:hAnsi="Times New Roman" w:eastAsia="Times New Roman" w:cs="Times New Roman"/>
          <w:highlight w:val="none"/>
        </w:rPr>
        <w:t>demonstraram que testes de força geral apresentam acurácia preditiva reduzida (0,44) para determinar o desempenho técnico</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lang w:val="pt-BR"/>
        </w:rPr>
        <w:fldChar w:fldCharType="begin"/>
      </w:r>
      <w:r>
        <w:rPr>
          <w:rFonts w:hint="default" w:ascii="Times New Roman" w:hAnsi="Times New Roman" w:eastAsia="Times New Roman" w:cs="Times New Roman"/>
          <w:highlight w:val="none"/>
          <w:lang w:val="pt-BR"/>
        </w:rPr>
        <w:instrText xml:space="preserve"> ADDIN ZOTERO_ITEM CSL_CITATION {"citationID":"HLB0MNuO","properties":{"unsorted":false,"formattedCitation":"[26]","plainCitation":"[26]","noteIndex":0},"citationItems":[{"id":300,"uris":["http://zotero.org/users/17274952/items/GA9H6F87"],"itemData":{"id":300,"type":"article-journal","abstract":"The present study investigated the relationship between strength capacity and motor performance in the gymnastic handstand. The hypothesis stipulated a positive relationship between motor performance and strength capacity levels. Thirty-two university students, 16 female and 16 male (24.03 ± 4.74 years of age,) participated in the study. The handstand was assessed using the absolute error of the three angles produced by the model (video) and the three angles produced by the performer. We conducted four strength tests: explosive force, maximum right-hand grip strength, maximum left-hand grip strength, and resistance force. The machine learning model was trained using 10 of the folds and cross-validated, and a linear regression test was performed using motor performance (absolute error) and strength tests (explosive force, maximum force right-hand, maximum force left-hand, and resistance force). The results showed that the machine learning model indicated a low relationship between strength capacity and motor performance. Additionally, motor performance was not found to be related to strength capacity. The results may indicate that specific capacities and the interaction of factors such as task specificity, environment, and individual characteristics influence motor performance.","container-title":"Science of Gymnastics Journal","DOI":"10.52165/sgj.16.2.211-223","ISSN":"1855-7171, 2232-2639","issue":"2","journalAbbreviation":"SGJ","language":"en","license":"https://creativecommons.org/licenses/by-sa/4.0","page":"211-223","source":"DOI.org (Crossref)","title":"THE RELATIONSHIP BETWEEN STRENGTH CAPACITY AND MOTOR PERFORMANCE IN THE GYMNASTIC HANDSTAND: A MACHINE LEARNING STUDY","title-short":"THE RELATIONSHIP BETWEEN STRENGTH CAPACITY AND MOTOR PERFORMANCE IN THE GYMNASTIC HANDSTAND","volume":"16","author":[{"family":"Ambrósio","given":"Natália Fontes Alves"},{"family":"Lage","given":"Guilherme Menezes"},{"family":"Bicalho","given":"Lucas Eduardo Antunes"},{"family":"Couto","given":"Crislaine Rangel"},{"family":"Aleixo","given":"Ivana Montandon Soares"},{"family":"Apolinario-Souza","given":"Tercio"}],"issued":{"date-parts":[["2024",6,29]]}}}],"schema":"https://github.com/citation-style-language/schema/raw/master/csl-citation.json"} </w:instrText>
      </w:r>
      <w:r>
        <w:rPr>
          <w:rFonts w:hint="default" w:ascii="Times New Roman" w:hAnsi="Times New Roman" w:eastAsia="Times New Roman" w:cs="Times New Roman"/>
          <w:highlight w:val="none"/>
          <w:lang w:val="pt-BR"/>
        </w:rPr>
        <w:fldChar w:fldCharType="separate"/>
      </w:r>
      <w:r>
        <w:rPr>
          <w:rFonts w:hint="default" w:ascii="Times New Roman" w:hAnsi="Times New Roman" w:eastAsia="Times New Roman" w:cs="Times New Roman"/>
          <w:highlight w:val="none"/>
          <w:lang w:val="pt-BR"/>
        </w:rPr>
        <w:t>[26]</w:t>
      </w:r>
      <w:r>
        <w:rPr>
          <w:rFonts w:hint="default" w:ascii="Times New Roman" w:hAnsi="Times New Roman" w:eastAsia="Times New Roman" w:cs="Times New Roman"/>
          <w:highlight w:val="none"/>
          <w:lang w:val="pt-BR"/>
        </w:rPr>
        <w:fldChar w:fldCharType="end"/>
      </w:r>
      <w:r>
        <w:rPr>
          <w:rFonts w:hint="default" w:ascii="Times New Roman" w:hAnsi="Times New Roman" w:eastAsia="Times New Roman" w:cs="Times New Roman"/>
          <w:highlight w:val="none"/>
        </w:rPr>
        <w:t xml:space="preserve">. </w:t>
      </w:r>
      <w:r>
        <w:rPr>
          <w:rFonts w:hint="default" w:ascii="Times New Roman" w:hAnsi="Times New Roman" w:eastAsia="Times New Roman" w:cs="Times New Roman"/>
          <w:highlight w:val="none"/>
          <w:lang w:val="pt-BR"/>
        </w:rPr>
        <w:t>Fato este</w:t>
      </w:r>
      <w:r>
        <w:rPr>
          <w:rFonts w:hint="default" w:ascii="Times New Roman" w:hAnsi="Times New Roman" w:eastAsia="Times New Roman" w:cs="Times New Roman"/>
          <w:highlight w:val="none"/>
        </w:rPr>
        <w:t xml:space="preserve"> evidencia que na postura isométrica a força</w:t>
      </w:r>
      <w:r>
        <w:rPr>
          <w:rFonts w:hint="default" w:ascii="Times New Roman" w:hAnsi="Times New Roman" w:eastAsia="Times New Roman" w:cs="Times New Roman"/>
          <w:highlight w:val="none"/>
          <w:lang w:val="pt-BR"/>
        </w:rPr>
        <w:t xml:space="preserve"> geral</w:t>
      </w:r>
      <w:r>
        <w:rPr>
          <w:rFonts w:hint="default" w:ascii="Times New Roman" w:hAnsi="Times New Roman" w:eastAsia="Times New Roman" w:cs="Times New Roman"/>
          <w:highlight w:val="none"/>
        </w:rPr>
        <w:t xml:space="preserve"> atua primordialmente como um limiar de suporte estrutural</w:t>
      </w:r>
      <w:r>
        <w:rPr>
          <w:rFonts w:hint="default" w:ascii="Times New Roman" w:hAnsi="Times New Roman" w:eastAsia="Times New Roman" w:cs="Times New Roman"/>
          <w:highlight w:val="none"/>
          <w:lang w:val="pt-BR"/>
        </w:rPr>
        <w:t xml:space="preserve">, justificando  </w:t>
      </w:r>
      <w:r>
        <w:rPr>
          <w:rFonts w:hint="default" w:ascii="Times New Roman" w:hAnsi="Times New Roman" w:eastAsia="Times New Roman" w:cs="Times New Roman"/>
          <w:highlight w:val="none"/>
        </w:rPr>
        <w:t>avaliar capacidades neuromusculares com</w:t>
      </w:r>
      <w:r>
        <w:rPr>
          <w:rFonts w:hint="default" w:ascii="Times New Roman" w:hAnsi="Times New Roman" w:eastAsia="Times New Roman" w:cs="Times New Roman"/>
          <w:highlight w:val="none"/>
          <w:lang w:val="pt-BR"/>
        </w:rPr>
        <w:t xml:space="preserve"> maior</w:t>
      </w:r>
      <w:r>
        <w:rPr>
          <w:rFonts w:hint="default" w:ascii="Times New Roman" w:hAnsi="Times New Roman" w:eastAsia="Times New Roman" w:cs="Times New Roman"/>
          <w:highlight w:val="none"/>
        </w:rPr>
        <w:t xml:space="preserve"> especificidade biomecânica à tarefa, como o torque isolado de punho e a preensão manual.</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rPr>
        <w:t xml:space="preserve">Embora estudos prévios tenham reportado correlações entre testes genéricos, como o número de flexões de braço, e o tempo de sustentação no </w:t>
      </w:r>
      <w:r>
        <w:rPr>
          <w:rFonts w:hint="default" w:ascii="Times New Roman" w:hAnsi="Times New Roman" w:eastAsia="Times New Roman" w:cs="Times New Roman"/>
          <w:i/>
          <w:iCs/>
          <w:highlight w:val="none"/>
        </w:rPr>
        <w:t>HS</w:t>
      </w:r>
      <w:r>
        <w:rPr>
          <w:rFonts w:hint="default" w:ascii="Times New Roman" w:hAnsi="Times New Roman" w:eastAsia="Times New Roman" w:cs="Times New Roman"/>
          <w:i/>
          <w:iCs/>
          <w:highlight w:val="none"/>
          <w:lang w:val="pt-BR"/>
        </w:rPr>
        <w:t xml:space="preserve"> </w:t>
      </w:r>
      <w:r>
        <w:rPr>
          <w:rFonts w:hint="default" w:ascii="Times New Roman" w:hAnsi="Times New Roman" w:eastAsia="Times New Roman" w:cs="Times New Roman"/>
          <w:highlight w:val="none"/>
        </w:rPr>
        <w:fldChar w:fldCharType="begin"/>
      </w:r>
      <w:r>
        <w:rPr>
          <w:rFonts w:hint="default" w:ascii="Times New Roman" w:hAnsi="Times New Roman" w:eastAsia="Times New Roman" w:cs="Times New Roman"/>
          <w:highlight w:val="none"/>
          <w:lang w:val="pt-BR"/>
        </w:rPr>
        <w:instrText xml:space="preserve"> ADDIN ZOTERO_ITEM CSL_CITATION {"citationID":"8GvipozL","properties":{"unsorted":false,"formattedCitation":"[27]","plainCitation":"[27]","noteIndex":0},"citationItems":[{"id":319,"uris":["http://zotero.org/users/17274952/items/PUS5K2KW"],"itemData":{"id":319,"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Pr>
          <w:rFonts w:hint="default" w:ascii="Times New Roman" w:hAnsi="Times New Roman" w:eastAsia="Times New Roman" w:cs="Times New Roman"/>
          <w:highlight w:val="none"/>
        </w:rPr>
        <w:fldChar w:fldCharType="separate"/>
      </w:r>
      <w:r>
        <w:rPr>
          <w:rFonts w:hint="default" w:ascii="Times New Roman" w:hAnsi="Times New Roman" w:eastAsia="Times New Roman" w:cs="Times New Roman"/>
          <w:highlight w:val="none"/>
          <w:lang w:val="pt-BR"/>
        </w:rPr>
        <w:t>[27]</w:t>
      </w:r>
      <w:r>
        <w:rPr>
          <w:rFonts w:hint="default" w:ascii="Times New Roman" w:hAnsi="Times New Roman" w:eastAsia="Times New Roman" w:cs="Times New Roman"/>
          <w:highlight w:val="none"/>
        </w:rPr>
        <w:fldChar w:fldCharType="end"/>
      </w:r>
      <w:r>
        <w:rPr>
          <w:rFonts w:hint="default" w:ascii="Times New Roman" w:hAnsi="Times New Roman" w:eastAsia="Times New Roman" w:cs="Times New Roman"/>
          <w:highlight w:val="none"/>
        </w:rPr>
        <w:t>, tais achados</w:t>
      </w:r>
      <w:r>
        <w:rPr>
          <w:rFonts w:hint="default" w:ascii="Times New Roman" w:hAnsi="Times New Roman" w:eastAsia="Times New Roman" w:cs="Times New Roman"/>
          <w:highlight w:val="none"/>
          <w:lang w:val="pt-BR"/>
        </w:rPr>
        <w:t xml:space="preserve"> estão concentrados</w:t>
      </w:r>
      <w:r>
        <w:rPr>
          <w:rFonts w:hint="default" w:ascii="Times New Roman" w:hAnsi="Times New Roman" w:eastAsia="Times New Roman" w:cs="Times New Roman"/>
          <w:highlight w:val="none"/>
        </w:rPr>
        <w:t xml:space="preserve"> em ginastas jovens</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rPr>
        <w:t xml:space="preserve">Nesta fase do desenvolvimento esportivo, a força de base e a resistência geral ainda atuam como os principais fatores limitadores para a sustentação da massa corporal contra a gravidade </w:t>
      </w:r>
      <w:r>
        <w:rPr>
          <w:rFonts w:hint="default" w:ascii="Times New Roman" w:hAnsi="Times New Roman" w:eastAsia="Times New Roman" w:cs="Times New Roman"/>
          <w:highlight w:val="none"/>
        </w:rPr>
        <w:fldChar w:fldCharType="begin"/>
      </w:r>
      <w:r>
        <w:rPr>
          <w:rFonts w:hint="default" w:ascii="Times New Roman" w:hAnsi="Times New Roman" w:eastAsia="Times New Roman" w:cs="Times New Roman"/>
          <w:highlight w:val="none"/>
          <w:lang w:val="pt-BR"/>
        </w:rPr>
        <w:instrText xml:space="preserve"> ADDIN ZOTERO_ITEM CSL_CITATION {"citationID":"NAUZjkkb","properties":{"unsorted":false,"formattedCitation":"[28]","plainCitation":"[28]","noteIndex":0},"citationItems":[{"id":444,"uris":["http://zotero.org/users/17274952/items/2IPKX4GW"],"itemData":{"id":444,"type":"book","DOI":"10.4324/9781315203805","edition":"2","ISBN":"978-1-315-20380-5","language":"en","publisher":"Routledge","source":"DOI.org (Crossref)","title":"The Science of Gymnastics: Advanced Concepts","title-short":"The Science of Gymnastics","URL":"https://www.taylorfrancis.com/books/9781351789127","editor":[{"family":"Jemni","given":"Monèm"}],"accessed":{"date-parts":[["2026",9,1]]},"issued":{"date-parts":[["2017",12,22]]}}}],"schema":"https://github.com/citation-style-language/schema/raw/master/csl-citation.json"} </w:instrText>
      </w:r>
      <w:r>
        <w:rPr>
          <w:rFonts w:hint="default" w:ascii="Times New Roman" w:hAnsi="Times New Roman" w:eastAsia="Times New Roman" w:cs="Times New Roman"/>
          <w:highlight w:val="none"/>
        </w:rPr>
        <w:fldChar w:fldCharType="separate"/>
      </w:r>
      <w:r>
        <w:rPr>
          <w:rFonts w:hint="default" w:ascii="Times New Roman" w:hAnsi="Times New Roman" w:eastAsia="Times New Roman" w:cs="Times New Roman"/>
          <w:highlight w:val="none"/>
          <w:lang w:val="pt-BR"/>
        </w:rPr>
        <w:t>[28]</w:t>
      </w:r>
      <w:r>
        <w:rPr>
          <w:rFonts w:hint="default" w:ascii="Times New Roman" w:hAnsi="Times New Roman" w:eastAsia="Times New Roman" w:cs="Times New Roman"/>
          <w:highlight w:val="none"/>
        </w:rPr>
        <w:fldChar w:fldCharType="end"/>
      </w:r>
      <w:r>
        <w:rPr>
          <w:rFonts w:hint="default" w:ascii="Times New Roman" w:hAnsi="Times New Roman" w:eastAsia="Times New Roman" w:cs="Times New Roman"/>
          <w:highlight w:val="none"/>
        </w:rPr>
        <w:t xml:space="preserve">. No entanto, </w:t>
      </w:r>
      <w:r>
        <w:rPr>
          <w:rFonts w:hint="default" w:ascii="Times New Roman" w:hAnsi="Times New Roman" w:eastAsia="Times New Roman" w:cs="Times New Roman"/>
          <w:highlight w:val="none"/>
          <w:lang w:val="pt-BR"/>
        </w:rPr>
        <w:t>p</w:t>
      </w:r>
      <w:r>
        <w:rPr>
          <w:rFonts w:hint="default" w:ascii="Times New Roman" w:hAnsi="Times New Roman" w:eastAsia="Times New Roman" w:cs="Times New Roman"/>
          <w:highlight w:val="none"/>
        </w:rPr>
        <w:t>ara praticantes adultos e proficientes, extrapolar o desempenho de uma tarefa dinâmica no plano horizontal para justificar o controle estático vertical esbarra na mesma fragilidade preditiva apontada. Além da força máxima, a resistência muscular isométrica constitui um fator crítico, visto que a fadiga cumulativa dos membros superiores compromete a capacidade de realizar os ajustes posturais finos</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lang w:val="pt-BR"/>
        </w:rPr>
        <w:fldChar w:fldCharType="begin"/>
      </w:r>
      <w:r>
        <w:rPr>
          <w:rFonts w:hint="default" w:ascii="Times New Roman" w:hAnsi="Times New Roman" w:eastAsia="Times New Roman" w:cs="Times New Roman"/>
          <w:highlight w:val="none"/>
          <w:lang w:val="pt-BR"/>
        </w:rPr>
        <w:instrText xml:space="preserve"> ADDIN ZOTERO_ITEM CSL_CITATION {"citationID":"mBSVw794","properties":{"unsorted":false,"formattedCitation":"[14], [19]","plainCitation":"[14], [19]","noteIndex":0},"citationItems":[{"id":337,"uris":["http://zotero.org/users/17274952/items/89GK6CG5"],"itemData":{"id":337,"type":"article-journal","abstract":"Background/Objectives: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eastAsia="Times New Roman" w:cs="Times New Roman"/>
          <w:highlight w:val="none"/>
          <w:lang w:val="pt-BR"/>
        </w:rPr>
        <w:fldChar w:fldCharType="separate"/>
      </w:r>
      <w:r>
        <w:rPr>
          <w:rFonts w:hint="default" w:ascii="Times New Roman" w:hAnsi="Times New Roman" w:eastAsia="Times New Roman" w:cs="Times New Roman"/>
          <w:highlight w:val="none"/>
          <w:lang w:val="pt-BR"/>
        </w:rPr>
        <w:t>[14], [19]</w:t>
      </w:r>
      <w:r>
        <w:rPr>
          <w:rFonts w:hint="default" w:ascii="Times New Roman" w:hAnsi="Times New Roman" w:eastAsia="Times New Roman" w:cs="Times New Roman"/>
          <w:highlight w:val="none"/>
          <w:lang w:val="pt-BR"/>
        </w:rPr>
        <w:fldChar w:fldCharType="end"/>
      </w:r>
      <w:r>
        <w:rPr>
          <w:rFonts w:hint="default" w:ascii="Times New Roman" w:hAnsi="Times New Roman" w:eastAsia="Times New Roman" w:cs="Times New Roman"/>
          <w:highlight w:val="none"/>
          <w:lang w:val="pt-BR"/>
        </w:rPr>
        <w:t>. Visto isso,</w:t>
      </w:r>
      <w:r>
        <w:rPr>
          <w:rFonts w:hint="default" w:ascii="Times New Roman" w:hAnsi="Times New Roman" w:eastAsia="Times New Roman" w:cs="Times New Roman"/>
          <w:highlight w:val="none"/>
        </w:rPr>
        <w:t xml:space="preserve"> a interação combinada entre resistência muscular específica na inversão, capacidade máxima de força distal e alinhamento articular no desempenho dessas diferentes habilidades</w:t>
      </w:r>
      <w:r>
        <w:rPr>
          <w:rFonts w:hint="default" w:ascii="Times New Roman" w:hAnsi="Times New Roman" w:eastAsia="Times New Roman" w:cs="Times New Roman"/>
          <w:highlight w:val="none"/>
          <w:lang w:val="pt-BR"/>
        </w:rPr>
        <w:t xml:space="preserve"> permanece </w:t>
      </w:r>
      <w:r>
        <w:rPr>
          <w:rFonts w:hint="default" w:ascii="Times New Roman" w:hAnsi="Times New Roman" w:eastAsia="Times New Roman" w:cs="Times New Roman"/>
          <w:highlight w:val="none"/>
        </w:rPr>
        <w:t>inexplorada .</w:t>
      </w:r>
    </w:p>
    <w:p w14:paraId="16D2B967">
      <w:pPr>
        <w:spacing w:line="360" w:lineRule="auto"/>
        <w:ind w:firstLine="426"/>
        <w:rPr>
          <w:rFonts w:hint="default" w:ascii="Times New Roman" w:hAnsi="Times New Roman" w:eastAsia="Times New Roman" w:cs="Times New Roman"/>
        </w:rPr>
      </w:pPr>
      <w:r>
        <w:rPr>
          <w:rFonts w:hint="default" w:ascii="Times New Roman" w:hAnsi="Times New Roman" w:eastAsia="Times New Roman" w:cs="Times New Roman"/>
        </w:rPr>
        <w:t xml:space="preserve">As variáveis antropométricas, como o comprimento dos membros, a altura do centro de massa (CoM) e a composição corporal, têm sido apontadas pela literatura como potenciais influenciadoras da estabilidade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{"citationID":"YPnn2fvP","properties":{"formattedCitation":"[29], [30]","plainCitation":"[29], [30]","noteIndex":0},"citationItems":[{"id":323,"uris":["http://zotero.org/users/17274952/items/JY2NY8BU"],"itemData":{"id":323,"type":"book","call-number":"612.76","edition":"4th ed","ISBN":"978-0-470-39818-0","language":"en","publisher":"Wiley","publisher-place":"Hoboken, N.J","source":"BnF ISBN","title":"Biomechanics and motor control of human movement","author":[{"family":"Winter","given":"David A."}],"issued":{"date-parts":[["2009"]]}}},{"id":322,"uris":["http://zotero.org/users/17274952/items/MRLWC2VI"],"itemData":{"id":322,"type":"article-journal","abstract":"This study provides a comparative analysis of certain features of upright and inverted stance in collegiate-level competitive gymnastic and diving athletes. A particular focus was the compensatory movement strategies used to maintain inverted stance. The analyses revealed that the motion of the center of pressure was significantly greater in the hand stance as opposed to the upright stance condition. Instability increased over the duration of a 15-s hand stance trial, and it was paralleled by the introduction of a small set of compensatory movement strategies that included enhanced motion at the distal segments of the legs and at the elbow joint. The compensatory movement strategies appeared to be in support of minimizing variability of motion in the head and trunk. The relative contribution of the principal sources of this instability in the hand stance remains to be determined.","container-title":"Journal of Applied Biomechanics","DOI":"10.1123/jab.12.2.185","ISSN":"1065-8483, 1543-2688","issue":"2","page":"185-196","source":"DOI.org (Crossref)","title":"Postural Dynamics in Upright and Inverted Stances","volume":"12","author":[{"family":"Slobounov","given":"Semyon M."},{"family":"Newell","given":"Karl M."}],"issued":{"date-parts":[["1996",5]]}}}],"schema":"https://github.com/citation-style-language/schema/raw/master/csl-citation.json"}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[29], [30]</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Membros superiores mais longos podem atuar como alavancas mecânicas mais eficientes, pois pequenos movimentos articulares em punho ou ombro (pequenos ângulos) resultam em deslocamentos significativos do CoM, o que potencialmente favorece correções posturais mais precisas e econômicas. Além disso, a maior envergadura poderia ampliar a base de apoio, conferindo ganhos adicionais de estabilidade mediolateral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{"citationID":"D1SdbLKD","properties":{"formattedCitation":"[31], [32]","plainCitation":"[31], [32]","noteIndex":0},"citationItems":[{"id":46,"uris":["http://zotero.org/users/17274952/items/J9KKGBUR"],"itemData":{"id":46,"type":"article-journal","abstract":"The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321,"uris":["http://zotero.org/users/17274952/items/XYE5CT4P"],"itemData":{"id":321,"type":"article-journal","abstract":"This study tested the hypotheses that all major joints along the longitudinal axis of the body are equally active during quiet standing and that their motions are coordinated to stabilize the spatial positions of the center of mass (CM) and head. Analyses of the effect of joint configuration variance on the stability of the CM and head positions were performed using the uncontrolled manifold (UCM) approach. Subjects stood quietly with arms folded across their chests for three 5-min trials each with and without vision. The UCM analysis revealed that the six joints examined were coordinated such that their combined variance had minimal effect on the CM and head positions. Removing vision led to a structuring of the resulting increased joint variance such that little of the increase affected stability of the CM and head positions. The results reveal a control strategy involving coordinated variations of most major joints to stabilize variables important to postural control during quiet stance.","container-title":"Journal of Neurophysiology","DOI":"10.1152/jn.01142.2006","ISSN":"0022-3077, 1522-1598","issue":"4","journalAbbreviation":"Journal of Neurophysiology","language":"en","page":"3024-3035","source":"DOI.org (Crossref)","title":"Control and Estimation of Posture During Quiet Stance Depends on Multijoint Coordination","volume":"97","author":[{"family":"Hsu","given":"Wei-Li"},{"family":"Scholz","given":"John P."},{"family":"Schöner","given":"Gregor"},{"family":"Jeka","given":"John J."},{"family":"Kiemel","given":"Tim"}],"issued":{"date-parts":[["2007",4]]}}}],"schema":"https://github.com/citation-style-language/schema/raw/master/csl-citation.json"}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[31], [32]</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Por outro lado, membros mais longos também aumentam o braço de momento e, consequentemente, as exigências sobre o controle ativo, o que pode representar uma limitação em situações de maior instabilidade. Já membros inferiores longos elevam a altura do CoM e ampliam o braço de momento gravitacional, exigindo ajustes posturais mais frequentes e precisos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{"citationID":"zVC4VZGQ","properties":{"formattedCitation":"[33]","plainCitation":"[33]","noteIndex":0},"citationItems":[{"id":320,"uris":["http://zotero.org/users/17274952/items/KFMAKKGW"],"itemData":{"id":320,"type":"article-journal","container-title":"PLOS ONE","DOI":"10.1371/journal.pone.0126379","ISSN":"1932-6203","issue":"5","journalAbbreviation":"PLoS ONE","language":"en","page":"e0126379","source":"DOI.org (Crossref)","title":"Models of Postural Control: Shared Variance in Joint and COM Motions","title-short":"Models of Postural Control","volume":"10","author":[{"family":"Kilby","given":"Melissa C."},{"family":"Molenaar","given":"Peter C. M."},{"family":"Newell","given":"Karl M."}],"editor":[{"family":"Haddad","given":"Jeffrey M"}],"issued":{"date-parts":[["2015",5,14]]}}}],"schema":"https://github.com/citation-style-language/schema/raw/master/csl-citation.json"}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[33]</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Quanto à composição corporal, evidências sugerem que maior massa muscular nos membros superiores tende a favorecer a força de sustentação, enquanto níveis mais elevados de adiposidade podem aumentar a inércia corporal e dificultar ajustes finos de equilíbrio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{"citationID":"owvTh3Sb","properties":{"formattedCitation":"[7]","plainCitation":"[7]","noteIndex":0},"citationItems":[{"id":325,"uris":["http://zotero.org/users/17274952/items/V4I6DHIC"],"itemData":{"id":325,"type":"article-journal","abstract":"Insights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[7]</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w:t>
      </w:r>
    </w:p>
    <w:p w14:paraId="2D1F72CB">
      <w:pPr>
        <w:spacing w:line="360" w:lineRule="auto"/>
        <w:ind w:firstLine="426"/>
        <w:rPr>
          <w:rFonts w:hint="default" w:ascii="Times New Roman" w:hAnsi="Times New Roman" w:eastAsia="Times New Roman" w:cs="Times New Roman"/>
          <w:highlight w:val="none"/>
        </w:rPr>
      </w:pPr>
      <w:r>
        <w:rPr>
          <w:rFonts w:hint="default" w:ascii="Times New Roman" w:hAnsi="Times New Roman" w:eastAsia="SimSun" w:cs="Times New Roman"/>
          <w:sz w:val="24"/>
          <w:szCs w:val="24"/>
          <w:highlight w:val="none"/>
        </w:rPr>
        <w:t xml:space="preserve">Adicionalmente, indicadores de controle postural têm sido amplamente empregados para caracterizar a estabilidade em posição invertida. No </w:t>
      </w:r>
      <w:r>
        <w:rPr>
          <w:rFonts w:hint="default" w:ascii="Times New Roman" w:hAnsi="Times New Roman" w:eastAsia="SimSun" w:cs="Times New Roman"/>
          <w:i/>
          <w:iCs/>
          <w:sz w:val="24"/>
          <w:szCs w:val="24"/>
          <w:highlight w:val="none"/>
        </w:rPr>
        <w:t>HS</w:t>
      </w:r>
      <w:r>
        <w:rPr>
          <w:rFonts w:hint="default" w:ascii="Times New Roman" w:hAnsi="Times New Roman" w:eastAsia="SimSun" w:cs="Times New Roman"/>
          <w:sz w:val="24"/>
          <w:szCs w:val="24"/>
          <w:highlight w:val="none"/>
        </w:rPr>
        <w:t>, espera-se que uma maior proficiência e tempo de sustentação estejam associados a menores oscilações do CoP e a uma menor entropia aproximada (ApEn), refletindo maior regularidade e automaticidade neuromotora</w:t>
      </w:r>
      <w:r>
        <w:rPr>
          <w:rFonts w:hint="default" w:ascii="Times New Roman" w:hAnsi="Times New Roman" w:eastAsia="SimSun" w:cs="Times New Roman"/>
          <w:sz w:val="24"/>
          <w:szCs w:val="24"/>
          <w:highlight w:val="none"/>
          <w:lang w:val="pt-BR"/>
        </w:rPr>
        <w:t xml:space="preserve"> </w:t>
      </w:r>
      <w:r>
        <w:rPr>
          <w:rFonts w:hint="default" w:ascii="Times New Roman" w:hAnsi="Times New Roman" w:eastAsia="SimSun" w:cs="Times New Roman"/>
          <w:sz w:val="24"/>
          <w:szCs w:val="24"/>
          <w:highlight w:val="none"/>
          <w:lang w:val="pt-BR"/>
        </w:rPr>
        <w:fldChar w:fldCharType="begin"/>
      </w:r>
      <w:r>
        <w:rPr>
          <w:rFonts w:hint="default" w:ascii="Times New Roman" w:hAnsi="Times New Roman" w:eastAsia="SimSun" w:cs="Times New Roman"/>
          <w:sz w:val="24"/>
          <w:szCs w:val="24"/>
          <w:highlight w:val="none"/>
          <w:lang w:val="pt-BR"/>
        </w:rPr>
        <w:instrText xml:space="preserve"> ADDIN ZOTERO_ITEM CSL_CITATION {"citationID":"QAf5YWPP","properties":{"unsorted":false,"formattedCitation":"[4]","plainCitation":"[4]","noteIndex":0},"citationItems":[{"id":345,"uris":["http://zotero.org/users/17274952/items/RI8HJ578"],"itemData":{"id":345,"type":"article-journal","abstract":"Abstract\n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w:instrText>
      </w:r>
      <w:r>
        <w:rPr>
          <w:rFonts w:hint="default" w:ascii="Times New Roman" w:hAnsi="Times New Roman" w:eastAsia="SimSun" w:cs="Times New Roman"/>
          <w:sz w:val="24"/>
          <w:szCs w:val="24"/>
          <w:highlight w:val="none"/>
          <w:lang w:val="pt-BR"/>
        </w:rPr>
        <w:fldChar w:fldCharType="separate"/>
      </w:r>
      <w:r>
        <w:rPr>
          <w:rFonts w:hint="default" w:ascii="Times New Roman" w:hAnsi="Times New Roman" w:eastAsia="SimSun" w:cs="Times New Roman"/>
          <w:sz w:val="24"/>
          <w:szCs w:val="24"/>
          <w:highlight w:val="none"/>
          <w:lang w:val="pt-BR"/>
        </w:rPr>
        <w:t>[4]</w:t>
      </w:r>
      <w:r>
        <w:rPr>
          <w:rFonts w:hint="default" w:ascii="Times New Roman" w:hAnsi="Times New Roman" w:eastAsia="SimSun" w:cs="Times New Roman"/>
          <w:sz w:val="24"/>
          <w:szCs w:val="24"/>
          <w:highlight w:val="none"/>
          <w:lang w:val="pt-BR"/>
        </w:rPr>
        <w:fldChar w:fldCharType="end"/>
      </w:r>
      <w:r>
        <w:rPr>
          <w:rFonts w:hint="default" w:ascii="Times New Roman" w:hAnsi="Times New Roman" w:eastAsia="SimSun" w:cs="Times New Roman"/>
          <w:sz w:val="24"/>
          <w:szCs w:val="24"/>
          <w:highlight w:val="none"/>
        </w:rPr>
        <w:t xml:space="preserve"> . No entanto, diferentemente da análise isolada da variabilidade do CoP</w:t>
      </w:r>
      <w:r>
        <w:rPr>
          <w:rFonts w:hint="default" w:ascii="Times New Roman" w:hAnsi="Times New Roman" w:eastAsia="SimSun" w:cs="Times New Roman"/>
          <w:sz w:val="24"/>
          <w:szCs w:val="24"/>
          <w:highlight w:val="none"/>
          <w:lang w:val="pt-BR"/>
        </w:rPr>
        <w:t xml:space="preserve">, </w:t>
      </w:r>
      <w:r>
        <w:rPr>
          <w:rFonts w:hint="default" w:ascii="Times New Roman" w:hAnsi="Times New Roman" w:eastAsia="SimSun" w:cs="Times New Roman"/>
          <w:sz w:val="24"/>
          <w:szCs w:val="24"/>
          <w:highlight w:val="none"/>
        </w:rPr>
        <w:t xml:space="preserve">que expressa primordialmente a magnitude e a frequência do esforço neuromuscular corretivo aplicado sobre a base de apoio, a distância instantânea entre o CoP e a projeção vertical </w:t>
      </w:r>
      <w:r>
        <w:rPr>
          <w:rFonts w:hint="default" w:ascii="Times New Roman" w:hAnsi="Times New Roman" w:eastAsia="SimSun" w:cs="Times New Roman"/>
          <w:sz w:val="24"/>
          <w:szCs w:val="24"/>
          <w:highlight w:val="none"/>
          <w:lang w:val="pt-BR"/>
        </w:rPr>
        <w:t>CoM</w:t>
      </w:r>
      <w:r>
        <w:rPr>
          <w:rFonts w:hint="default" w:ascii="Times New Roman" w:hAnsi="Times New Roman" w:eastAsia="SimSun" w:cs="Times New Roman"/>
          <w:sz w:val="24"/>
          <w:szCs w:val="24"/>
          <w:highlight w:val="none"/>
        </w:rPr>
        <w:t xml:space="preserve"> assume papel central como medida primária do erro real de equilíbrio</w:t>
      </w:r>
      <w:r>
        <w:rPr>
          <w:rFonts w:hint="default" w:ascii="Times New Roman" w:hAnsi="Times New Roman" w:eastAsia="SimSun" w:cs="Times New Roman"/>
          <w:sz w:val="24"/>
          <w:szCs w:val="24"/>
          <w:highlight w:val="none"/>
          <w:lang w:val="pt-BR"/>
        </w:rPr>
        <w:t xml:space="preserve"> </w:t>
      </w:r>
      <w:r>
        <w:rPr>
          <w:rFonts w:hint="default" w:ascii="Times New Roman" w:hAnsi="Times New Roman" w:eastAsia="SimSun" w:cs="Times New Roman"/>
          <w:sz w:val="24"/>
          <w:szCs w:val="24"/>
          <w:highlight w:val="none"/>
          <w:lang w:val="pt-BR"/>
        </w:rPr>
        <w:fldChar w:fldCharType="begin"/>
      </w:r>
      <w:r>
        <w:rPr>
          <w:rFonts w:hint="default" w:ascii="Times New Roman" w:hAnsi="Times New Roman" w:eastAsia="SimSun" w:cs="Times New Roman"/>
          <w:sz w:val="24"/>
          <w:szCs w:val="24"/>
          <w:highlight w:val="none"/>
          <w:lang w:val="pt-BR"/>
        </w:rPr>
        <w:instrText xml:space="preserve"> ADDIN ZOTERO_ITEM CSL_CITATION {"citationID":"TlvMcXaL","properties":{"unsorted":false,"formattedCitation":"[34], [35]","plainCitation":"[34], [35]","noteIndex":0},"citationItems":[{"id":25,"uris":["http://zotero.org/users/17274952/items/BI58LU3J"],"itemData":{"id":25,"type":"article-journal","abstract":"Movements of the whole-body center of mass during quiet standing have been estimated from measurements of body segment movements. These whole-body center of mass movements have been compared with movements of the center of mass as predicted from a simple inverted-pendulum model of standing. However, the total body center of mass is a weighted average of the center of mass of all individual body segments. The question arises as to how well the total body center of mass represents the individual segments and lower limb joint angles. This study focuses on the validity of how well the individual segments and lower limb angles temporally and spatially synchronize with the total body center of mass. Eleven healthy university students volunteered to participate. Kinematic data were collected using a 3D optoelectronic camera system; kinetic data were collected using a 3D force plate. Participants stood quietly, with eyes open, for 120 s. Segment and whole body centers of mass were calculated from a 14 segment, 3D bilateral model. Segment and joint angles were calculated for the lower limbs, bilaterally, and the trunk. Segment center of mass root-mean-square displacements were strongly correlated with center of mass height relative to the ankle joint and were synchronized, or temporally locked, to the movement of the whole body center of mass. Sagittal plane ankle angular displacements were highly correlated to sagittal plane center of mass movement; stronger correlations between body center of mass and lower limb angular displacement were observed, the result of compensatory knee joint angular displacements. These data support and extend the use of an inverted pendulum model to represent quiet standing postural control.","container-title":"Gait &amp; Posture","DOI":"10.1016/S0966-6362(03)00037-7","ISSN":"09666362","issue":"2","journalAbbreviation":"Gait &amp; Posture","language":"en","license":"https://www.elsevier.com/tdm/userlicense/1.0/","page":"124-132","source":"DOI.org (Crossref)","title":"Kinematic and kinetic validity of the inverted pendulum model in quiet standing","volume":"19","author":[{"family":"Gage","given":"William H."},{"family":"Winter","given":"David A."},{"family":"Frank","given":"James S."},{"family":"Adkin","given":"Allan L."}],"issued":{"date-parts":[["2004",4]]}}},{"id":298,"uris":["http://zotero.org/users/17274952/items/VIE3FHTV"],"itemData":{"id":298,"type":"article-journal","container-title":"Gait &amp; Posture","DOI":"10.1016/0966-6362(96)82849-9","ISSN":"09666362","issue":"4","journalAbbreviation":"Gait &amp; Posture","language":"en","license":"https://www.elsevier.com/tdm/userlicense/1.0/","page":"193-214","source":"DOI.org (Crossref)","title":"Human balance and posture control during standing and walking","volume":"3","author":[{"family":"Winter","given":"Da"}],"issued":{"date-parts":[["1995",12]]}}}],"schema":"https://github.com/citation-style-language/schema/raw/master/csl-citation.json"} </w:instrText>
      </w:r>
      <w:r>
        <w:rPr>
          <w:rFonts w:hint="default" w:ascii="Times New Roman" w:hAnsi="Times New Roman" w:eastAsia="SimSun" w:cs="Times New Roman"/>
          <w:sz w:val="24"/>
          <w:szCs w:val="24"/>
          <w:highlight w:val="none"/>
          <w:lang w:val="pt-BR"/>
        </w:rPr>
        <w:fldChar w:fldCharType="separate"/>
      </w:r>
      <w:r>
        <w:rPr>
          <w:rFonts w:hint="default" w:ascii="Times New Roman" w:hAnsi="Times New Roman" w:eastAsia="SimSun" w:cs="Times New Roman"/>
          <w:sz w:val="24"/>
          <w:szCs w:val="24"/>
          <w:highlight w:val="none"/>
          <w:lang w:val="pt-BR"/>
        </w:rPr>
        <w:t>[34], [35]</w:t>
      </w:r>
      <w:r>
        <w:rPr>
          <w:rFonts w:hint="default" w:ascii="Times New Roman" w:hAnsi="Times New Roman" w:eastAsia="SimSun" w:cs="Times New Roman"/>
          <w:sz w:val="24"/>
          <w:szCs w:val="24"/>
          <w:highlight w:val="none"/>
          <w:lang w:val="pt-BR"/>
        </w:rPr>
        <w:fldChar w:fldCharType="end"/>
      </w:r>
      <w:r>
        <w:rPr>
          <w:rFonts w:hint="default" w:ascii="Times New Roman" w:hAnsi="Times New Roman" w:eastAsia="SimSun" w:cs="Times New Roman"/>
          <w:sz w:val="24"/>
          <w:szCs w:val="24"/>
          <w:highlight w:val="none"/>
        </w:rPr>
        <w:t xml:space="preserve">. Sob a ótica do modelo biomecânico do pêndulo invertido, a aceleração horizontal do corpo é diretamente proporcional ao distanciamento espacial entre o CoP e o CoM. Enquanto uma alta oscilação do CoP pode indicar apenas uma atividade muscular intensa (que pode ou não ser eficiente na estabilização), a magnitude da distância CoP-CoM quantifica o braço de momento da força gravitacional: quanto maior esse distanciamento, maior o torque desestabilizador imposto ao sistema e menor a eficiência do controle postural </w:t>
      </w:r>
      <w:r>
        <w:rPr>
          <w:rFonts w:hint="default" w:ascii="Times New Roman" w:hAnsi="Times New Roman" w:eastAsia="SimSun" w:cs="Times New Roman"/>
          <w:sz w:val="24"/>
          <w:szCs w:val="24"/>
          <w:highlight w:val="none"/>
        </w:rPr>
        <w:fldChar w:fldCharType="begin"/>
      </w:r>
      <w:r>
        <w:rPr>
          <w:rFonts w:hint="default" w:ascii="Times New Roman" w:hAnsi="Times New Roman" w:eastAsia="SimSun" w:cs="Times New Roman"/>
          <w:sz w:val="24"/>
          <w:szCs w:val="24"/>
          <w:highlight w:val="none"/>
          <w:lang w:val="pt-BR"/>
        </w:rPr>
        <w:instrText xml:space="preserve"> ADDIN ZOTERO_ITEM CSL_CITATION {"citationID":"KV0wcDFY","properties":{"unsorted":false,"formattedCitation":"[34], [35]","plainCitation":"[34], [35]","noteIndex":0},"citationItems":[{"id":25,"uris":["http://zotero.org/users/17274952/items/BI58LU3J"],"itemData":{"id":25,"type":"article-journal","abstract":"Movements of the whole-body center of mass during quiet standing have been estimated from measurements of body segment movements. These whole-body center of mass movements have been compared with movements of the center of mass as predicted from a simple inverted-pendulum model of standing. However, the total body center of mass is a weighted average of the center of mass of all individual body segments. The question arises as to how well the total body center of mass represents the individual segments and lower limb joint angles. This study focuses on the validity of how well the individual segments and lower limb angles temporally and spatially synchronize with the total body center of mass. Eleven healthy university students volunteered to participate. Kinematic data were collected using a 3D optoelectronic camera system; kinetic data were collected using a 3D force plate. Participants stood quietly, with eyes open, for 120 s. Segment and whole body centers of mass were calculated from a 14 segment, 3D bilateral model. Segment and joint angles were calculated for the lower limbs, bilaterally, and the trunk. Segment center of mass root-mean-square displacements were strongly correlated with center of mass height relative to the ankle joint and were synchronized, or temporally locked, to the movement of the whole body center of mass. Sagittal plane ankle angular displacements were highly correlated to sagittal plane center of mass movement; stronger correlations between body center of mass and lower limb angular displacement were observed, the result of compensatory knee joint angular displacements. These data support and extend the use of an inverted pendulum model to represent quiet standing postural control.","container-title":"Gait &amp; Posture","DOI":"10.1016/S0966-6362(03)00037-7","ISSN":"09666362","issue":"2","journalAbbreviation":"Gait &amp; Posture","language":"en","license":"https://www.elsevier.com/tdm/userlicense/1.0/","page":"124-132","source":"DOI.org (Crossref)","title":"Kinematic and kinetic validity of the inverted pendulum model in quiet standing","volume":"19","author":[{"family":"Gage","given":"William H."},{"family":"Winter","given":"David A."},{"family":"Frank","given":"James S."},{"family":"Adkin","given":"Allan L."}],"issued":{"date-parts":[["2004",4]]}}},{"id":298,"uris":["http://zotero.org/users/17274952/items/VIE3FHTV"],"itemData":{"id":298,"type":"article-journal","container-title":"Gait &amp; Posture","DOI":"10.1016/0966-6362(96)82849-9","ISSN":"09666362","issue":"4","journalAbbreviation":"Gait &amp; Posture","language":"en","license":"https://www.elsevier.com/tdm/userlicense/1.0/","page":"193-214","source":"DOI.org (Crossref)","title":"Human balance and posture control during standing and walking","volume":"3","author":[{"family":"Winter","given":"Da"}],"issued":{"date-parts":[["1995",12]]}}}],"schema":"https://github.com/citation-style-language/schema/raw/master/csl-citation.json"} </w:instrText>
      </w:r>
      <w:r>
        <w:rPr>
          <w:rFonts w:hint="default" w:ascii="Times New Roman" w:hAnsi="Times New Roman" w:eastAsia="SimSun" w:cs="Times New Roman"/>
          <w:sz w:val="24"/>
          <w:szCs w:val="24"/>
          <w:highlight w:val="none"/>
        </w:rPr>
        <w:fldChar w:fldCharType="separate"/>
      </w:r>
      <w:r>
        <w:rPr>
          <w:rFonts w:hint="default" w:ascii="Times New Roman" w:hAnsi="Times New Roman" w:eastAsia="SimSun" w:cs="Times New Roman"/>
          <w:sz w:val="24"/>
          <w:szCs w:val="24"/>
          <w:highlight w:val="none"/>
          <w:lang w:val="pt-BR"/>
        </w:rPr>
        <w:t>[34], [35]</w:t>
      </w:r>
      <w:r>
        <w:rPr>
          <w:rFonts w:hint="default" w:ascii="Times New Roman" w:hAnsi="Times New Roman" w:eastAsia="SimSun" w:cs="Times New Roman"/>
          <w:sz w:val="24"/>
          <w:szCs w:val="24"/>
          <w:highlight w:val="none"/>
        </w:rPr>
        <w:fldChar w:fldCharType="end"/>
      </w:r>
      <w:r>
        <w:rPr>
          <w:rFonts w:hint="default" w:ascii="Times New Roman" w:hAnsi="Times New Roman" w:eastAsia="SimSun" w:cs="Times New Roman"/>
          <w:sz w:val="24"/>
          <w:szCs w:val="24"/>
          <w:highlight w:val="none"/>
        </w:rPr>
        <w:t>.</w:t>
      </w:r>
      <w:r>
        <w:rPr>
          <w:rFonts w:hint="default" w:ascii="Times New Roman" w:hAnsi="Times New Roman" w:eastAsia="Times New Roman" w:cs="Times New Roman"/>
          <w:highlight w:val="none"/>
        </w:rPr>
        <w:t xml:space="preserve"> </w:t>
      </w:r>
    </w:p>
    <w:p w14:paraId="2A83AF70">
      <w:pPr>
        <w:spacing w:line="360" w:lineRule="auto"/>
        <w:ind w:firstLine="426"/>
        <w:rPr>
          <w:rFonts w:hint="default" w:ascii="Times New Roman" w:hAnsi="Times New Roman" w:eastAsia="Times New Roman" w:cs="Times New Roman"/>
          <w:lang w:val="pt-BR"/>
        </w:rPr>
      </w:pPr>
      <w:r>
        <w:rPr>
          <w:rFonts w:hint="default" w:ascii="Times New Roman" w:hAnsi="Times New Roman" w:eastAsia="Times New Roman" w:cs="Times New Roman"/>
        </w:rPr>
        <w:t>A análise cinemática dos ângulos articulares dos punhos, ombros, quadril e cabeça, tem sido apontada como relevante, uma vez que o alinhamento segmentar influencia diretamente a distribuição do</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 xml:space="preserve">CoM e as demandas de torque sobre os estabilizadores articulares, podendo determinar estratégias distintas de manutenção do equilíbrio no </w:t>
      </w:r>
      <w:r>
        <w:rPr>
          <w:rFonts w:hint="default" w:ascii="Times New Roman" w:hAnsi="Times New Roman" w:eastAsia="Times New Roman" w:cs="Times New Roman"/>
          <w:i/>
          <w:iCs/>
        </w:rPr>
        <w:t>HS</w:t>
      </w:r>
      <w:r>
        <w:rPr>
          <w:rFonts w:hint="default" w:ascii="Times New Roman" w:hAnsi="Times New Roman" w:eastAsia="Times New Roman" w:cs="Times New Roman"/>
          <w:i/>
          <w:iCs/>
        </w:rPr>
        <w:fldChar w:fldCharType="begin"/>
      </w:r>
      <w:r>
        <w:rPr>
          <w:rFonts w:hint="default" w:ascii="Times New Roman" w:hAnsi="Times New Roman" w:eastAsia="Times New Roman" w:cs="Times New Roman"/>
          <w:i/>
          <w:iCs/>
          <w:lang w:val="pt-BR"/>
        </w:rPr>
        <w:instrText xml:space="preserve"> ADDIN ZOTERO_ITEM CSL_CITATION {"citationID":"VriBlMIh","properties":{"formattedCitation":"[1]","plainCitation":"[1]","noteIndex":0},"citationItems":[{"id":333,"uris":["http://zotero.org/users/17274952/items/LV8KSPDR"],"itemData":{"id":333,"type":"article-journal","abstract":"Handstand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Pr>
          <w:rFonts w:hint="default" w:ascii="Times New Roman" w:hAnsi="Times New Roman" w:eastAsia="Times New Roman" w:cs="Times New Roman"/>
          <w:i/>
          <w:iCs/>
        </w:rPr>
        <w:fldChar w:fldCharType="separate"/>
      </w:r>
      <w:r>
        <w:rPr>
          <w:rFonts w:hint="default" w:ascii="Times New Roman" w:hAnsi="Times New Roman" w:cs="Times New Roman"/>
        </w:rPr>
        <w:t>[1]</w:t>
      </w:r>
      <w:r>
        <w:rPr>
          <w:rFonts w:hint="default" w:ascii="Times New Roman" w:hAnsi="Times New Roman" w:eastAsia="Times New Roman" w:cs="Times New Roman"/>
          <w:i/>
          <w:iCs/>
        </w:rPr>
        <w:fldChar w:fldCharType="end"/>
      </w:r>
      <w:r>
        <w:rPr>
          <w:rFonts w:hint="default" w:ascii="Times New Roman" w:hAnsi="Times New Roman" w:eastAsia="Times New Roman" w:cs="Times New Roman"/>
        </w:rPr>
        <w:t xml:space="preserve">. Apesar de amplamente abordado em trabalhos sobre 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o alinhamento articular tem sido frequentemente empregado como medida de desempenho e proficiência em populações restritas de ginastas experientes, geralmente com amostras reduzidas. Essa limitação dificulta discernir se a alta proficiência observada decorre de um alinhamento postural ideal ou do elevado volume de prática específica. Evidências apontam que estratégias de controle menos alinhadas também podem resultar em estabilidade satisfatória, desafiando a visão tradicional da ginástica de que a “linha perfeita” entre as articulações é condição indispensável para uma boa manutenção estática e tempo de sustentação do equilíbrio no </w:t>
      </w:r>
      <w:r>
        <w:rPr>
          <w:rFonts w:hint="default" w:ascii="Times New Roman" w:hAnsi="Times New Roman" w:eastAsia="Times New Roman" w:cs="Times New Roman"/>
          <w:i/>
          <w:iCs/>
        </w:rPr>
        <w:t>HS</w:t>
      </w:r>
      <w:r>
        <w:rPr>
          <w:rFonts w:hint="default" w:ascii="Times New Roman" w:hAnsi="Times New Roman" w:eastAsia="Times New Roman" w:cs="Times New Roman"/>
          <w:i/>
        </w:rPr>
        <w:fldChar w:fldCharType="begin"/>
      </w:r>
      <w:r>
        <w:rPr>
          <w:rFonts w:hint="default" w:ascii="Times New Roman" w:hAnsi="Times New Roman" w:eastAsia="Times New Roman" w:cs="Times New Roman"/>
          <w:i/>
          <w:lang w:val="pt-BR"/>
        </w:rPr>
        <w:instrText xml:space="preserve"> ADDIN ZOTERO_ITEM CSL_CITATION {"citationID":"wKey6hKL","properties":{"formattedCitation":"[2]","plainCitation":"[2]","noteIndex":0},"citationItems":[{"id":327,"uris":["http://zotero.org/users/17274952/items/7HMEIQK4"],"itemData":{"id":327,"type":"article-journal","abstract":"Despite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w:instrText>
      </w:r>
      <w:r>
        <w:rPr>
          <w:rFonts w:hint="default" w:ascii="Times New Roman" w:hAnsi="Times New Roman" w:eastAsia="Times New Roman" w:cs="Times New Roman"/>
          <w:i/>
        </w:rPr>
        <w:fldChar w:fldCharType="separate"/>
      </w:r>
      <w:r>
        <w:rPr>
          <w:rFonts w:hint="default" w:ascii="Times New Roman" w:hAnsi="Times New Roman" w:cs="Times New Roman"/>
        </w:rPr>
        <w:t>[2]</w:t>
      </w:r>
      <w:r>
        <w:rPr>
          <w:rFonts w:hint="default" w:ascii="Times New Roman" w:hAnsi="Times New Roman" w:eastAsia="Times New Roman" w:cs="Times New Roman"/>
          <w:i/>
        </w:rPr>
        <w:fldChar w:fldCharType="end"/>
      </w:r>
      <w:r>
        <w:rPr>
          <w:rFonts w:hint="default" w:ascii="Times New Roman" w:hAnsi="Times New Roman" w:eastAsia="Times New Roman" w:cs="Times New Roman"/>
          <w:i/>
        </w:rPr>
        <w:t>.</w:t>
      </w:r>
      <w:r>
        <w:rPr>
          <w:rFonts w:hint="default" w:ascii="Times New Roman" w:hAnsi="Times New Roman" w:eastAsia="Times New Roman" w:cs="Times New Roman"/>
        </w:rPr>
        <w:t xml:space="preserve"> Essa incerteza é ampliada pela escassez de estudos que investiguem 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em modalidades além da ginástica artística, nas quais se observam estratégias de equilíbrio eficazes mesmo em alinhamentos distintos.</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Nesse contexto, a cadeia cinética invertida opera sob papéis funcionais distintos: enquanto os punhos atuam no solo como efetores dinâmicos de alta frequência (</w:t>
      </w:r>
      <w:r>
        <w:rPr>
          <w:rFonts w:hint="default" w:ascii="Times New Roman" w:hAnsi="Times New Roman" w:eastAsia="Times New Roman" w:cs="Times New Roman"/>
          <w:i/>
          <w:iCs/>
        </w:rPr>
        <w:t>wrist strategy</w:t>
      </w:r>
      <w:r>
        <w:rPr>
          <w:rFonts w:hint="default" w:ascii="Times New Roman" w:hAnsi="Times New Roman" w:eastAsia="Times New Roman" w:cs="Times New Roman"/>
        </w:rPr>
        <w:t>, análoga ao tornozelo na postura ereta)</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lang w:val="pt-BR"/>
        </w:rPr>
        <w:fldChar w:fldCharType="begin"/>
      </w:r>
      <w:r>
        <w:rPr>
          <w:rFonts w:hint="default" w:ascii="Times New Roman" w:hAnsi="Times New Roman" w:eastAsia="Times New Roman" w:cs="Times New Roman"/>
          <w:lang w:val="pt-BR"/>
        </w:rPr>
        <w:instrText xml:space="preserve"> ADDIN ZOTERO_ITEM CSL_CITATION {"citationID":"MANojoAF","properties":{"unsorted":false,"formattedCitation":"[2], [3], [7]","plainCitation":"[2], [3], [7]","noteIndex":0},"citationItems":[{"id":327,"uris":["http://zotero.org/users/17274952/items/7HMEIQK4"],"itemData":{"id":327,"type":"article-journal","abstract":"Despite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w:instrText>
      </w:r>
      <w:r>
        <w:rPr>
          <w:rFonts w:hint="default" w:ascii="Times New Roman" w:hAnsi="Times New Roman" w:eastAsia="Times New Roman" w:cs="Times New Roman"/>
          <w:lang w:val="pt-BR"/>
        </w:rPr>
        <w:fldChar w:fldCharType="separate"/>
      </w:r>
      <w:r>
        <w:rPr>
          <w:rFonts w:hint="default" w:ascii="Times New Roman" w:hAnsi="Times New Roman" w:eastAsia="Times New Roman" w:cs="Times New Roman"/>
          <w:lang w:val="pt-BR"/>
        </w:rPr>
        <w:t>[2], [3], [7]</w:t>
      </w:r>
      <w:r>
        <w:rPr>
          <w:rFonts w:hint="default" w:ascii="Times New Roman" w:hAnsi="Times New Roman" w:eastAsia="Times New Roman" w:cs="Times New Roman"/>
          <w:lang w:val="pt-BR"/>
        </w:rPr>
        <w:fldChar w:fldCharType="end"/>
      </w:r>
      <w:r>
        <w:rPr>
          <w:rFonts w:hint="default" w:ascii="Times New Roman" w:hAnsi="Times New Roman" w:eastAsia="Times New Roman" w:cs="Times New Roman"/>
        </w:rPr>
        <w:t>, ombros e quadril definem o empilhamento articular do tronco (</w:t>
      </w:r>
      <w:r>
        <w:rPr>
          <w:rFonts w:hint="default" w:ascii="Times New Roman" w:hAnsi="Times New Roman" w:eastAsia="Times New Roman" w:cs="Times New Roman"/>
          <w:i/>
          <w:iCs/>
        </w:rPr>
        <w:t>joint stacking</w:t>
      </w:r>
      <w:r>
        <w:rPr>
          <w:rFonts w:hint="default" w:ascii="Times New Roman" w:hAnsi="Times New Roman" w:eastAsia="Times New Roman" w:cs="Times New Roman"/>
        </w:rPr>
        <w:t>), onde restrições de mobilidade exigem compensações na curvatura lombar</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lang w:val="pt-BR"/>
        </w:rPr>
        <w:fldChar w:fldCharType="begin"/>
      </w:r>
      <w:r>
        <w:rPr>
          <w:rFonts w:hint="default" w:ascii="Times New Roman" w:hAnsi="Times New Roman" w:eastAsia="Times New Roman" w:cs="Times New Roman"/>
          <w:lang w:val="pt-BR"/>
        </w:rPr>
        <w:instrText xml:space="preserve"> ADDIN ZOTERO_ITEM CSL_CITATION {"citationID":"T3WYhzbW","properties":{"unsorted":false,"formattedCitation":"[1], [14]","plainCitation":"[1], [14]","noteIndex":0},"citationItems":[{"id":337,"uris":["http://zotero.org/users/17274952/items/89GK6CG5"],"itemData":{"id":337,"type":"article-journal","abstract":"Background/Objectives: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Pr>
          <w:rFonts w:hint="default" w:ascii="Times New Roman" w:hAnsi="Times New Roman" w:eastAsia="Times New Roman" w:cs="Times New Roman"/>
          <w:lang w:val="pt-BR"/>
        </w:rPr>
        <w:fldChar w:fldCharType="separate"/>
      </w:r>
      <w:r>
        <w:rPr>
          <w:rFonts w:hint="default" w:ascii="Times New Roman" w:hAnsi="Times New Roman" w:eastAsia="Times New Roman" w:cs="Times New Roman"/>
          <w:lang w:val="pt-BR"/>
        </w:rPr>
        <w:t>[1], [14]</w:t>
      </w:r>
      <w:r>
        <w:rPr>
          <w:rFonts w:hint="default" w:ascii="Times New Roman" w:hAnsi="Times New Roman" w:eastAsia="Times New Roman" w:cs="Times New Roman"/>
          <w:lang w:val="pt-BR"/>
        </w:rPr>
        <w:fldChar w:fldCharType="end"/>
      </w:r>
      <w:r>
        <w:rPr>
          <w:rFonts w:hint="default" w:ascii="Times New Roman" w:hAnsi="Times New Roman" w:eastAsia="Times New Roman" w:cs="Times New Roman"/>
        </w:rPr>
        <w:t>. Paralelamente, na extremidade oposta, a flexão plantar ativa (</w:t>
      </w:r>
      <w:r>
        <w:rPr>
          <w:rFonts w:hint="default" w:ascii="Times New Roman" w:hAnsi="Times New Roman" w:eastAsia="Times New Roman" w:cs="Times New Roman"/>
          <w:lang w:val="pt-BR"/>
        </w:rPr>
        <w:t>“</w:t>
      </w:r>
      <w:r>
        <w:rPr>
          <w:rFonts w:hint="default" w:ascii="Times New Roman" w:hAnsi="Times New Roman" w:eastAsia="Times New Roman" w:cs="Times New Roman"/>
        </w:rPr>
        <w:t>ponta de pé</w:t>
      </w:r>
      <w:r>
        <w:rPr>
          <w:rFonts w:hint="default" w:ascii="Times New Roman" w:hAnsi="Times New Roman" w:eastAsia="Times New Roman" w:cs="Times New Roman"/>
          <w:lang w:val="pt-BR"/>
        </w:rPr>
        <w:t>”</w:t>
      </w:r>
      <w:r>
        <w:rPr>
          <w:rFonts w:hint="default" w:ascii="Times New Roman" w:hAnsi="Times New Roman" w:eastAsia="Times New Roman" w:cs="Times New Roman"/>
        </w:rPr>
        <w:t>) promove irradiação motora e coativação nos membros inferiores, convertendo o corpo em um pêndulo rígido de haste única</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i/>
          <w:iCs/>
          <w:lang w:val="pt-BR"/>
        </w:rPr>
        <w:t>single-link</w:t>
      </w:r>
      <w:r>
        <w:rPr>
          <w:rFonts w:hint="default" w:ascii="Times New Roman" w:hAnsi="Times New Roman" w:eastAsia="Times New Roman" w:cs="Times New Roman"/>
          <w:lang w:val="pt-BR"/>
        </w:rPr>
        <w:t>)</w:t>
      </w:r>
      <w:r>
        <w:rPr>
          <w:rFonts w:hint="default" w:ascii="Times New Roman" w:hAnsi="Times New Roman" w:eastAsia="Times New Roman" w:cs="Times New Roman"/>
        </w:rPr>
        <w:t xml:space="preserve">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{"citationID":"hGLfcr0G","properties":{"unsorted":false,"formattedCitation":"[28], [31]","plainCitation":"[28], [31]","noteIndex":0},"citationItems":[{"id":46,"uris":["http://zotero.org/users/17274952/items/J9KKGBUR"],"itemData":{"id":46,"type":"article-journal","abstract":"The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444,"uris":["http://zotero.org/users/17274952/items/2IPKX4GW"],"itemData":{"id":444,"type":"book","DOI":"10.4324/9781315203805","edition":"2","ISBN":"978-1-315-20380-5","language":"en","publisher":"Routledge","source":"DOI.org (Crossref)","title":"The Science of Gymnastics: Advanced Concepts","title-short":"The Science of Gymnastics","URL":"https://www.taylorfrancis.com/books/9781351789127","editor":[{"family":"Jemni","given":"Monèm"}],"accessed":{"date-parts":[["2026",9,1]]},"issued":{"date-parts":[["2017",12,22]]}}}],"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[28], [31]</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Em contraste, tornozelos neutros ou relaxados (comuns no </w:t>
      </w:r>
      <w:r>
        <w:rPr>
          <w:rFonts w:hint="default" w:ascii="Times New Roman" w:hAnsi="Times New Roman" w:eastAsia="Times New Roman" w:cs="Times New Roman"/>
          <w:i/>
          <w:iCs/>
        </w:rPr>
        <w:t>CrossFit</w:t>
      </w:r>
      <w:r>
        <w:rPr>
          <w:rFonts w:hint="default" w:ascii="Times New Roman" w:hAnsi="Times New Roman" w:eastAsia="Times New Roman" w:cs="Times New Roman"/>
          <w:i/>
          <w:iCs/>
          <w:lang w:val="pt-BR"/>
        </w:rPr>
        <w:t xml:space="preserve"> </w:t>
      </w:r>
      <w:r>
        <w:rPr>
          <w:rFonts w:hint="default" w:ascii="Times New Roman" w:hAnsi="Times New Roman" w:eastAsia="Times New Roman" w:cs="Times New Roman"/>
          <w:i w:val="0"/>
          <w:iCs w:val="0"/>
          <w:lang w:val="pt-BR"/>
        </w:rPr>
        <w:t>e Calistenia</w:t>
      </w:r>
      <w:r>
        <w:rPr>
          <w:rFonts w:hint="default" w:ascii="Times New Roman" w:hAnsi="Times New Roman" w:eastAsia="Times New Roman" w:cs="Times New Roman"/>
        </w:rPr>
        <w:t>) induzem um comportamento multiarticulad</w:t>
      </w:r>
      <w:r>
        <w:rPr>
          <w:rFonts w:hint="default" w:ascii="Times New Roman" w:hAnsi="Times New Roman" w:eastAsia="Times New Roman" w:cs="Times New Roman"/>
          <w:lang w:val="pt-BR"/>
        </w:rPr>
        <w:t>o (</w:t>
      </w:r>
      <w:r>
        <w:rPr>
          <w:rFonts w:hint="default" w:ascii="Times New Roman" w:hAnsi="Times New Roman" w:eastAsia="Times New Roman" w:cs="Times New Roman"/>
          <w:i/>
          <w:iCs/>
          <w:lang w:val="pt-BR"/>
        </w:rPr>
        <w:t>multi-link)</w:t>
      </w:r>
      <w:r>
        <w:rPr>
          <w:rFonts w:hint="default" w:ascii="Times New Roman" w:hAnsi="Times New Roman" w:eastAsia="Times New Roman" w:cs="Times New Roman"/>
        </w:rPr>
        <w:t xml:space="preserve">, </w:t>
      </w:r>
      <w:r>
        <w:rPr>
          <w:rFonts w:hint="default" w:ascii="Times New Roman" w:hAnsi="Times New Roman" w:eastAsia="Times New Roman" w:cs="Times New Roman"/>
          <w:lang w:val="pt-BR"/>
        </w:rPr>
        <w:t>g</w:t>
      </w:r>
      <w:r>
        <w:rPr>
          <w:rFonts w:hint="default" w:ascii="Times New Roman" w:hAnsi="Times New Roman" w:eastAsia="Times New Roman" w:cs="Times New Roman"/>
        </w:rPr>
        <w:t>erando oscilações inerciais distais que podem sobrecarregar os mecanismos de controle postural na base. Avaliar essas configurações segmentares esclarecerá se a verticalidade estrita e a rigidez distal são imperativas ou se estratégias adaptativas sustentam estabilidade equivalente entre modalidades.</w:t>
      </w:r>
    </w:p>
    <w:p w14:paraId="18EE1F6D">
      <w:pPr>
        <w:spacing w:line="360" w:lineRule="auto"/>
        <w:ind w:firstLine="426"/>
        <w:rPr>
          <w:rFonts w:hint="default" w:ascii="Times New Roman" w:hAnsi="Times New Roman" w:eastAsia="Times New Roman" w:cs="Times New Roman"/>
        </w:rPr>
      </w:pPr>
      <w:r>
        <w:rPr>
          <w:rFonts w:hint="default" w:ascii="Times New Roman" w:hAnsi="Times New Roman" w:cs="Times New Roman"/>
        </w:rPr>
        <w:t xml:space="preserve">No </w:t>
      </w:r>
      <w:r>
        <w:rPr>
          <w:rFonts w:hint="default" w:ascii="Times New Roman" w:hAnsi="Times New Roman" w:cs="Times New Roman"/>
          <w:i/>
          <w:iCs/>
        </w:rPr>
        <w:t>HS</w:t>
      </w:r>
      <w:r>
        <w:rPr>
          <w:rFonts w:hint="default" w:ascii="Times New Roman" w:hAnsi="Times New Roman" w:cs="Times New Roman"/>
        </w:rPr>
        <w:t xml:space="preserve">, o tempo máximo de sustentação tem sido utilizado como parâmetro de desempenho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{"citationID":"DjmdKVKH","properties":{"formattedCitation":"[2], [20], [22], [27]","plainCitation":"[2], [20], [22], [27]","noteIndex":0},"citationItems":[{"id":327,"uris":["http://zotero.org/users/17274952/items/7HMEIQK4"],"itemData":{"id":327,"type":"article-journal","abstract":"Despite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343,"uris":["http://zotero.org/users/17274952/items/L7ZWVBWS"],"itemData":{"id":343,"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id":319,"uris":["http://zotero.org/users/17274952/items/PUS5K2KW"],"itemData":{"id":319,"type":"article-journal","issue":"10","language":"en","source":"Zotero","title":"Influence of Strength Abilities on Quality of the Handstand","volume":"7","author":[{"family":"Hedbávný","given":"P"},{"family":"Bago","given":"G"},{"family":"Kalichová","given":"M"}],"issued":{"date-parts":[["2013"]]}}}],"schema":"https://github.com/citation-style-language/schema/raw/master/csl-citation.json"}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[2], [20], [22], [27]</w:t>
      </w:r>
      <w:r>
        <w:rPr>
          <w:rFonts w:hint="default" w:ascii="Times New Roman" w:hAnsi="Times New Roman" w:cs="Times New Roman"/>
        </w:rPr>
        <w:fldChar w:fldCharType="end"/>
      </w:r>
      <w:r>
        <w:rPr>
          <w:rFonts w:hint="default" w:ascii="Times New Roman" w:hAnsi="Times New Roman" w:cs="Times New Roman"/>
        </w:rPr>
        <w:t xml:space="preserve">. Enquanto que no </w:t>
      </w:r>
      <w:r>
        <w:rPr>
          <w:rFonts w:hint="default" w:ascii="Times New Roman" w:hAnsi="Times New Roman" w:cs="Times New Roman"/>
          <w:i/>
          <w:iCs/>
        </w:rPr>
        <w:t>HSW</w:t>
      </w:r>
      <w:r>
        <w:rPr>
          <w:rFonts w:hint="default" w:ascii="Times New Roman" w:hAnsi="Times New Roman" w:cs="Times New Roman"/>
        </w:rPr>
        <w:t>, os poucos estudos publicados até o momento concentraram-se em aspectos de desempenho a partir de parâmetros iniciais do deslocamento e de controle motor, como as</w:t>
      </w:r>
      <w:r>
        <w:rPr>
          <w:rFonts w:hint="default" w:ascii="Times New Roman" w:hAnsi="Times New Roman" w:cs="Times New Roman"/>
          <w:b/>
          <w:bCs/>
        </w:rPr>
        <w:t xml:space="preserve"> </w:t>
      </w:r>
      <w:r>
        <w:rPr>
          <w:rStyle w:val="8"/>
          <w:rFonts w:hint="default" w:ascii="Times New Roman" w:hAnsi="Times New Roman" w:cs="Times New Roman"/>
          <w:b w:val="0"/>
          <w:bCs w:val="0"/>
        </w:rPr>
        <w:t>forças de reação ao solo, coordenação intersegmentar e APAs no momento da saída</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{"citationID":"a4K8YdQy","properties":{"formattedCitation":"[23]","plainCitation":"[23]","noteIndex":0},"citationItems":[{"id":344,"uris":["http://zotero.org/users/17274952/items/IA4SHZ82"],"itemData":{"id":344,"type":"article-journal","abstract":"Background: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t xml:space="preserve">, os efeitos de cargas adicionais sobre APAs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{"citationID":"hx7Pj605","properties":{"formattedCitation":"[24]","plainCitation":"[24]","noteIndex":0},"citationItems":[{"id":341,"uris":["http://zotero.org/users/17274952/items/3CGH6KGH"],"itemData":{"id":341,"type":"article-journal","abstract":"Anticipatory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rPr>
        <w:t xml:space="preserve"> e comparações de coordenação com a marcha bípede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{"citationID":"xceGd1LY","properties":{"formattedCitation":"[25]","plainCitation":"[25]","noteIndex":0},"citationItems":[{"id":342,"uris":["http://zotero.org/users/17274952/items/25HVULTT"],"itemData":{"id":342,"type":"article-journal","abstract":"Handwalking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rPr>
        <w:t>. Sendo assim, avaliar também variáveis espaço-temporais, como distância percorrida, tempo de execução e velocidade média, poderiam oferecer uma visão mais integrada e completa dos padrões de deslocamento</w:t>
      </w:r>
      <w:r>
        <w:rPr>
          <w:rFonts w:hint="default" w:ascii="Times New Roman" w:hAnsi="Times New Roman" w:eastAsia="Times New Roman" w:cs="Times New Roman"/>
        </w:rPr>
        <w:t xml:space="preserve">. </w:t>
      </w:r>
      <w:r>
        <w:rPr>
          <w:rFonts w:hint="default" w:ascii="Times New Roman" w:hAnsi="Times New Roman" w:cs="Times New Roman"/>
        </w:rPr>
        <w:t xml:space="preserve"> </w:t>
      </w:r>
      <w:r>
        <w:rPr>
          <w:rFonts w:hint="default" w:ascii="Times New Roman" w:hAnsi="Times New Roman" w:eastAsia="Times New Roman" w:cs="Times New Roman"/>
        </w:rPr>
        <w:t xml:space="preserve">Verificou-se que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apresenta um padrão de locomoção semelhante à marcha bípede, mas com passos mais curtos, base de apoio alargada e maior tempo em duplo suporte, característica que aumenta com o nível de habilidade dentro da ginástica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{"citationID":"H3D9CMAC","properties":{"formattedCitation":"[25]","plainCitation":"[25]","noteIndex":0},"citationItems":[{"id":342,"uris":["http://zotero.org/users/17274952/items/25HVULTT"],"itemData":{"id":342,"type":"article-journal","abstract":"Handwalking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[25]</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Além disso, a cadência, comprimento médio das passadas, tempo de contato das mãos com o solo, tempo em duplo suporte e variabilidade entre passadas poderão ser coletados em conjunto com os outros parâmetros e caracterizar não apenas o desempenho total, mas também as estratégias motoras específicas adotadas em diferentes modalidades. Por exemplo, manter contato prolongado com ambas as mãos no solo poderia facilitar a transição para o movimento dinâmico priorizando estabilidade mediolateral, melhorando a previsão e o controle de perturbações durante 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ao passo que passadas mais curtas e rápidas podem indicar estratégias voltadas à propulsão e velocidade. Nesse contexto, o tempo máximo de sustentação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poderia influenciar também nos parâmetros espaço-temporais do </w:t>
      </w:r>
      <w:r>
        <w:rPr>
          <w:rFonts w:hint="default" w:ascii="Times New Roman" w:hAnsi="Times New Roman" w:eastAsia="Times New Roman" w:cs="Times New Roman"/>
          <w:i/>
          <w:iCs/>
        </w:rPr>
        <w:t>HSW</w:t>
      </w:r>
      <w:r>
        <w:rPr>
          <w:rFonts w:hint="default" w:ascii="Times New Roman" w:hAnsi="Times New Roman" w:eastAsia="Times New Roman" w:cs="Times New Roman"/>
        </w:rPr>
        <w:t>, sugerindo uma possível transferência de habilidades entre as condições estática e dinâmica.</w:t>
      </w:r>
    </w:p>
    <w:p w14:paraId="023853DF">
      <w:pPr>
        <w:spacing w:line="360" w:lineRule="auto"/>
        <w:ind w:firstLine="426"/>
        <w:rPr>
          <w:rFonts w:hint="default" w:ascii="Times New Roman" w:hAnsi="Times New Roman" w:cs="Times New Roman"/>
        </w:rPr>
      </w:pPr>
      <w:r>
        <w:rPr>
          <w:rFonts w:hint="default" w:ascii="Times New Roman" w:hAnsi="Times New Roman" w:cs="Times New Roman"/>
        </w:rPr>
        <w:t xml:space="preserve">O tempo de prática na modalidade em que o </w:t>
      </w:r>
      <w:r>
        <w:rPr>
          <w:rFonts w:hint="default" w:ascii="Times New Roman" w:hAnsi="Times New Roman" w:cs="Times New Roman"/>
          <w:i/>
          <w:iCs/>
        </w:rPr>
        <w:t>HS</w:t>
      </w:r>
      <w:r>
        <w:rPr>
          <w:rFonts w:hint="default" w:ascii="Times New Roman" w:hAnsi="Times New Roman" w:cs="Times New Roman"/>
        </w:rPr>
        <w:t xml:space="preserve"> é treinado parece exercer papel importante na estabilidade e no controle postural. </w:t>
      </w:r>
      <w:r>
        <w:rPr>
          <w:rFonts w:hint="default" w:ascii="Times New Roman" w:hAnsi="Times New Roman" w:eastAsia="Times New Roman" w:cs="Times New Roman"/>
        </w:rPr>
        <w:t xml:space="preserve">Estudos indicam que a experiência esportiva está diretamente associada à estabilidade, tanto em pé quanto em posição invertida, sendo ginastas seniores mais estáveis do que juniores em tarefas de equilíbrio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{"citationID":"aD1c6zGB","properties":{"formattedCitation":"[22]","plainCitation":"[22]","noteIndex":0},"citationItems":[{"id":335,"uris":["http://zotero.org/users/17274952/items/3VJT24K4"],"itemData":{"id":335,"type":"article-journal","abstract":"Background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[22]</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No contexto do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do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maior tempo de prática tende a refletir não apenas em maior resistência de sustentação e controle postural estático, mas também em proficiência no deslocamento em inversão. </w:t>
      </w:r>
      <w:r>
        <w:rPr>
          <w:rFonts w:hint="default" w:ascii="Times New Roman" w:hAnsi="Times New Roman" w:cs="Times New Roman"/>
        </w:rPr>
        <w:t xml:space="preserve">A idade cronológica também pode influenciar a capacidade de equilíbrio invertido, refletindo o desenvolvimento e a manutenção do controle postural ao longo da vida adulta. Evidências indicam que a estabilização postural atinge seu ápice entre 18 e 30 anos, mantendo-se relativamente estável até cerca dos 40 anos, quando fatores como redução da força muscular, declínio da integração sensorial e alterações na propriocepção passam a impactar de forma mais significativa o controle postural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{"citationID":"q8q8Ieeo","properties":{"formattedCitation":"[36], [37]","plainCitation":"[36], [37]","noteIndex":0},"citationItems":[{"id":318,"uris":["http://zotero.org/users/17274952/items/VBUIJ4XH"],"itemData":{"id":318,"type":"article-journal","abstract":"Certain aspects of balance control change with age, resulting in a slight postural instability. We examined healthy subjects between 20-82 years of age during the quiet stance under static conditions: at stance on a firm surface and/or on a compliant surface with eyes either open or closed. Body sway was evaluated from centre of foot pressure (CoP) positions during a 50 sec interval. The seven CoP parameters were evaluated to assess quiet stance and were analyzed in three age groups: juniors, middle-aged and seniors. The regression analysis showed evident increase of body sway over 60 years of age. We found that CoP parameters were significantly different when comparing juniors and seniors in all static conditions. The most sensitive view on postural steadiness during quiet stance was provided by CoP amplitude and velocity in AP direction and root mean square (RMS) of statokinesigram. New physiological ranges of RMS parameter in each condition for each age group of healthy subjects were determined. Our results showed that CoP data from force platform in quiet stance may indicate small balance impairment due to age. The determined physiological ranges of RMS will be useful for better distinguishing between small postural instability due to aging in contrast to pathological processes in the human postural control.","container-title":"Physiological Research","DOI":"10.33549/physiolres.931238","ISSN":"1802-9973, 0862-8408","journalAbbreviation":"Physiol Res","language":"en","page":"957-964","source":"DOI.org (Crossref)","title":"Age-related changes of human balance during quiet stance","author":[{"family":"Abrahamová","given":"D"},{"family":"Hlavačka","given":"F"}],"issued":{"date-parts":[["2008"]]}}},{"id":317,"uris":["http://zotero.org/users/17274952/items/PNSQRZAW"],"itemData":{"id":317,"type":"article-journal","container-title":"The Journals of Gerontology Series A: Biological Sciences and Medical Sciences","DOI":"10.1093/gerona/60.5.627","ISSN":"1079-5006, 1758-535X","issue":"5","journalAbbreviation":"The Journals of Gerontology Series A: Biological Sciences and Medical Sciences","language":"en","page":"627-632","source":"DOI.org (Crossref)","title":"Effect of Age on Characteristics of Forward and Backward Gait at Preferred and Accelerated Walking Speed","volume":"60","author":[{"family":"Laufer","given":"Y."}],"issued":{"date-parts":[["2005",5,1]]}}}],"schema":"https://github.com/citation-style-language/schema/raw/master/csl-citation.json"}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[36], [37]</w:t>
      </w:r>
      <w:r>
        <w:rPr>
          <w:rFonts w:hint="default" w:ascii="Times New Roman" w:hAnsi="Times New Roman" w:cs="Times New Roman"/>
        </w:rPr>
        <w:fldChar w:fldCharType="end"/>
      </w:r>
      <w:r>
        <w:rPr>
          <w:rFonts w:hint="default" w:ascii="Times New Roman" w:hAnsi="Times New Roman" w:eastAsia="Times New Roman" w:cs="Times New Roman"/>
        </w:rPr>
        <w:t xml:space="preserve">. </w:t>
      </w:r>
      <w:r>
        <w:rPr>
          <w:rFonts w:hint="default" w:ascii="Times New Roman" w:hAnsi="Times New Roman" w:cs="Times New Roman"/>
        </w:rPr>
        <w:t xml:space="preserve">Embora a idade cronológica naturalmente poderia influenciar a capacidade de equilíbrio invertido, a proficiência no </w:t>
      </w:r>
      <w:r>
        <w:rPr>
          <w:rFonts w:hint="default" w:ascii="Times New Roman" w:hAnsi="Times New Roman" w:cs="Times New Roman"/>
          <w:i/>
          <w:iCs/>
        </w:rPr>
        <w:t>HS</w:t>
      </w:r>
      <w:r>
        <w:rPr>
          <w:rFonts w:hint="default" w:ascii="Times New Roman" w:hAnsi="Times New Roman" w:cs="Times New Roman"/>
        </w:rPr>
        <w:t xml:space="preserve"> pode ser menos limitada por esses fatores biológicos.  Isso porque o </w:t>
      </w:r>
      <w:r>
        <w:rPr>
          <w:rFonts w:hint="default" w:ascii="Times New Roman" w:hAnsi="Times New Roman" w:cs="Times New Roman"/>
          <w:i/>
          <w:iCs/>
        </w:rPr>
        <w:t>HS</w:t>
      </w:r>
      <w:r>
        <w:rPr>
          <w:rFonts w:hint="default" w:ascii="Times New Roman" w:hAnsi="Times New Roman" w:cs="Times New Roman"/>
        </w:rPr>
        <w:t xml:space="preserve"> é uma habilidade motora complexa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{"citationID":"kKMlxHTD","properties":{"formattedCitation":"[5], [13]","plainCitation":"[5], [13]","noteIndex":0},"citationItems":[{"id":51,"uris":["http://zotero.org/users/17274952/items/6I25TH2Q"],"itemData":{"id":51,"type":"article-journal","abstract":"The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M."},{"family":"Wilson","given":"Cassie"},{"family":"Irwin","given":"Gareth"}],"issued":{"date-parts":[["2022",6,30]]}}},{"id":328,"uris":["http://zotero.org/users/17274952/items/PDH4GHVG"],"itemData":{"id":328,"type":"article-journal","journalAbbreviation":"Science of Gymnastics Journal","page":"19-30","title":"Kinematic Analysis of handstands in gymnastics","volume":"7","author":[{"family":"B. Belčič","given":"P. Samardžija"}],"issued":{"date-parts":[["2015"]]}}}],"schema":"https://github.com/citation-style-language/schema/raw/master/csl-citation.json"}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[5], [13]</w:t>
      </w:r>
      <w:r>
        <w:rPr>
          <w:rFonts w:hint="default" w:ascii="Times New Roman" w:hAnsi="Times New Roman" w:cs="Times New Roman"/>
        </w:rPr>
        <w:fldChar w:fldCharType="end"/>
      </w:r>
      <w:r>
        <w:rPr>
          <w:rFonts w:hint="default" w:ascii="Times New Roman" w:hAnsi="Times New Roman" w:cs="Times New Roman"/>
        </w:rPr>
        <w:t xml:space="preserve">, cuja proficiência é largamente determinada pela prática deliberada e pela qualidade do treinamento [7, 9]. A aquisição de tal habilidade promove adaptações neurais específicas, como a otimização do recrutamento muscular e do controle motor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{"citationID":"XZ3F2iYt","properties":{"formattedCitation":"[3], [6], [7], [10]","plainCitation":"[3], [6], [7], [10]","noteIndex":0},"citationItems":[{"id":336,"uris":["http://zotero.org/users/17274952/items/P82NI7IB"],"itemData":{"id":336,"type":"article-journal","abstract":"KERWIN,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G."},{"family":"Trewartha","given":"Grant"}],"issued":{"date-parts":[["2001",7]]}}},{"id":326,"uris":["http://zotero.org/users/17274952/items/A5MTUBXD"],"itemData":{"id":326,"type":"article-journal","abstract":"Kochanowicz,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J."}],"issued":{"date-parts":[["2017",7]]}}},{"id":338,"uris":["http://zotero.org/users/17274952/items/JUTNAMC7"],"itemData":{"id":338,"type":"article-journal","abstract":"The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[3], [6], [7], [10]</w:t>
      </w:r>
      <w:r>
        <w:rPr>
          <w:rFonts w:hint="default" w:ascii="Times New Roman" w:hAnsi="Times New Roman" w:cs="Times New Roman"/>
        </w:rPr>
        <w:fldChar w:fldCharType="end"/>
      </w:r>
      <w:r>
        <w:rPr>
          <w:rFonts w:hint="default" w:ascii="Times New Roman" w:hAnsi="Times New Roman" w:cs="Times New Roman"/>
        </w:rPr>
        <w:t xml:space="preserve">, que podem compensar os declínios fisiológicos associados à idade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{"citationID":"9STHEf6U","properties":{"formattedCitation":"[38], [39]","plainCitation":"[38], [39]","noteIndex":0},"citationItems":[{"id":306,"uris":["http://zotero.org/users/17274952/items/7J2ECZB3"],"itemData":{"id":306,"type":"article-journal","container-title":"Psychological Review","DOI":"10.1037/0033-295X.100.3.363","ISSN":"1939-1471, 0033-295X","issue":"3","journalAbbreviation":"Psychological Review","language":"en","page":"363-406","source":"DOI.org (Crossref)","title":"The role of deliberate practice in the acquisition of expert performance.","volume":"100","author":[{"family":"Ericsson","given":"K. Anders"},{"family":"Krampe","given":"Ralf T."},{"family":"Tesch-Römer","given":"Clemens"}],"issued":{"date-parts":[["1993",7]]}}},{"id":305,"uris":["http://zotero.org/users/17274952/items/BEZRHGAH"],"itemData":{"id":305,"type":"article-journal","container-title":"Neuroscience &amp; Biobehavioral Reviews","DOI":"10.1016/j.neubiorev.2009.10.005","ISSN":"01497634","issue":"5","journalAbbreviation":"Neuroscience &amp; Biobehavioral Reviews","language":"en","license":"https://www.elsevier.com/tdm/userlicense/1.0/","page":"721-733","source":"DOI.org (Crossref)","title":"Motor control and aging: Links to age-related brain structural, functional, and biochemical effects","title-short":"Motor control and aging","volume":"34","author":[{"family":"Seidler","given":"Rachael D."},{"family":"Bernard","given":"Jessica A."},{"family":"Burutolu","given":"Taritonye B."},{"family":"Fling","given":"Brett W."},{"family":"Gordon","given":"Mark T."},{"family":"Gwin","given":"Joseph T."},{"family":"Kwak","given":"Youngbin"},{"family":"Lipps","given":"David B."}],"issued":{"date-parts":[["2010",4]]}}}],"schema":"https://github.com/citation-style-language/schema/raw/master/csl-citation.json"}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[38], [39]</w:t>
      </w:r>
      <w:r>
        <w:rPr>
          <w:rFonts w:hint="default" w:ascii="Times New Roman" w:hAnsi="Times New Roman" w:cs="Times New Roman"/>
        </w:rPr>
        <w:fldChar w:fldCharType="end"/>
      </w:r>
      <w:r>
        <w:rPr>
          <w:rFonts w:hint="default" w:ascii="Times New Roman" w:hAnsi="Times New Roman" w:cs="Times New Roman"/>
        </w:rPr>
        <w:t>. Dessa forma, a experiência específica poderia se sobrepor à idade cronológica para a definição do nível de maestria nessa tarefa.</w:t>
      </w:r>
    </w:p>
    <w:p w14:paraId="45F63920">
      <w:pPr>
        <w:spacing w:line="360" w:lineRule="auto"/>
        <w:ind w:firstLine="426"/>
        <w:rPr>
          <w:rFonts w:hint="default" w:ascii="Times New Roman" w:hAnsi="Times New Roman" w:eastAsia="Times New Roman" w:cs="Times New Roman"/>
        </w:rPr>
      </w:pPr>
      <w:bookmarkStart w:id="2" w:name="_heading=h.3d7ijnhyh4lu"/>
      <w:bookmarkEnd w:id="2"/>
      <w:r>
        <w:rPr>
          <w:rFonts w:hint="default" w:ascii="Times New Roman" w:hAnsi="Times New Roman" w:cs="Times New Roman"/>
          <w:color w:val="0F1115"/>
        </w:rPr>
        <w:t xml:space="preserve">O estudo proposto pretende integrar diferentes variáveis do desempenho no </w:t>
      </w:r>
      <w:r>
        <w:rPr>
          <w:rFonts w:hint="default" w:ascii="Times New Roman" w:hAnsi="Times New Roman" w:cs="Times New Roman"/>
          <w:i/>
          <w:iCs/>
          <w:color w:val="0F1115"/>
        </w:rPr>
        <w:t>HS</w:t>
      </w:r>
      <w:r>
        <w:rPr>
          <w:rFonts w:hint="default" w:ascii="Times New Roman" w:hAnsi="Times New Roman" w:cs="Times New Roman"/>
          <w:color w:val="0F1115"/>
        </w:rPr>
        <w:t xml:space="preserve"> e </w:t>
      </w:r>
      <w:r>
        <w:rPr>
          <w:rFonts w:hint="default" w:ascii="Times New Roman" w:hAnsi="Times New Roman" w:cs="Times New Roman"/>
          <w:i/>
          <w:iCs/>
          <w:color w:val="0F1115"/>
        </w:rPr>
        <w:t>HSW</w:t>
      </w:r>
      <w:r>
        <w:rPr>
          <w:rFonts w:hint="default" w:ascii="Times New Roman" w:hAnsi="Times New Roman" w:cs="Times New Roman"/>
          <w:color w:val="0F1115"/>
        </w:rPr>
        <w:t>, considerando essas variáveis de força, controle postural, antropometria e alinhamento articular como potenciais preditores. Assim</w:t>
      </w:r>
      <w:r>
        <w:rPr>
          <w:rFonts w:hint="default" w:ascii="Times New Roman" w:hAnsi="Times New Roman" w:eastAsia="Times New Roman" w:cs="Times New Roman"/>
        </w:rPr>
        <w:t>, pretende-se compreender, por meio de uma análise espaço-temporal integrada, como diferentes combinações de força muscular, alinhamento articular, controle postural e características individuais, sua antropometria e experiência prévia, se manifestam no desempenho em posição invertida.</w:t>
      </w:r>
    </w:p>
    <w:p w14:paraId="11FA536D">
      <w:pPr>
        <w:spacing w:line="360" w:lineRule="auto"/>
        <w:ind w:firstLine="720"/>
        <w:rPr>
          <w:rFonts w:hint="default" w:ascii="Times New Roman" w:hAnsi="Times New Roman" w:eastAsia="Times New Roman" w:cs="Times New Roman"/>
        </w:rPr>
      </w:pPr>
      <w:r>
        <w:rPr>
          <w:rFonts w:hint="default" w:ascii="Times New Roman" w:hAnsi="Times New Roman" w:eastAsia="Times New Roman" w:cs="Times New Roman"/>
        </w:rPr>
        <w:t xml:space="preserve">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espera-se que o desempenho seja determinado principalmente pelo tempo máximo de sustentação e pela eficiência do controle postural, refletida em menores oscilações e velocidade do CoP, menor entropia e redução de microcorreções. A força e resistência dos membros superiores também devem contribuir para prolongar a sustentação e manter a estabilidade frente à fadiga. Fatores antropométricos, como comprimento dos braços, altura do CoM e composição corporal, podem influenciar a economia e eficácia das correções posturais. A experiência prévia e a idade cronológica completam o conjunto de fatores, podendo a prática prolongada compensar parcialmente efeitos do envelhecimento. No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o desempenho tende a refletir a consistência das passadas e o controle postural, sendo indicados por métricas espaço-temporais como distância percorrida, tempo total, velocidade média, comprimento e cadência das passadas e tempo em duplo suporte Tal como no </w:t>
      </w:r>
      <w:r>
        <w:rPr>
          <w:rFonts w:hint="default" w:ascii="Times New Roman" w:hAnsi="Times New Roman" w:eastAsia="Times New Roman" w:cs="Times New Roman"/>
          <w:i/>
          <w:iCs/>
        </w:rPr>
        <w:t>HS</w:t>
      </w:r>
      <w:r>
        <w:rPr>
          <w:rFonts w:hint="default" w:ascii="Times New Roman" w:hAnsi="Times New Roman" w:eastAsia="Times New Roman" w:cs="Times New Roman"/>
        </w:rPr>
        <w:t>, força máxima e resistência dos membros superiores e fatores antropométricos devem influenciar o desempenho dinâmico. A prática prévia e a idade também podem modular essas relações.</w:t>
      </w:r>
    </w:p>
    <w:p w14:paraId="4B5F3C10">
      <w:pPr>
        <w:spacing w:after="240" w:line="360" w:lineRule="auto"/>
        <w:ind w:firstLine="426"/>
        <w:rPr>
          <w:rFonts w:hint="default" w:ascii="Times New Roman" w:hAnsi="Times New Roman" w:eastAsia="Times New Roman" w:cs="Times New Roman"/>
        </w:rPr>
      </w:pPr>
      <w:r>
        <w:rPr>
          <w:rFonts w:hint="default" w:ascii="Times New Roman" w:hAnsi="Times New Roman" w:eastAsia="Times New Roman" w:cs="Times New Roman"/>
        </w:rPr>
        <w:t xml:space="preserve">Este trabalho buscará suprir uma lacuna metodológica da literatura, a qual se concentra em amostras pequenas e específicas de ginastas experientes, negligenciando tanto a diversidade de modalidades quanto a integração de múltiplos fatores. Ao incluir diferentes contextos esportivos e analisar de forma combinada, variáveis de força, controle postural, antropometria, alinhamento, experiência e idade, este estudo busca fornecer subsídios para um entendimento mais abrangente dos preditores de desempenho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no </w:t>
      </w:r>
      <w:r>
        <w:rPr>
          <w:rFonts w:hint="default" w:ascii="Times New Roman" w:hAnsi="Times New Roman" w:eastAsia="Times New Roman" w:cs="Times New Roman"/>
          <w:i/>
          <w:iCs/>
        </w:rPr>
        <w:t>HSW</w:t>
      </w:r>
      <w:r>
        <w:rPr>
          <w:rFonts w:hint="default" w:ascii="Times New Roman" w:hAnsi="Times New Roman" w:eastAsia="Times New Roman" w:cs="Times New Roman"/>
        </w:rPr>
        <w:t>. Os resultados poderão contribuir para estratégias de treinamento mais direcionadas e eficientes, além de oferecer bases para progressões pedagógicas mais seguras e adequadas às demandas de cada modalidade.</w:t>
      </w:r>
    </w:p>
    <w:p w14:paraId="733E814C">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2    OBJETIVO GERAL</w:t>
      </w:r>
    </w:p>
    <w:p w14:paraId="4E56C355">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Investigar os fatores preditores do desempenho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em praticantes de diferentes modalidades, integrando variáveis de força, controle postural, cinemática articular, antropometria, perfil de experiência prática e idade.</w:t>
      </w:r>
    </w:p>
    <w:p w14:paraId="6DC8CE3F">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2.1 Objetivos Específicos</w:t>
      </w:r>
    </w:p>
    <w:p w14:paraId="4B9D3BA0">
      <w:pPr>
        <w:pStyle w:val="10"/>
        <w:spacing w:after="0" w:line="360" w:lineRule="auto"/>
        <w:rPr>
          <w:rFonts w:hint="default" w:ascii="Times New Roman" w:hAnsi="Times New Roman" w:eastAsia="Times New Roman" w:cs="Times New Roman"/>
        </w:rPr>
      </w:pPr>
      <w:r>
        <w:rPr>
          <w:rFonts w:hint="default" w:ascii="Times New Roman" w:hAnsi="Times New Roman" w:eastAsia="Times New Roman" w:cs="Times New Roman"/>
        </w:rPr>
        <w:t>a) Averiguar a contribuição relativa das variáveis de força (força máxima relativa no </w:t>
      </w:r>
      <w:r>
        <w:rPr>
          <w:rFonts w:hint="default" w:ascii="Times New Roman" w:hAnsi="Times New Roman" w:eastAsia="Times New Roman" w:cs="Times New Roman"/>
          <w:i/>
          <w:iCs/>
        </w:rPr>
        <w:t>SP</w:t>
      </w:r>
      <w:r>
        <w:rPr>
          <w:rFonts w:hint="default" w:ascii="Times New Roman" w:hAnsi="Times New Roman" w:eastAsia="Times New Roman" w:cs="Times New Roman"/>
        </w:rPr>
        <w:t xml:space="preserve">, força de flexores de punho e dedos, e resistência muscular em posição invertida) para o tempo de sustentação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para a mediana da distância percorrida no </w:t>
      </w:r>
      <w:r>
        <w:rPr>
          <w:rFonts w:hint="default" w:ascii="Times New Roman" w:hAnsi="Times New Roman" w:eastAsia="Times New Roman" w:cs="Times New Roman"/>
          <w:i/>
          <w:iCs/>
        </w:rPr>
        <w:t>HSW</w:t>
      </w:r>
      <w:r>
        <w:rPr>
          <w:rFonts w:hint="default" w:ascii="Times New Roman" w:hAnsi="Times New Roman" w:eastAsia="Times New Roman" w:cs="Times New Roman"/>
        </w:rPr>
        <w:t>.</w:t>
      </w:r>
    </w:p>
    <w:p w14:paraId="6A0542F6">
      <w:pPr>
        <w:pStyle w:val="10"/>
        <w:spacing w:after="0"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b) Avaliar a relação entre parâmetros de controle postural (distância média entre CoM e CoP, velocidade do CoP e ApEn) para o tempo de sustentação no </w:t>
      </w:r>
      <w:r>
        <w:rPr>
          <w:rFonts w:hint="default" w:ascii="Times New Roman" w:hAnsi="Times New Roman" w:eastAsia="Times New Roman" w:cs="Times New Roman"/>
          <w:i/>
          <w:iCs/>
        </w:rPr>
        <w:t>HS</w:t>
      </w:r>
      <w:r>
        <w:rPr>
          <w:rFonts w:hint="default" w:ascii="Times New Roman" w:hAnsi="Times New Roman" w:eastAsia="Times New Roman" w:cs="Times New Roman"/>
        </w:rPr>
        <w:t>.</w:t>
      </w:r>
    </w:p>
    <w:p w14:paraId="66E6CF66">
      <w:pPr>
        <w:pStyle w:val="10"/>
        <w:spacing w:after="0"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c) Analisar a influência de variáveis antropométricas (comprimento de membros, altura do CoM e composição corporal) sobre a estabilidade estática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a eficiência do deslocamento no </w:t>
      </w:r>
      <w:r>
        <w:rPr>
          <w:rFonts w:hint="default" w:ascii="Times New Roman" w:hAnsi="Times New Roman" w:eastAsia="Times New Roman" w:cs="Times New Roman"/>
          <w:i/>
          <w:iCs/>
        </w:rPr>
        <w:t>HSW</w:t>
      </w:r>
      <w:r>
        <w:rPr>
          <w:rFonts w:hint="default" w:ascii="Times New Roman" w:hAnsi="Times New Roman" w:eastAsia="Times New Roman" w:cs="Times New Roman"/>
        </w:rPr>
        <w:t>.</w:t>
      </w:r>
    </w:p>
    <w:p w14:paraId="3FAF7BCF">
      <w:pPr>
        <w:pStyle w:val="10"/>
        <w:spacing w:after="0" w:line="360" w:lineRule="auto"/>
        <w:rPr>
          <w:rFonts w:hint="default" w:ascii="Times New Roman" w:hAnsi="Times New Roman" w:eastAsia="Times New Roman" w:cs="Times New Roman"/>
        </w:rPr>
      </w:pPr>
      <w:r>
        <w:rPr>
          <w:rFonts w:hint="default" w:ascii="Times New Roman" w:hAnsi="Times New Roman" w:eastAsia="Times New Roman" w:cs="Times New Roman"/>
        </w:rPr>
        <w:t>d) Comparar os padrões cinemáticos atrativos dos ângulos articulares, através de um índice de verticalidade entre ombros e quadril, grau de extensão cervical,</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ângulo de flexão plantar do tornozelo</w:t>
      </w:r>
      <w:r>
        <w:rPr>
          <w:rFonts w:hint="default" w:ascii="Times New Roman" w:hAnsi="Times New Roman" w:eastAsia="Times New Roman" w:cs="Times New Roman"/>
          <w:lang w:val="pt-BR"/>
        </w:rPr>
        <w:t>,</w:t>
      </w:r>
      <w:r>
        <w:rPr>
          <w:rFonts w:hint="default" w:ascii="Times New Roman" w:hAnsi="Times New Roman" w:eastAsia="Times New Roman" w:cs="Times New Roman"/>
        </w:rPr>
        <w:t xml:space="preserve"> largura da base de apoio e orientação angular das mãos, adotados por praticantes de diferentes níveis de proficiência e modalidades durante a execução do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do </w:t>
      </w:r>
      <w:r>
        <w:rPr>
          <w:rFonts w:hint="default" w:ascii="Times New Roman" w:hAnsi="Times New Roman" w:eastAsia="Times New Roman" w:cs="Times New Roman"/>
          <w:i/>
          <w:iCs/>
        </w:rPr>
        <w:t>HSW</w:t>
      </w:r>
      <w:r>
        <w:rPr>
          <w:rFonts w:hint="default" w:ascii="Times New Roman" w:hAnsi="Times New Roman" w:eastAsia="Times New Roman" w:cs="Times New Roman"/>
        </w:rPr>
        <w:t>.</w:t>
      </w:r>
    </w:p>
    <w:p w14:paraId="4A2D826D">
      <w:pPr>
        <w:pStyle w:val="10"/>
        <w:spacing w:after="0"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e) Determinar a associação entre o tempo de prática específica e a idade cronológica com o desempenho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w:t>
      </w:r>
      <w:r>
        <w:rPr>
          <w:rFonts w:hint="default" w:ascii="Times New Roman" w:hAnsi="Times New Roman" w:eastAsia="Times New Roman" w:cs="Times New Roman"/>
          <w:i/>
          <w:iCs/>
        </w:rPr>
        <w:t>HSW</w:t>
      </w:r>
      <w:r>
        <w:rPr>
          <w:rFonts w:hint="default" w:ascii="Times New Roman" w:hAnsi="Times New Roman" w:eastAsia="Times New Roman" w:cs="Times New Roman"/>
        </w:rPr>
        <w:t>, testando a hipótese de que a experiência prática tem um peso preditivo maior que a idade.</w:t>
      </w:r>
    </w:p>
    <w:p w14:paraId="4EF15B59">
      <w:pPr>
        <w:pStyle w:val="10"/>
        <w:spacing w:after="0" w:line="360" w:lineRule="auto"/>
        <w:rPr>
          <w:rFonts w:hint="default" w:ascii="Times New Roman" w:hAnsi="Times New Roman" w:eastAsia="Times New Roman" w:cs="Times New Roman"/>
        </w:rPr>
      </w:pPr>
      <w:r>
        <w:rPr>
          <w:rFonts w:hint="default" w:ascii="Times New Roman" w:hAnsi="Times New Roman" w:cs="Times New Roman"/>
        </w:rPr>
        <w:t>f) Identificar como os parâmetros espaço-temporais (comprimento médio, cadência e variabilidades espacial e temporal das passadas) influenciam no desempenho do HSW, bem como descrever as estratégias de locomoção adotadas por praticantes de diferentes modalidades através dos parâmetros: velocidade média, tempo de contato das mãos no solo e tempo em duplo suporte.</w:t>
      </w:r>
    </w:p>
    <w:p w14:paraId="5C9EFFDE">
      <w:pPr>
        <w:pStyle w:val="10"/>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eastAsia="Times New Roman" w:cs="Times New Roman"/>
        </w:rPr>
      </w:pPr>
      <w:r>
        <w:rPr>
          <w:rFonts w:hint="default" w:ascii="Times New Roman" w:hAnsi="Times New Roman" w:eastAsia="Times New Roman" w:cs="Times New Roman"/>
        </w:rPr>
        <w:t xml:space="preserve">g) Verificar a existência de uma possível transferência de habilidades entre 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correlacionando o tempo máximo de sustentação e a entropia (ApEn)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com a mediana da distância percorrida no </w:t>
      </w:r>
      <w:r>
        <w:rPr>
          <w:rFonts w:hint="default" w:ascii="Times New Roman" w:hAnsi="Times New Roman" w:eastAsia="Times New Roman" w:cs="Times New Roman"/>
          <w:i/>
          <w:iCs/>
        </w:rPr>
        <w:t>HSW</w:t>
      </w:r>
      <w:r>
        <w:rPr>
          <w:rFonts w:hint="default" w:ascii="Times New Roman" w:hAnsi="Times New Roman" w:eastAsia="Times New Roman" w:cs="Times New Roman"/>
        </w:rPr>
        <w:t>.</w:t>
      </w:r>
    </w:p>
    <w:p w14:paraId="23C7C0E2">
      <w:pPr>
        <w:pStyle w:val="10"/>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ascii="Times New Roman" w:hAnsi="Times New Roman" w:cs="Times New Roman"/>
        </w:rPr>
      </w:pPr>
      <w:r>
        <w:rPr>
          <w:rFonts w:hint="default" w:ascii="Times New Roman" w:hAnsi="Times New Roman" w:cs="Times New Roman"/>
        </w:rPr>
        <w:t>h) Identificar os fatores determinantes para o sucesso na autonomia de estabilização do HS livre por meio de regressão logística binária, testando a contribuição relativa da força máxima de empurrar no SP, do tempo de sustentação prévio no bloco assistido e do tempo de prática acumulada.</w:t>
      </w:r>
    </w:p>
    <w:p w14:paraId="3688E4AB">
      <w:pPr>
        <w:pStyle w:val="2"/>
        <w:spacing w:before="0" w:after="140" w:line="360" w:lineRule="auto"/>
        <w:rPr>
          <w:rFonts w:hint="default" w:ascii="Times New Roman" w:hAnsi="Times New Roman" w:eastAsia="Times New Roman" w:cs="Times New Roman"/>
        </w:rPr>
      </w:pPr>
      <w:r>
        <w:rPr>
          <w:rFonts w:hint="default" w:ascii="Times New Roman" w:hAnsi="Times New Roman" w:eastAsia="Times New Roman" w:cs="Times New Roman"/>
        </w:rPr>
        <w:t>3    MÉTODO</w:t>
      </w:r>
    </w:p>
    <w:p w14:paraId="3CB949C4">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3.1 Delineamento experimental</w:t>
      </w:r>
    </w:p>
    <w:p w14:paraId="47F7B483">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firstLineChars="0"/>
        <w:jc w:val="both"/>
        <w:textAlignment w:val="auto"/>
        <w:rPr>
          <w:rFonts w:hint="default" w:ascii="Times New Roman" w:hAnsi="Times New Roman" w:eastAsia="Times New Roman" w:cs="Times New Roman"/>
          <w:sz w:val="24"/>
          <w:szCs w:val="24"/>
          <w:lang w:val="pt-BR" w:eastAsia="pt-BR" w:bidi="ar-SA"/>
        </w:rPr>
      </w:pPr>
      <w:r>
        <w:rPr>
          <w:rFonts w:hint="default" w:ascii="Times New Roman" w:hAnsi="Times New Roman" w:eastAsia="Times New Roman" w:cs="Times New Roman"/>
          <w:sz w:val="24"/>
          <w:szCs w:val="24"/>
          <w:lang w:val="pt-BR" w:eastAsia="pt-BR" w:bidi="ar-SA"/>
        </w:rPr>
        <w:t>Trata-se de um estudo observacional, transversal e analítico. O protocolo experimental foi estruturado para investigar os fatores determinantes e preditores do desempenho estático (</w:t>
      </w:r>
      <w:r>
        <w:rPr>
          <w:rFonts w:hint="default" w:ascii="Times New Roman" w:hAnsi="Times New Roman" w:eastAsia="Times New Roman" w:cs="Times New Roman"/>
          <w:i/>
          <w:iCs/>
          <w:sz w:val="24"/>
          <w:szCs w:val="24"/>
          <w:lang w:val="pt-BR" w:eastAsia="pt-BR" w:bidi="ar-SA"/>
        </w:rPr>
        <w:t>HS</w:t>
      </w:r>
      <w:r>
        <w:rPr>
          <w:rFonts w:hint="default" w:ascii="Times New Roman" w:hAnsi="Times New Roman" w:eastAsia="Times New Roman" w:cs="Times New Roman"/>
          <w:sz w:val="24"/>
          <w:szCs w:val="24"/>
          <w:lang w:val="pt-BR" w:eastAsia="pt-BR" w:bidi="ar-SA"/>
        </w:rPr>
        <w:t>) e dinâmico (</w:t>
      </w:r>
      <w:r>
        <w:rPr>
          <w:rFonts w:hint="default" w:ascii="Times New Roman" w:hAnsi="Times New Roman" w:eastAsia="Times New Roman" w:cs="Times New Roman"/>
          <w:i/>
          <w:iCs/>
          <w:sz w:val="24"/>
          <w:szCs w:val="24"/>
          <w:lang w:val="pt-BR" w:eastAsia="pt-BR" w:bidi="ar-SA"/>
        </w:rPr>
        <w:t>HSW</w:t>
      </w:r>
      <w:r>
        <w:rPr>
          <w:rFonts w:hint="default" w:ascii="Times New Roman" w:hAnsi="Times New Roman" w:eastAsia="Times New Roman" w:cs="Times New Roman"/>
          <w:sz w:val="24"/>
          <w:szCs w:val="24"/>
          <w:lang w:val="pt-BR" w:eastAsia="pt-BR" w:bidi="ar-SA"/>
        </w:rPr>
        <w:t xml:space="preserve">), integrando variáveis de capacidade física (força máxima relativa, simetria e resistência muscular isométrica), controle postural estabilométrico, alinhamento cinemático tridimensional, características antropométricas, perfil de prática e idade. </w:t>
      </w:r>
    </w:p>
    <w:p w14:paraId="2B043726">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firstLine="706" w:firstLineChars="0"/>
        <w:jc w:val="both"/>
        <w:textAlignment w:val="auto"/>
        <w:rPr>
          <w:rFonts w:hint="default" w:ascii="Times New Roman" w:hAnsi="Times New Roman" w:eastAsia="Times New Roman" w:cs="Times New Roman"/>
        </w:rPr>
      </w:pPr>
      <w:r>
        <w:rPr>
          <w:rFonts w:hint="default" w:ascii="Times New Roman" w:hAnsi="Times New Roman" w:eastAsia="Times New Roman" w:cs="Times New Roman"/>
        </w:rPr>
        <w:t>A coleta de dados será realizada em duas sessões distintas nas dependências da Escola de Educação Física e Esportes de Ribeirão Preto da Universidade de São Paulo (EEFERP-USP), localizada na Avenida Bandeirantes, 3900, Vila Monte Alegre, Ribeirão Preto – SP. A primeira sessão ocorrerá no Laboratório de Cineantropometria e Desempenho Humano (LaCiDH) e contemplará as avaliações força isométrica distal bilateral (força de preensão manual e pico de torque dos flexores de punho</w:t>
      </w:r>
      <w:r>
        <w:rPr>
          <w:rFonts w:hint="default" w:ascii="Times New Roman" w:hAnsi="Times New Roman" w:eastAsia="Times New Roman" w:cs="Times New Roman"/>
          <w:lang w:val="pt-BR"/>
        </w:rPr>
        <w:t>)</w:t>
      </w:r>
      <w:r>
        <w:rPr>
          <w:rFonts w:hint="default" w:ascii="Times New Roman" w:hAnsi="Times New Roman" w:eastAsia="Times New Roman" w:cs="Times New Roman"/>
        </w:rPr>
        <w:t>, teste de resistência em posição invertida (</w:t>
      </w:r>
      <w:r>
        <w:rPr>
          <w:rFonts w:hint="default" w:ascii="Times New Roman" w:hAnsi="Times New Roman" w:eastAsia="Times New Roman" w:cs="Times New Roman"/>
          <w:i/>
          <w:iCs/>
        </w:rPr>
        <w:t>wall</w:t>
      </w:r>
      <w:r>
        <w:rPr>
          <w:rFonts w:hint="default" w:ascii="Times New Roman" w:hAnsi="Times New Roman" w:eastAsia="Times New Roman" w:cs="Times New Roman"/>
        </w:rPr>
        <w:t>-</w:t>
      </w:r>
      <w:r>
        <w:rPr>
          <w:rFonts w:hint="default" w:ascii="Times New Roman" w:hAnsi="Times New Roman" w:eastAsia="Times New Roman" w:cs="Times New Roman"/>
          <w:i/>
          <w:iCs/>
        </w:rPr>
        <w:t>supported</w:t>
      </w:r>
      <w:r>
        <w:rPr>
          <w:rFonts w:hint="default" w:ascii="Times New Roman" w:hAnsi="Times New Roman" w:eastAsia="Times New Roman" w:cs="Times New Roman"/>
        </w:rPr>
        <w:t xml:space="preserve">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teste de uma repetição máxima (1-RM) no </w:t>
      </w:r>
      <w:r>
        <w:rPr>
          <w:rFonts w:hint="default" w:ascii="Times New Roman" w:hAnsi="Times New Roman" w:eastAsia="Times New Roman" w:cs="Times New Roman"/>
          <w:i/>
          <w:iCs/>
        </w:rPr>
        <w:t>SP</w:t>
      </w:r>
      <w:r>
        <w:rPr>
          <w:rFonts w:hint="default" w:ascii="Times New Roman" w:hAnsi="Times New Roman" w:eastAsia="Times New Roman" w:cs="Times New Roman"/>
        </w:rPr>
        <w:t xml:space="preserve">, além da avaliação da composição corporal por um equipamento de bioimpedância elétrica tetrapolar.  A segunda sessão ocorrerá no Laboratório de Biomecânica e Controle Motor (LaBioCoM) e incluirá a avaliação da execução do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do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por meio de sistema de captura de movimento (Vicon</w:t>
      </w:r>
      <w:r>
        <w:rPr>
          <w:rFonts w:hint="default" w:ascii="Times New Roman" w:hAnsi="Times New Roman" w:eastAsia="Times New Roman" w:cs="Times New Roman"/>
          <w:color w:val="0C3C60"/>
        </w:rPr>
        <w:t>®</w:t>
      </w:r>
      <w:r>
        <w:rPr>
          <w:rFonts w:hint="default" w:ascii="Times New Roman" w:hAnsi="Times New Roman" w:eastAsia="Times New Roman" w:cs="Times New Roman"/>
        </w:rPr>
        <w:t>, Oxford, Reino Unido) para aquisição de dados cinemáticos: ângulos articulares (punhos, ombros, quadril e cabeça), base de apoio (distância entre mãos), altura do centro de massa (CoM) e comprimentos dos membros; e determinar parâmetros espaço-temporais, incluindo distância percorrida, tempo de execução, velocidade média, comprimento médio das passadas, cadência, tempo de contato das mãos com o solo e variabilidade entre passadas; e de plataforma de força (Bertec®, Columbus, OH, USA) para quantificação de parâmetros estabilométricos, como variabilidade do</w:t>
      </w:r>
      <w:r>
        <w:rPr>
          <w:rFonts w:hint="default" w:ascii="Times New Roman" w:hAnsi="Times New Roman" w:cs="Times New Roman"/>
          <w:lang w:val="pt-BR"/>
        </w:rPr>
        <w:t xml:space="preserve"> </w:t>
      </w:r>
      <w:r>
        <w:rPr>
          <w:rFonts w:hint="default" w:ascii="Times New Roman" w:hAnsi="Times New Roman" w:eastAsia="Times New Roman" w:cs="Times New Roman"/>
        </w:rPr>
        <w:t>CoP</w:t>
      </w:r>
      <w:r>
        <w:rPr>
          <w:rFonts w:hint="default" w:ascii="Times New Roman" w:hAnsi="Times New Roman" w:cs="Times New Roman"/>
          <w:lang w:val="pt-BR"/>
        </w:rPr>
        <w:t xml:space="preserve">, </w:t>
      </w:r>
      <w:r>
        <w:rPr>
          <w:rFonts w:hint="default" w:ascii="Times New Roman" w:hAnsi="Times New Roman" w:cs="Times New Roman"/>
        </w:rPr>
        <w:t>distância CoP-CoM</w:t>
      </w:r>
      <w:r>
        <w:rPr>
          <w:rFonts w:hint="default" w:ascii="Times New Roman" w:hAnsi="Times New Roman" w:cs="Times New Roman"/>
          <w:lang w:val="pt-BR"/>
        </w:rPr>
        <w:t xml:space="preserve"> e ApEn</w:t>
      </w:r>
      <w:r>
        <w:rPr>
          <w:rFonts w:hint="default" w:ascii="Times New Roman" w:hAnsi="Times New Roman" w:eastAsia="Times New Roman" w:cs="Times New Roman"/>
        </w:rPr>
        <w:t xml:space="preserve">. Para garantir a validade das medidas de força, em que os efeitos da fadiga neuromuscular são detrimentais, a coleta de dados sempre começará com a sessão das avaliações de força [34]. A sessão de avaliação do desempenho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será conduzida em até sete dias após, este curto intervalo também impede que ocorram mudanças significativas no condicionamento físico dos participantes, preservando a comparabilidade entre as sessões. Paralelamente, os participantes serão instruídos a evitar atividades físicas intensas nas 48 horas que antecedem cada avaliação. Todas as avaliações seguirão controle de mesmas condições ambientais, como temperatura e iluminação, e instruções verbais padronizadas a todos os participantes.</w:t>
      </w:r>
    </w:p>
    <w:p w14:paraId="5BC4660C">
      <w:pPr>
        <w:spacing w:line="360" w:lineRule="auto"/>
        <w:ind w:firstLine="426"/>
        <w:rPr>
          <w:rFonts w:hint="default" w:ascii="Times New Roman" w:hAnsi="Times New Roman" w:cs="Times New Roman"/>
        </w:rPr>
      </w:pPr>
      <w:r>
        <w:rPr>
          <w:rFonts w:hint="default" w:ascii="Times New Roman" w:hAnsi="Times New Roman" w:eastAsia="Times New Roman" w:cs="Times New Roman"/>
        </w:rPr>
        <w:t xml:space="preserve">O desempenho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será definido pelo tempo máximo de sustentação (s), que associado</w:t>
      </w:r>
      <w:r>
        <w:rPr>
          <w:rFonts w:hint="default" w:ascii="Times New Roman" w:hAnsi="Times New Roman" w:cs="Times New Roman"/>
          <w:shd w:val="clear" w:color="auto" w:fill="8DFF00"/>
        </w:rPr>
        <w:t xml:space="preserve"> </w:t>
      </w:r>
      <w:r>
        <w:rPr>
          <w:rFonts w:hint="default" w:ascii="Times New Roman" w:hAnsi="Times New Roman" w:eastAsia="Times New Roman" w:cs="Times New Roman"/>
        </w:rPr>
        <w:t xml:space="preserve">as outras variáveis poderão distinguir a proficiência de praticantes que sustentam por mais tempo em condições de maior estabilidade, em contraste com aqueles que recorrem a ajustes excessivos e apresentam maior variabilidade oscilatória. No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por sua vez, o desempenho será avaliado pela mediana da distância percorrida (m) das tentativas, devido a sua robustez frente a valores extremos, evitando que uma queda precoce ou uma única tentativa ótima distorça o desempenho representativo do indivíduo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{"citationID":"jJ5oUpwe","properties":{"formattedCitation":"[29]","plainCitation":"[29]","noteIndex":0},"citationItems":[{"id":323,"uris":["http://zotero.org/users/17274952/items/JY2NY8BU"],"itemData":{"id":323,"type":"book","call-number":"612.76","edition":"4th ed","ISBN":"978-0-470-39818-0","language":"en","publisher":"Wiley","publisher-place":"Hoboken, N.J","source":"BnF ISBN","title":"Biomechanics and motor control of human movement","author":[{"family":"Winter","given":"David A."}],"issued":{"date-parts":[["2009"]]}}}],"schema":"https://github.com/citation-style-language/schema/raw/master/csl-citation.json"}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[29]</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Todos os parâmetros avaliados poderão comparar estratégias de estabilidade e caracterizar os perfis de cada modalidade. As variáveis coletadas, métodos de medição e justificativa que serão correlacionados ao nível de desempenho do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estão apresentadas no Quadro 1 </w:t>
      </w:r>
      <w:bookmarkStart w:id="3" w:name="docs-internal-guid-8216d3de-7fff-2599-8c"/>
      <w:bookmarkEnd w:id="3"/>
      <w:r>
        <w:rPr>
          <w:rFonts w:hint="default" w:ascii="Times New Roman" w:hAnsi="Times New Roman" w:eastAsia="Times New Roman" w:cs="Times New Roman"/>
        </w:rPr>
        <w:t xml:space="preserve">e as correlacionadas ao nível de desempenho do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no Quadro 2.</w:t>
      </w:r>
      <w:bookmarkStart w:id="4" w:name="_heading=h.3d7ijnhyh4lu_Copia_1"/>
      <w:bookmarkEnd w:id="4"/>
    </w:p>
    <w:p w14:paraId="188BD1DF">
      <w:pPr>
        <w:spacing w:line="360" w:lineRule="auto"/>
        <w:ind w:firstLine="426"/>
        <w:rPr>
          <w:rFonts w:hint="default" w:ascii="Times New Roman" w:hAnsi="Times New Roman" w:eastAsia="Times New Roman" w:cs="Times New Roman"/>
        </w:rPr>
      </w:pPr>
      <w:r>
        <w:rPr>
          <w:rFonts w:hint="default" w:ascii="Times New Roman" w:hAnsi="Times New Roman" w:eastAsia="Times New Roman" w:cs="Times New Roman"/>
        </w:rPr>
        <w:t xml:space="preserve">QUADRO 1 – Variáveis relacionadas ao desempenho no </w:t>
      </w:r>
      <w:r>
        <w:rPr>
          <w:rFonts w:hint="default" w:ascii="Times New Roman" w:hAnsi="Times New Roman" w:eastAsia="Times New Roman" w:cs="Times New Roman"/>
          <w:i/>
          <w:iCs/>
        </w:rPr>
        <w:t>HS</w:t>
      </w:r>
      <w:r>
        <w:rPr>
          <w:rFonts w:hint="default" w:ascii="Times New Roman" w:hAnsi="Times New Roman" w:eastAsia="Times New Roman" w:cs="Times New Roman"/>
        </w:rPr>
        <w:t>.</w:t>
      </w:r>
    </w:p>
    <w:tbl>
      <w:tblPr>
        <w:tblStyle w:val="7"/>
        <w:tblW w:w="11718" w:type="dxa"/>
        <w:jc w:val="center"/>
        <w:tblLayout w:type="fixed"/>
        <w:tblCellMar>
          <w:top w:w="0" w:type="dxa"/>
          <w:left w:w="108" w:type="dxa"/>
          <w:bottom w:w="0" w:type="dxa"/>
          <w:right w:w="108" w:type="dxa"/>
        </w:tblCellMar>
      </w:tblPr>
      <w:tblGrid>
        <w:gridCol w:w="2992"/>
        <w:gridCol w:w="2532"/>
        <w:gridCol w:w="2532"/>
        <w:gridCol w:w="3662"/>
      </w:tblGrid>
      <w:tr w14:paraId="08901776">
        <w:tblPrEx>
          <w:tblCellMar>
            <w:top w:w="0" w:type="dxa"/>
            <w:left w:w="108" w:type="dxa"/>
            <w:bottom w:w="0" w:type="dxa"/>
            <w:right w:w="108" w:type="dxa"/>
          </w:tblCellMar>
        </w:tblPrEx>
        <w:trPr>
          <w:tblHeader/>
          <w:jc w:val="center"/>
        </w:trPr>
        <w:tc>
          <w:tcPr>
            <w:tcW w:w="299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6FF26FC">
            <w:pPr>
              <w:spacing w:line="36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Variável</w:t>
            </w:r>
          </w:p>
        </w:tc>
        <w:tc>
          <w:tcPr>
            <w:tcW w:w="253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F6AE53D">
            <w:pPr>
              <w:spacing w:line="360" w:lineRule="auto"/>
              <w:jc w:val="left"/>
              <w:rPr>
                <w:rFonts w:hint="default" w:ascii="Times New Roman" w:hAnsi="Times New Roman" w:eastAsia="Times New Roman" w:cs="Times New Roman"/>
                <w:b/>
                <w:bCs/>
                <w:lang w:val="pt-BR"/>
              </w:rPr>
            </w:pPr>
            <w:r>
              <w:rPr>
                <w:rFonts w:hint="default" w:ascii="Times New Roman" w:hAnsi="Times New Roman" w:eastAsia="Times New Roman" w:cs="Times New Roman"/>
                <w:b/>
                <w:bCs/>
                <w:lang w:val="pt-BR"/>
              </w:rPr>
              <w:t>Unidade</w:t>
            </w:r>
          </w:p>
        </w:tc>
        <w:tc>
          <w:tcPr>
            <w:tcW w:w="253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5877C9F">
            <w:pPr>
              <w:spacing w:line="36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Método de Medição</w:t>
            </w:r>
          </w:p>
        </w:tc>
        <w:tc>
          <w:tcPr>
            <w:tcW w:w="366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9C4A8E3">
            <w:pPr>
              <w:spacing w:line="36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Justificativa</w:t>
            </w:r>
          </w:p>
        </w:tc>
      </w:tr>
      <w:tr w14:paraId="5B65BD35">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1AE0BB3F">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rPr>
              <w:t>Melhor tempo de sustentação</w:t>
            </w:r>
            <w:r>
              <w:rPr>
                <w:rFonts w:hint="default" w:ascii="Times New Roman" w:hAnsi="Times New Roman" w:eastAsia="Times New Roman" w:cs="Times New Roman"/>
                <w:lang w:val="pt-BR"/>
              </w:rPr>
              <w:t xml:space="preserve"> (desfecho)</w:t>
            </w:r>
          </w:p>
        </w:tc>
        <w:tc>
          <w:tcPr>
            <w:tcW w:w="2532" w:type="dxa"/>
            <w:tcBorders>
              <w:top w:val="single" w:color="000000" w:sz="4" w:space="0"/>
              <w:left w:val="single" w:color="000000" w:sz="4" w:space="0"/>
              <w:bottom w:val="single" w:color="000000" w:sz="4" w:space="0"/>
              <w:right w:val="single" w:color="000000" w:sz="4" w:space="0"/>
            </w:tcBorders>
            <w:vAlign w:val="center"/>
          </w:tcPr>
          <w:p w14:paraId="4374F73B">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Segundos (s)</w:t>
            </w:r>
          </w:p>
        </w:tc>
        <w:tc>
          <w:tcPr>
            <w:tcW w:w="2532" w:type="dxa"/>
            <w:tcBorders>
              <w:top w:val="single" w:color="000000" w:sz="4" w:space="0"/>
              <w:left w:val="single" w:color="000000" w:sz="4" w:space="0"/>
              <w:bottom w:val="single" w:color="000000" w:sz="4" w:space="0"/>
              <w:right w:val="single" w:color="000000" w:sz="4" w:space="0"/>
            </w:tcBorders>
            <w:vAlign w:val="center"/>
          </w:tcPr>
          <w:p w14:paraId="3A7C2E4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49079A07">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43ACE8A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Reflete a capacidade de manutenção do equilíbrio.</w:t>
            </w:r>
          </w:p>
        </w:tc>
      </w:tr>
      <w:tr w14:paraId="5F430EE5">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11459FE9">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Autonomia de Estabilização (desfecho)</w:t>
            </w:r>
          </w:p>
        </w:tc>
        <w:tc>
          <w:tcPr>
            <w:tcW w:w="2532" w:type="dxa"/>
            <w:tcBorders>
              <w:top w:val="single" w:color="000000" w:sz="4" w:space="0"/>
              <w:left w:val="single" w:color="000000" w:sz="4" w:space="0"/>
              <w:bottom w:val="single" w:color="000000" w:sz="4" w:space="0"/>
              <w:right w:val="single" w:color="000000" w:sz="4" w:space="0"/>
            </w:tcBorders>
            <w:vAlign w:val="center"/>
          </w:tcPr>
          <w:p w14:paraId="4EF94285">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Binária (Sucesso / Falha)</w:t>
            </w:r>
          </w:p>
        </w:tc>
        <w:tc>
          <w:tcPr>
            <w:tcW w:w="2532" w:type="dxa"/>
            <w:tcBorders>
              <w:top w:val="single" w:color="000000" w:sz="4" w:space="0"/>
              <w:left w:val="single" w:color="000000" w:sz="4" w:space="0"/>
              <w:bottom w:val="single" w:color="000000" w:sz="4" w:space="0"/>
              <w:right w:val="single" w:color="000000" w:sz="4" w:space="0"/>
            </w:tcBorders>
            <w:vAlign w:val="center"/>
          </w:tcPr>
          <w:p w14:paraId="1D8A451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D8ABFC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75AC258B">
            <w:pPr>
              <w:keepNext w:val="0"/>
              <w:keepLines w:val="0"/>
              <w:widowControl/>
              <w:suppressLineNumbers w:val="0"/>
              <w:jc w:val="left"/>
              <w:rPr>
                <w:rFonts w:hint="default" w:ascii="Times New Roman" w:hAnsi="Times New Roman" w:eastAsia="Times New Roman" w:cs="Times New Roman"/>
              </w:rPr>
            </w:pPr>
            <w:r>
              <w:rPr>
                <w:rFonts w:hint="default" w:ascii="Times New Roman" w:hAnsi="Times New Roman" w:eastAsia="Times New Roman" w:cs="Times New Roman"/>
                <w:sz w:val="24"/>
                <w:szCs w:val="24"/>
                <w:lang w:val="en-US" w:eastAsia="zh-CN" w:bidi="ar-SA"/>
              </w:rPr>
              <w:t>Avalia o êxito na entrada autônoma e estabilização livre por ≥</w:t>
            </w:r>
            <w:r>
              <w:rPr>
                <w:rFonts w:hint="default" w:ascii="Times New Roman" w:hAnsi="Times New Roman" w:eastAsia="Times New Roman" w:cs="Times New Roman"/>
                <w:sz w:val="24"/>
                <w:szCs w:val="24"/>
                <w:lang w:val="pt-BR" w:eastAsia="zh-CN" w:bidi="ar-SA"/>
              </w:rPr>
              <w:t>3</w:t>
            </w:r>
            <w:r>
              <w:rPr>
                <w:rFonts w:hint="default" w:ascii="Times New Roman" w:hAnsi="Times New Roman" w:eastAsia="Times New Roman" w:cs="Times New Roman"/>
                <w:sz w:val="24"/>
                <w:szCs w:val="24"/>
                <w:lang w:val="en-US" w:eastAsia="zh-CN" w:bidi="ar-SA"/>
              </w:rPr>
              <w:t xml:space="preserve">s. </w:t>
            </w:r>
          </w:p>
        </w:tc>
      </w:tr>
      <w:tr w14:paraId="0F04AB69">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69188E1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Índice de Verticalidade</w:t>
            </w:r>
          </w:p>
        </w:tc>
        <w:tc>
          <w:tcPr>
            <w:tcW w:w="2532" w:type="dxa"/>
            <w:tcBorders>
              <w:top w:val="single" w:color="000000" w:sz="4" w:space="0"/>
              <w:left w:val="single" w:color="000000" w:sz="4" w:space="0"/>
              <w:bottom w:val="single" w:color="000000" w:sz="4" w:space="0"/>
              <w:right w:val="single" w:color="000000" w:sz="4" w:space="0"/>
            </w:tcBorders>
            <w:vAlign w:val="center"/>
          </w:tcPr>
          <w:p w14:paraId="54BD8219">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Graus (º)</w:t>
            </w:r>
          </w:p>
        </w:tc>
        <w:tc>
          <w:tcPr>
            <w:tcW w:w="2532" w:type="dxa"/>
            <w:tcBorders>
              <w:top w:val="single" w:color="000000" w:sz="4" w:space="0"/>
              <w:left w:val="single" w:color="000000" w:sz="4" w:space="0"/>
              <w:bottom w:val="single" w:color="000000" w:sz="4" w:space="0"/>
              <w:right w:val="single" w:color="000000" w:sz="4" w:space="0"/>
            </w:tcBorders>
            <w:vAlign w:val="center"/>
          </w:tcPr>
          <w:p w14:paraId="6E10018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7716F3C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(Vicon®) </w:t>
            </w:r>
          </w:p>
        </w:tc>
        <w:tc>
          <w:tcPr>
            <w:tcW w:w="3662" w:type="dxa"/>
            <w:tcBorders>
              <w:top w:val="single" w:color="000000" w:sz="4" w:space="0"/>
              <w:left w:val="single" w:color="000000" w:sz="4" w:space="0"/>
              <w:bottom w:val="single" w:color="000000" w:sz="4" w:space="0"/>
              <w:right w:val="single" w:color="000000" w:sz="4" w:space="0"/>
            </w:tcBorders>
            <w:vAlign w:val="center"/>
          </w:tcPr>
          <w:p w14:paraId="4692F66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Eficiência do alinhamento angular segmentar 3D absoluto entre ombro e quadril.</w:t>
            </w:r>
          </w:p>
        </w:tc>
      </w:tr>
      <w:tr w14:paraId="666E8B98">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723E0E09">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Extensão Cervical</w:t>
            </w:r>
          </w:p>
        </w:tc>
        <w:tc>
          <w:tcPr>
            <w:tcW w:w="2532" w:type="dxa"/>
            <w:tcBorders>
              <w:top w:val="single" w:color="000000" w:sz="4" w:space="0"/>
              <w:left w:val="single" w:color="000000" w:sz="4" w:space="0"/>
              <w:bottom w:val="single" w:color="000000" w:sz="4" w:space="0"/>
              <w:right w:val="single" w:color="000000" w:sz="4" w:space="0"/>
            </w:tcBorders>
            <w:vAlign w:val="center"/>
          </w:tcPr>
          <w:p w14:paraId="73C5241A">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Graus (º)</w:t>
            </w:r>
          </w:p>
        </w:tc>
        <w:tc>
          <w:tcPr>
            <w:tcW w:w="2532" w:type="dxa"/>
            <w:tcBorders>
              <w:top w:val="single" w:color="000000" w:sz="4" w:space="0"/>
              <w:left w:val="single" w:color="000000" w:sz="4" w:space="0"/>
              <w:bottom w:val="single" w:color="000000" w:sz="4" w:space="0"/>
              <w:right w:val="single" w:color="000000" w:sz="4" w:space="0"/>
            </w:tcBorders>
            <w:vAlign w:val="center"/>
          </w:tcPr>
          <w:p w14:paraId="28B0DAA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56CCF34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(Vicon®) </w:t>
            </w:r>
          </w:p>
        </w:tc>
        <w:tc>
          <w:tcPr>
            <w:tcW w:w="3662" w:type="dxa"/>
            <w:tcBorders>
              <w:top w:val="single" w:color="000000" w:sz="4" w:space="0"/>
              <w:left w:val="single" w:color="000000" w:sz="4" w:space="0"/>
              <w:bottom w:val="single" w:color="000000" w:sz="4" w:space="0"/>
              <w:right w:val="single" w:color="000000" w:sz="4" w:space="0"/>
            </w:tcBorders>
            <w:vAlign w:val="center"/>
          </w:tcPr>
          <w:p w14:paraId="313385CA">
            <w:pPr>
              <w:keepNext w:val="0"/>
              <w:keepLines w:val="0"/>
              <w:widowControl/>
              <w:suppressLineNumbers w:val="0"/>
              <w:jc w:val="left"/>
              <w:rPr>
                <w:rFonts w:hint="default" w:ascii="Times New Roman" w:hAnsi="Times New Roman" w:eastAsia="SimSun" w:cs="Times New Roman"/>
                <w:sz w:val="24"/>
                <w:szCs w:val="24"/>
              </w:rPr>
            </w:pPr>
            <w:r>
              <w:rPr>
                <w:rFonts w:hint="default" w:ascii="Times New Roman" w:hAnsi="Times New Roman" w:eastAsia="sans-serif" w:cs="Times New Roman"/>
                <w:kern w:val="0"/>
                <w:sz w:val="24"/>
                <w:szCs w:val="24"/>
                <w:lang w:val="en-US" w:eastAsia="zh-CN" w:bidi="ar"/>
              </w:rPr>
              <w:t>Influência da orientação da cabeça no feedback visual e organização postural.</w:t>
            </w:r>
            <w:r>
              <w:rPr>
                <w:rFonts w:hint="default" w:ascii="Times New Roman" w:hAnsi="Times New Roman" w:eastAsia="SimSun" w:cs="Times New Roman"/>
                <w:kern w:val="0"/>
                <w:sz w:val="24"/>
                <w:szCs w:val="24"/>
                <w:lang w:val="en-US" w:eastAsia="zh-CN" w:bidi="ar"/>
              </w:rPr>
              <w:t xml:space="preserve"> </w:t>
            </w:r>
          </w:p>
        </w:tc>
      </w:tr>
      <w:tr w14:paraId="2D777F44">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373F03A4">
            <w:pPr>
              <w:rPr>
                <w:rFonts w:hint="default" w:ascii="Times New Roman" w:hAnsi="Times New Roman" w:cs="Times New Roman"/>
                <w:lang w:val="pt-BR"/>
              </w:rPr>
            </w:pPr>
            <w:r>
              <w:rPr>
                <w:rFonts w:hint="default" w:ascii="Times New Roman" w:hAnsi="Times New Roman" w:cs="Times New Roman"/>
              </w:rPr>
              <w:t xml:space="preserve">Flexão Plantar do Tornozelo </w:t>
            </w:r>
          </w:p>
        </w:tc>
        <w:tc>
          <w:tcPr>
            <w:tcW w:w="2532" w:type="dxa"/>
            <w:tcBorders>
              <w:top w:val="single" w:color="000000" w:sz="4" w:space="0"/>
              <w:left w:val="single" w:color="000000" w:sz="4" w:space="0"/>
              <w:bottom w:val="single" w:color="000000" w:sz="4" w:space="0"/>
              <w:right w:val="single" w:color="000000" w:sz="4" w:space="0"/>
            </w:tcBorders>
            <w:vAlign w:val="center"/>
          </w:tcPr>
          <w:p w14:paraId="5868CB16">
            <w:pPr>
              <w:rPr>
                <w:rFonts w:hint="default" w:ascii="Times New Roman" w:hAnsi="Times New Roman" w:cs="Times New Roman"/>
                <w:lang w:val="pt-BR"/>
              </w:rPr>
            </w:pPr>
            <w:r>
              <w:rPr>
                <w:rFonts w:hint="default" w:ascii="Times New Roman" w:hAnsi="Times New Roman" w:cs="Times New Roman"/>
                <w:lang w:val="pt-BR"/>
              </w:rPr>
              <w:t>Graus (º)</w:t>
            </w:r>
          </w:p>
        </w:tc>
        <w:tc>
          <w:tcPr>
            <w:tcW w:w="2532" w:type="dxa"/>
            <w:tcBorders>
              <w:top w:val="single" w:color="000000" w:sz="4" w:space="0"/>
              <w:left w:val="single" w:color="000000" w:sz="4" w:space="0"/>
              <w:bottom w:val="single" w:color="000000" w:sz="4" w:space="0"/>
              <w:right w:val="single" w:color="000000" w:sz="4" w:space="0"/>
            </w:tcBorders>
            <w:vAlign w:val="center"/>
          </w:tcPr>
          <w:p w14:paraId="41E533FB">
            <w:pPr>
              <w:rPr>
                <w:rFonts w:hint="default" w:ascii="Times New Roman" w:hAnsi="Times New Roman" w:cs="Times New Roman"/>
              </w:rPr>
            </w:pPr>
            <w:r>
              <w:rPr>
                <w:rFonts w:hint="default" w:ascii="Times New Roman" w:hAnsi="Times New Roman" w:cs="Times New Roman"/>
              </w:rPr>
              <w:t xml:space="preserve">Captura de Movimento </w:t>
            </w:r>
          </w:p>
          <w:p w14:paraId="26CE6D70">
            <w:pPr>
              <w:rPr>
                <w:rFonts w:hint="default" w:ascii="Times New Roman" w:hAnsi="Times New Roman" w:cs="Times New Roman"/>
              </w:rPr>
            </w:pPr>
            <w:r>
              <w:rPr>
                <w:rFonts w:hint="default" w:ascii="Times New Roman" w:hAnsi="Times New Roman" w:cs="Times New Roman"/>
              </w:rPr>
              <w:t xml:space="preserve">(Vicon®) </w:t>
            </w:r>
          </w:p>
        </w:tc>
        <w:tc>
          <w:tcPr>
            <w:tcW w:w="3662" w:type="dxa"/>
            <w:tcBorders>
              <w:top w:val="single" w:color="000000" w:sz="4" w:space="0"/>
              <w:left w:val="single" w:color="000000" w:sz="4" w:space="0"/>
              <w:bottom w:val="single" w:color="000000" w:sz="4" w:space="0"/>
              <w:right w:val="single" w:color="000000" w:sz="4" w:space="0"/>
            </w:tcBorders>
            <w:vAlign w:val="center"/>
          </w:tcPr>
          <w:p w14:paraId="5C8D7A68">
            <w:pPr>
              <w:rPr>
                <w:rFonts w:hint="default" w:ascii="Times New Roman" w:hAnsi="Times New Roman" w:cs="Times New Roman"/>
                <w:lang w:val="pt-BR" w:eastAsia="zh-CN"/>
              </w:rPr>
            </w:pPr>
            <w:r>
              <w:rPr>
                <w:rFonts w:hint="default" w:ascii="Times New Roman" w:hAnsi="Times New Roman" w:cs="Times New Roman"/>
              </w:rPr>
              <w:t xml:space="preserve">Avalia a rigidez segmentar distal e </w:t>
            </w:r>
            <w:r>
              <w:rPr>
                <w:rFonts w:hint="default" w:ascii="Times New Roman" w:hAnsi="Times New Roman" w:cs="Times New Roman"/>
                <w:lang w:val="pt-BR"/>
              </w:rPr>
              <w:t>engajamento muscular</w:t>
            </w:r>
            <w:r>
              <w:rPr>
                <w:rFonts w:hint="default" w:ascii="Times New Roman" w:hAnsi="Times New Roman" w:cs="Times New Roman"/>
              </w:rPr>
              <w:t xml:space="preserve"> </w:t>
            </w:r>
            <w:r>
              <w:rPr>
                <w:rFonts w:hint="default" w:ascii="Times New Roman" w:hAnsi="Times New Roman" w:cs="Times New Roman"/>
                <w:i/>
                <w:iCs/>
              </w:rPr>
              <w:t>single-link</w:t>
            </w:r>
            <w:r>
              <w:rPr>
                <w:rFonts w:hint="default" w:ascii="Times New Roman" w:hAnsi="Times New Roman" w:cs="Times New Roman"/>
                <w:lang w:val="pt-BR"/>
              </w:rPr>
              <w:t xml:space="preserve"> (rígido)</w:t>
            </w:r>
            <w:r>
              <w:rPr>
                <w:rFonts w:hint="default" w:ascii="Times New Roman" w:hAnsi="Times New Roman" w:cs="Times New Roman"/>
              </w:rPr>
              <w:t> vs. </w:t>
            </w:r>
            <w:r>
              <w:rPr>
                <w:rFonts w:hint="default" w:ascii="Times New Roman" w:hAnsi="Times New Roman" w:cs="Times New Roman"/>
                <w:i/>
                <w:iCs/>
              </w:rPr>
              <w:t>multi-link</w:t>
            </w:r>
            <w:r>
              <w:rPr>
                <w:rFonts w:hint="default" w:ascii="Times New Roman" w:hAnsi="Times New Roman" w:cs="Times New Roman"/>
              </w:rPr>
              <w:t> </w:t>
            </w:r>
            <w:r>
              <w:rPr>
                <w:rFonts w:hint="default" w:ascii="Times New Roman" w:hAnsi="Times New Roman" w:cs="Times New Roman"/>
                <w:lang w:val="pt-BR"/>
              </w:rPr>
              <w:t>(os</w:t>
            </w:r>
            <w:r>
              <w:rPr>
                <w:rFonts w:hint="default" w:ascii="Times New Roman" w:hAnsi="Times New Roman" w:cs="Times New Roman"/>
              </w:rPr>
              <w:t>ila</w:t>
            </w:r>
            <w:r>
              <w:rPr>
                <w:rFonts w:hint="default" w:ascii="Times New Roman" w:hAnsi="Times New Roman" w:cs="Times New Roman"/>
                <w:lang w:val="pt-BR"/>
              </w:rPr>
              <w:t>nte)</w:t>
            </w:r>
          </w:p>
        </w:tc>
      </w:tr>
      <w:tr w14:paraId="4E59BBC5">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41309FA1">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 xml:space="preserve">Largura da </w:t>
            </w:r>
            <w:r>
              <w:rPr>
                <w:rFonts w:hint="default" w:ascii="Times New Roman" w:hAnsi="Times New Roman" w:eastAsia="Times New Roman" w:cs="Times New Roman"/>
              </w:rPr>
              <w:t>Base de apoio</w:t>
            </w:r>
          </w:p>
        </w:tc>
        <w:tc>
          <w:tcPr>
            <w:tcW w:w="2532" w:type="dxa"/>
            <w:tcBorders>
              <w:top w:val="single" w:color="000000" w:sz="4" w:space="0"/>
              <w:left w:val="single" w:color="000000" w:sz="4" w:space="0"/>
              <w:bottom w:val="single" w:color="000000" w:sz="4" w:space="0"/>
              <w:right w:val="single" w:color="000000" w:sz="4" w:space="0"/>
            </w:tcBorders>
            <w:vAlign w:val="center"/>
          </w:tcPr>
          <w:p w14:paraId="215C7CCE">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0168BE1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A50CFE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79445ABB">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Distância mediolateral linear entre as articulações dos punhos na base.</w:t>
            </w:r>
          </w:p>
        </w:tc>
      </w:tr>
      <w:tr w14:paraId="0E9DA64D">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A222E5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Orientação angular das mãos</w:t>
            </w:r>
          </w:p>
        </w:tc>
        <w:tc>
          <w:tcPr>
            <w:tcW w:w="2532" w:type="dxa"/>
            <w:tcBorders>
              <w:top w:val="single" w:color="000000" w:sz="4" w:space="0"/>
              <w:left w:val="single" w:color="000000" w:sz="4" w:space="0"/>
              <w:bottom w:val="single" w:color="000000" w:sz="4" w:space="0"/>
              <w:right w:val="single" w:color="000000" w:sz="4" w:space="0"/>
            </w:tcBorders>
            <w:vAlign w:val="center"/>
          </w:tcPr>
          <w:p w14:paraId="53E00FEF">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Graus (°)</w:t>
            </w:r>
          </w:p>
        </w:tc>
        <w:tc>
          <w:tcPr>
            <w:tcW w:w="2532" w:type="dxa"/>
            <w:tcBorders>
              <w:top w:val="single" w:color="000000" w:sz="4" w:space="0"/>
              <w:left w:val="single" w:color="000000" w:sz="4" w:space="0"/>
              <w:bottom w:val="single" w:color="000000" w:sz="4" w:space="0"/>
              <w:right w:val="single" w:color="000000" w:sz="4" w:space="0"/>
            </w:tcBorders>
            <w:vAlign w:val="center"/>
          </w:tcPr>
          <w:p w14:paraId="2D431B7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5C57F19B">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34DC9DC7">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Grau de rotação externa das mãos sobre o solo como estratégia compensatória.</w:t>
            </w:r>
          </w:p>
        </w:tc>
      </w:tr>
      <w:tr w14:paraId="2CA5C87F">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47CF4A6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Velocidade do CoP</w:t>
            </w:r>
          </w:p>
        </w:tc>
        <w:tc>
          <w:tcPr>
            <w:tcW w:w="2532" w:type="dxa"/>
            <w:tcBorders>
              <w:top w:val="single" w:color="000000" w:sz="4" w:space="0"/>
              <w:left w:val="single" w:color="000000" w:sz="4" w:space="0"/>
              <w:bottom w:val="single" w:color="000000" w:sz="4" w:space="0"/>
              <w:right w:val="single" w:color="000000" w:sz="4" w:space="0"/>
            </w:tcBorders>
            <w:vAlign w:val="center"/>
          </w:tcPr>
          <w:p w14:paraId="0F04989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mm/s</w:t>
            </w:r>
          </w:p>
        </w:tc>
        <w:tc>
          <w:tcPr>
            <w:tcW w:w="2532" w:type="dxa"/>
            <w:tcBorders>
              <w:top w:val="single" w:color="000000" w:sz="4" w:space="0"/>
              <w:left w:val="single" w:color="000000" w:sz="4" w:space="0"/>
              <w:bottom w:val="single" w:color="000000" w:sz="4" w:space="0"/>
              <w:right w:val="single" w:color="000000" w:sz="4" w:space="0"/>
            </w:tcBorders>
            <w:vAlign w:val="center"/>
          </w:tcPr>
          <w:p w14:paraId="7665DE01">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Plataforma de Força (Bertec®)</w:t>
            </w:r>
          </w:p>
        </w:tc>
        <w:tc>
          <w:tcPr>
            <w:tcW w:w="3662" w:type="dxa"/>
            <w:tcBorders>
              <w:top w:val="single" w:color="000000" w:sz="4" w:space="0"/>
              <w:left w:val="single" w:color="000000" w:sz="4" w:space="0"/>
              <w:bottom w:val="single" w:color="000000" w:sz="4" w:space="0"/>
              <w:right w:val="single" w:color="000000" w:sz="4" w:space="0"/>
            </w:tcBorders>
            <w:vAlign w:val="center"/>
          </w:tcPr>
          <w:p w14:paraId="3D02B9F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Expressa a frequência e a rapidez do esforço neuromuscular corretivo.</w:t>
            </w:r>
          </w:p>
        </w:tc>
      </w:tr>
      <w:tr w14:paraId="5022C843">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620D3F0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Entropia Aproximada (</w:t>
            </w:r>
            <w:r>
              <w:rPr>
                <w:rFonts w:hint="default" w:ascii="Times New Roman" w:hAnsi="Times New Roman" w:eastAsia="Times New Roman" w:cs="Times New Roman"/>
              </w:rPr>
              <w:t>ApEn</w:t>
            </w:r>
            <w:r>
              <w:rPr>
                <w:rFonts w:hint="default" w:ascii="Times New Roman" w:hAnsi="Times New Roman" w:eastAsia="Times New Roman" w:cs="Times New Roman"/>
                <w:lang w:val="pt-BR"/>
              </w:rPr>
              <w:t>)</w:t>
            </w:r>
          </w:p>
        </w:tc>
        <w:tc>
          <w:tcPr>
            <w:tcW w:w="2532" w:type="dxa"/>
            <w:tcBorders>
              <w:top w:val="single" w:color="000000" w:sz="4" w:space="0"/>
              <w:left w:val="single" w:color="000000" w:sz="4" w:space="0"/>
              <w:bottom w:val="single" w:color="000000" w:sz="4" w:space="0"/>
              <w:right w:val="single" w:color="000000" w:sz="4" w:space="0"/>
            </w:tcBorders>
            <w:vAlign w:val="center"/>
          </w:tcPr>
          <w:p w14:paraId="1D4030F0">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Unidades Arbitrárias</w:t>
            </w:r>
          </w:p>
        </w:tc>
        <w:tc>
          <w:tcPr>
            <w:tcW w:w="2532" w:type="dxa"/>
            <w:tcBorders>
              <w:top w:val="single" w:color="000000" w:sz="4" w:space="0"/>
              <w:left w:val="single" w:color="000000" w:sz="4" w:space="0"/>
              <w:bottom w:val="single" w:color="000000" w:sz="4" w:space="0"/>
              <w:right w:val="single" w:color="000000" w:sz="4" w:space="0"/>
            </w:tcBorders>
            <w:vAlign w:val="center"/>
          </w:tcPr>
          <w:p w14:paraId="3137D778">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Plataforma de Força (Bertec®)</w:t>
            </w:r>
          </w:p>
        </w:tc>
        <w:tc>
          <w:tcPr>
            <w:tcW w:w="3662" w:type="dxa"/>
            <w:tcBorders>
              <w:top w:val="single" w:color="000000" w:sz="4" w:space="0"/>
              <w:left w:val="single" w:color="000000" w:sz="4" w:space="0"/>
              <w:bottom w:val="single" w:color="000000" w:sz="4" w:space="0"/>
              <w:right w:val="single" w:color="000000" w:sz="4" w:space="0"/>
            </w:tcBorders>
            <w:vAlign w:val="center"/>
          </w:tcPr>
          <w:p w14:paraId="4651EDF6">
            <w:pPr>
              <w:spacing w:line="360" w:lineRule="auto"/>
              <w:jc w:val="left"/>
              <w:rPr>
                <w:rFonts w:hint="default" w:ascii="Times New Roman" w:hAnsi="Times New Roman" w:cs="Times New Roman"/>
              </w:rPr>
            </w:pPr>
            <w:r>
              <w:rPr>
                <w:rFonts w:hint="default" w:ascii="Times New Roman" w:hAnsi="Times New Roman" w:eastAsia="SimSun" w:cs="Times New Roman"/>
                <w:sz w:val="24"/>
                <w:szCs w:val="24"/>
              </w:rPr>
              <w:t>Mensura a regularidade, complexidade e automaticidade do controle postural.</w:t>
            </w:r>
          </w:p>
        </w:tc>
      </w:tr>
      <w:tr w14:paraId="19E6843A">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CB981D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Distância média entre CoP-CoM</w:t>
            </w:r>
          </w:p>
        </w:tc>
        <w:tc>
          <w:tcPr>
            <w:tcW w:w="2532" w:type="dxa"/>
            <w:tcBorders>
              <w:top w:val="single" w:color="000000" w:sz="4" w:space="0"/>
              <w:left w:val="single" w:color="000000" w:sz="4" w:space="0"/>
              <w:bottom w:val="single" w:color="000000" w:sz="4" w:space="0"/>
              <w:right w:val="single" w:color="000000" w:sz="4" w:space="0"/>
            </w:tcBorders>
            <w:vAlign w:val="center"/>
          </w:tcPr>
          <w:p w14:paraId="70817CB3">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663F49E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43B7C278">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 + Plataforma de Força (Bertec®)</w:t>
            </w:r>
          </w:p>
        </w:tc>
        <w:tc>
          <w:tcPr>
            <w:tcW w:w="3662" w:type="dxa"/>
            <w:tcBorders>
              <w:top w:val="single" w:color="000000" w:sz="4" w:space="0"/>
              <w:left w:val="single" w:color="000000" w:sz="4" w:space="0"/>
              <w:bottom w:val="single" w:color="000000" w:sz="4" w:space="0"/>
              <w:right w:val="single" w:color="000000" w:sz="4" w:space="0"/>
            </w:tcBorders>
            <w:vAlign w:val="center"/>
          </w:tcPr>
          <w:p w14:paraId="7BAC3E7F">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Quantifica o erro real de equilíbrio (braço de momento do torque gravitacional).</w:t>
            </w:r>
          </w:p>
        </w:tc>
      </w:tr>
      <w:tr w14:paraId="32BA1A80">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F1F3A35">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Pico de torque</w:t>
            </w:r>
            <w:r>
              <w:rPr>
                <w:rFonts w:hint="default" w:ascii="Times New Roman" w:hAnsi="Times New Roman" w:eastAsia="Times New Roman" w:cs="Times New Roman"/>
              </w:rPr>
              <w:t xml:space="preserve"> flexores de punhos</w:t>
            </w:r>
            <w:r>
              <w:rPr>
                <w:rFonts w:hint="default" w:ascii="Times New Roman" w:hAnsi="Times New Roman" w:eastAsia="Times New Roman" w:cs="Times New Roman"/>
                <w:lang w:val="pt-BR"/>
              </w:rPr>
              <w:t xml:space="preserve"> (FFP)</w:t>
            </w:r>
          </w:p>
        </w:tc>
        <w:tc>
          <w:tcPr>
            <w:tcW w:w="2532" w:type="dxa"/>
            <w:tcBorders>
              <w:top w:val="single" w:color="000000" w:sz="4" w:space="0"/>
              <w:left w:val="single" w:color="000000" w:sz="4" w:space="0"/>
              <w:bottom w:val="single" w:color="000000" w:sz="4" w:space="0"/>
              <w:right w:val="single" w:color="000000" w:sz="4" w:space="0"/>
            </w:tcBorders>
            <w:vAlign w:val="center"/>
          </w:tcPr>
          <w:p w14:paraId="1F4E18B7">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N·m/kg</w:t>
            </w:r>
          </w:p>
        </w:tc>
        <w:tc>
          <w:tcPr>
            <w:tcW w:w="2532" w:type="dxa"/>
            <w:tcBorders>
              <w:top w:val="single" w:color="000000" w:sz="4" w:space="0"/>
              <w:left w:val="single" w:color="000000" w:sz="4" w:space="0"/>
              <w:bottom w:val="single" w:color="000000" w:sz="4" w:space="0"/>
              <w:right w:val="single" w:color="000000" w:sz="4" w:space="0"/>
            </w:tcBorders>
            <w:vAlign w:val="center"/>
          </w:tcPr>
          <w:p w14:paraId="3C08BC5A">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Dinamometria Isométrica (Biodex® PRO)</w:t>
            </w:r>
          </w:p>
        </w:tc>
        <w:tc>
          <w:tcPr>
            <w:tcW w:w="3662" w:type="dxa"/>
            <w:tcBorders>
              <w:top w:val="single" w:color="000000" w:sz="4" w:space="0"/>
              <w:left w:val="single" w:color="000000" w:sz="4" w:space="0"/>
              <w:bottom w:val="single" w:color="000000" w:sz="4" w:space="0"/>
              <w:right w:val="single" w:color="000000" w:sz="4" w:space="0"/>
            </w:tcBorders>
            <w:vAlign w:val="center"/>
          </w:tcPr>
          <w:p w14:paraId="362E8BE8">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Média bilateral normalizada de torque no ângulo funcional de teste (70° extensão).</w:t>
            </w:r>
          </w:p>
        </w:tc>
      </w:tr>
      <w:tr w14:paraId="1F601C18">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28976476">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Força de preensão manual (FPM)</w:t>
            </w:r>
          </w:p>
        </w:tc>
        <w:tc>
          <w:tcPr>
            <w:tcW w:w="2532" w:type="dxa"/>
            <w:tcBorders>
              <w:top w:val="single" w:color="000000" w:sz="4" w:space="0"/>
              <w:left w:val="single" w:color="000000" w:sz="4" w:space="0"/>
              <w:bottom w:val="single" w:color="000000" w:sz="4" w:space="0"/>
              <w:right w:val="single" w:color="000000" w:sz="4" w:space="0"/>
            </w:tcBorders>
            <w:vAlign w:val="center"/>
          </w:tcPr>
          <w:p w14:paraId="6FBD6DD2">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kgf/kg</w:t>
            </w:r>
          </w:p>
        </w:tc>
        <w:tc>
          <w:tcPr>
            <w:tcW w:w="2532" w:type="dxa"/>
            <w:tcBorders>
              <w:top w:val="single" w:color="000000" w:sz="4" w:space="0"/>
              <w:left w:val="single" w:color="000000" w:sz="4" w:space="0"/>
              <w:bottom w:val="single" w:color="000000" w:sz="4" w:space="0"/>
              <w:right w:val="single" w:color="000000" w:sz="4" w:space="0"/>
            </w:tcBorders>
            <w:vAlign w:val="center"/>
          </w:tcPr>
          <w:p w14:paraId="52F5D30A">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Dinamômetro Hidráulico (Saehan® SH5001)</w:t>
            </w:r>
          </w:p>
        </w:tc>
        <w:tc>
          <w:tcPr>
            <w:tcW w:w="3662" w:type="dxa"/>
            <w:tcBorders>
              <w:top w:val="single" w:color="000000" w:sz="4" w:space="0"/>
              <w:left w:val="single" w:color="000000" w:sz="4" w:space="0"/>
              <w:bottom w:val="single" w:color="000000" w:sz="4" w:space="0"/>
              <w:right w:val="single" w:color="000000" w:sz="4" w:space="0"/>
            </w:tcBorders>
            <w:vAlign w:val="center"/>
          </w:tcPr>
          <w:p w14:paraId="3BAE0E1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Média bilateral normalizada da força digital para microajustes de pressão.</w:t>
            </w:r>
          </w:p>
        </w:tc>
      </w:tr>
      <w:tr w14:paraId="69BCD1FF">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452288FA">
            <w:pPr>
              <w:spacing w:line="360" w:lineRule="auto"/>
              <w:jc w:val="left"/>
              <w:rPr>
                <w:rFonts w:hint="default" w:ascii="Times New Roman" w:hAnsi="Times New Roman" w:eastAsia="Times New Roman" w:cs="Times New Roman"/>
                <w:i/>
                <w:iCs/>
                <w:lang w:val="pt-BR"/>
              </w:rPr>
            </w:pPr>
            <w:r>
              <w:rPr>
                <w:rFonts w:hint="default" w:ascii="Times New Roman" w:hAnsi="Times New Roman" w:eastAsia="Times New Roman" w:cs="Times New Roman"/>
              </w:rPr>
              <w:t>Força máxima relativa à massa corporal no shoulder press</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i/>
                <w:iCs/>
                <w:lang w:val="pt-BR"/>
              </w:rPr>
              <w:t>SP</w:t>
            </w:r>
            <w:r>
              <w:rPr>
                <w:rFonts w:hint="default" w:ascii="Times New Roman" w:hAnsi="Times New Roman" w:eastAsia="Times New Roman" w:cs="Times New Roman"/>
                <w:lang w:val="pt-BR"/>
              </w:rPr>
              <w:t>)</w:t>
            </w:r>
          </w:p>
        </w:tc>
        <w:tc>
          <w:tcPr>
            <w:tcW w:w="2532" w:type="dxa"/>
            <w:tcBorders>
              <w:top w:val="single" w:color="000000" w:sz="4" w:space="0"/>
              <w:left w:val="single" w:color="000000" w:sz="4" w:space="0"/>
              <w:bottom w:val="single" w:color="000000" w:sz="4" w:space="0"/>
              <w:right w:val="single" w:color="000000" w:sz="4" w:space="0"/>
            </w:tcBorders>
            <w:vAlign w:val="center"/>
          </w:tcPr>
          <w:p w14:paraId="280ED519">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Kg/Kg</w:t>
            </w:r>
          </w:p>
        </w:tc>
        <w:tc>
          <w:tcPr>
            <w:tcW w:w="2532" w:type="dxa"/>
            <w:tcBorders>
              <w:top w:val="single" w:color="000000" w:sz="4" w:space="0"/>
              <w:left w:val="single" w:color="000000" w:sz="4" w:space="0"/>
              <w:bottom w:val="single" w:color="000000" w:sz="4" w:space="0"/>
              <w:right w:val="single" w:color="000000" w:sz="4" w:space="0"/>
            </w:tcBorders>
            <w:vAlign w:val="center"/>
          </w:tcPr>
          <w:p w14:paraId="58EDCADE">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Teste de 1-RM</w:t>
            </w:r>
          </w:p>
        </w:tc>
        <w:tc>
          <w:tcPr>
            <w:tcW w:w="3662" w:type="dxa"/>
            <w:tcBorders>
              <w:top w:val="single" w:color="000000" w:sz="4" w:space="0"/>
              <w:left w:val="single" w:color="000000" w:sz="4" w:space="0"/>
              <w:bottom w:val="single" w:color="000000" w:sz="4" w:space="0"/>
              <w:right w:val="single" w:color="000000" w:sz="4" w:space="0"/>
            </w:tcBorders>
            <w:vAlign w:val="center"/>
          </w:tcPr>
          <w:p w14:paraId="358C7DA4">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Capacidade relativa de suporte e estabilidade articular do complexo do ombro.</w:t>
            </w:r>
          </w:p>
        </w:tc>
      </w:tr>
      <w:tr w14:paraId="7192C65B">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BD1002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Resistência em posição invertida (</w:t>
            </w:r>
            <w:r>
              <w:rPr>
                <w:rFonts w:hint="default" w:ascii="Times New Roman" w:hAnsi="Times New Roman" w:eastAsia="Times New Roman" w:cs="Times New Roman"/>
                <w:i/>
                <w:iCs/>
              </w:rPr>
              <w:t>wall-supported HS</w:t>
            </w:r>
            <w:r>
              <w:rPr>
                <w:rFonts w:hint="default" w:ascii="Times New Roman" w:hAnsi="Times New Roman" w:eastAsia="Times New Roman" w:cs="Times New Roman"/>
              </w:rPr>
              <w:t>)</w:t>
            </w:r>
          </w:p>
        </w:tc>
        <w:tc>
          <w:tcPr>
            <w:tcW w:w="2532" w:type="dxa"/>
            <w:tcBorders>
              <w:top w:val="single" w:color="000000" w:sz="4" w:space="0"/>
              <w:left w:val="single" w:color="000000" w:sz="4" w:space="0"/>
              <w:bottom w:val="single" w:color="000000" w:sz="4" w:space="0"/>
              <w:right w:val="single" w:color="000000" w:sz="4" w:space="0"/>
            </w:tcBorders>
            <w:vAlign w:val="center"/>
          </w:tcPr>
          <w:p w14:paraId="09441101">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Segundos (s)</w:t>
            </w:r>
          </w:p>
        </w:tc>
        <w:tc>
          <w:tcPr>
            <w:tcW w:w="2532" w:type="dxa"/>
            <w:tcBorders>
              <w:top w:val="single" w:color="000000" w:sz="4" w:space="0"/>
              <w:left w:val="single" w:color="000000" w:sz="4" w:space="0"/>
              <w:bottom w:val="single" w:color="000000" w:sz="4" w:space="0"/>
              <w:right w:val="single" w:color="000000" w:sz="4" w:space="0"/>
            </w:tcBorders>
            <w:vAlign w:val="center"/>
          </w:tcPr>
          <w:p w14:paraId="6C007E5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Cronometro Digital</w:t>
            </w:r>
          </w:p>
        </w:tc>
        <w:tc>
          <w:tcPr>
            <w:tcW w:w="3662" w:type="dxa"/>
            <w:tcBorders>
              <w:top w:val="single" w:color="000000" w:sz="4" w:space="0"/>
              <w:left w:val="single" w:color="000000" w:sz="4" w:space="0"/>
              <w:bottom w:val="single" w:color="000000" w:sz="4" w:space="0"/>
              <w:right w:val="single" w:color="000000" w:sz="4" w:space="0"/>
            </w:tcBorders>
            <w:vAlign w:val="center"/>
          </w:tcPr>
          <w:p w14:paraId="69FB87B9">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Tolerância à fadiga isométrica dos membros superiores em suporte vertical.</w:t>
            </w:r>
          </w:p>
        </w:tc>
      </w:tr>
      <w:tr w14:paraId="4D39B1C7">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26D07E7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Altura do CoM</w:t>
            </w:r>
          </w:p>
        </w:tc>
        <w:tc>
          <w:tcPr>
            <w:tcW w:w="2532" w:type="dxa"/>
            <w:tcBorders>
              <w:top w:val="single" w:color="000000" w:sz="4" w:space="0"/>
              <w:left w:val="single" w:color="000000" w:sz="4" w:space="0"/>
              <w:bottom w:val="single" w:color="000000" w:sz="4" w:space="0"/>
              <w:right w:val="single" w:color="000000" w:sz="4" w:space="0"/>
            </w:tcBorders>
            <w:vAlign w:val="center"/>
          </w:tcPr>
          <w:p w14:paraId="2237380B">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27900979">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5BC83EE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2C22C704">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Determina a altura do pêndulo invertido e a instabilidade mecânica intrínseca.</w:t>
            </w:r>
          </w:p>
        </w:tc>
      </w:tr>
      <w:tr w14:paraId="6AD48F0F">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39660A84">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rPr>
              <w:t>Comprimentos dos Membros</w:t>
            </w:r>
            <w:r>
              <w:rPr>
                <w:rFonts w:hint="default" w:ascii="Times New Roman" w:hAnsi="Times New Roman" w:eastAsia="Times New Roman" w:cs="Times New Roman"/>
                <w:lang w:val="pt-BR"/>
              </w:rPr>
              <w:t xml:space="preserve"> Superiores</w:t>
            </w:r>
          </w:p>
        </w:tc>
        <w:tc>
          <w:tcPr>
            <w:tcW w:w="2532" w:type="dxa"/>
            <w:tcBorders>
              <w:top w:val="single" w:color="000000" w:sz="4" w:space="0"/>
              <w:left w:val="single" w:color="000000" w:sz="4" w:space="0"/>
              <w:bottom w:val="single" w:color="000000" w:sz="4" w:space="0"/>
              <w:right w:val="single" w:color="000000" w:sz="4" w:space="0"/>
            </w:tcBorders>
            <w:vAlign w:val="center"/>
          </w:tcPr>
          <w:p w14:paraId="7393A9E0">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32" w:type="dxa"/>
            <w:tcBorders>
              <w:top w:val="single" w:color="000000" w:sz="4" w:space="0"/>
              <w:left w:val="single" w:color="000000" w:sz="4" w:space="0"/>
              <w:bottom w:val="single" w:color="000000" w:sz="4" w:space="0"/>
              <w:right w:val="single" w:color="000000" w:sz="4" w:space="0"/>
            </w:tcBorders>
            <w:vAlign w:val="center"/>
          </w:tcPr>
          <w:p w14:paraId="1AAE410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A01393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662" w:type="dxa"/>
            <w:tcBorders>
              <w:top w:val="single" w:color="000000" w:sz="4" w:space="0"/>
              <w:left w:val="single" w:color="000000" w:sz="4" w:space="0"/>
              <w:bottom w:val="single" w:color="000000" w:sz="4" w:space="0"/>
              <w:right w:val="single" w:color="000000" w:sz="4" w:space="0"/>
            </w:tcBorders>
            <w:vAlign w:val="center"/>
          </w:tcPr>
          <w:p w14:paraId="0BFC584F">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Efeito do braço de alavanca anatômico na magnitude dos torques corretores.</w:t>
            </w:r>
          </w:p>
        </w:tc>
      </w:tr>
      <w:tr w14:paraId="3CF3178E">
        <w:tblPrEx>
          <w:tblCellMar>
            <w:top w:w="0" w:type="dxa"/>
            <w:left w:w="108" w:type="dxa"/>
            <w:bottom w:w="0" w:type="dxa"/>
            <w:right w:w="108" w:type="dxa"/>
          </w:tblCellMar>
        </w:tblPrEx>
        <w:trPr>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778133C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Composição Corporal</w:t>
            </w:r>
          </w:p>
        </w:tc>
        <w:tc>
          <w:tcPr>
            <w:tcW w:w="2532" w:type="dxa"/>
            <w:tcBorders>
              <w:top w:val="single" w:color="000000" w:sz="4" w:space="0"/>
              <w:left w:val="single" w:color="000000" w:sz="4" w:space="0"/>
              <w:bottom w:val="single" w:color="000000" w:sz="4" w:space="0"/>
              <w:right w:val="single" w:color="000000" w:sz="4" w:space="0"/>
            </w:tcBorders>
            <w:vAlign w:val="center"/>
          </w:tcPr>
          <w:p w14:paraId="1FB609E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 Gordura e Massa Livre (kg)</w:t>
            </w:r>
          </w:p>
        </w:tc>
        <w:tc>
          <w:tcPr>
            <w:tcW w:w="2532" w:type="dxa"/>
            <w:tcBorders>
              <w:top w:val="single" w:color="000000" w:sz="4" w:space="0"/>
              <w:left w:val="single" w:color="000000" w:sz="4" w:space="0"/>
              <w:bottom w:val="single" w:color="000000" w:sz="4" w:space="0"/>
              <w:right w:val="single" w:color="000000" w:sz="4" w:space="0"/>
            </w:tcBorders>
            <w:vAlign w:val="center"/>
          </w:tcPr>
          <w:p w14:paraId="32AC208D">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Bioimpedância Tetrapolar (Sanny®)</w:t>
            </w:r>
          </w:p>
        </w:tc>
        <w:tc>
          <w:tcPr>
            <w:tcW w:w="3662" w:type="dxa"/>
            <w:tcBorders>
              <w:top w:val="single" w:color="000000" w:sz="4" w:space="0"/>
              <w:left w:val="single" w:color="000000" w:sz="4" w:space="0"/>
              <w:bottom w:val="single" w:color="000000" w:sz="4" w:space="0"/>
              <w:right w:val="single" w:color="000000" w:sz="4" w:space="0"/>
            </w:tcBorders>
            <w:vAlign w:val="center"/>
          </w:tcPr>
          <w:p w14:paraId="1069912D">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Impacto da adiposidade (massa inerte) e massa magra na capacidade de sustentação.</w:t>
            </w:r>
          </w:p>
        </w:tc>
      </w:tr>
      <w:tr w14:paraId="2D5EC2E0">
        <w:tblPrEx>
          <w:tblCellMar>
            <w:top w:w="0" w:type="dxa"/>
            <w:left w:w="108" w:type="dxa"/>
            <w:bottom w:w="0" w:type="dxa"/>
            <w:right w:w="108" w:type="dxa"/>
          </w:tblCellMar>
        </w:tblPrEx>
        <w:trPr>
          <w:trHeight w:val="1216" w:hRule="atLeast"/>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3004A0F">
            <w:pPr>
              <w:spacing w:line="360" w:lineRule="auto"/>
              <w:rPr>
                <w:rFonts w:hint="default" w:ascii="Times New Roman" w:hAnsi="Times New Roman" w:eastAsia="Times New Roman" w:cs="Times New Roman"/>
              </w:rPr>
            </w:pPr>
            <w:r>
              <w:rPr>
                <w:rFonts w:hint="default" w:ascii="Times New Roman" w:hAnsi="Times New Roman" w:cs="Times New Roman"/>
              </w:rPr>
              <w:t>Volume de Prática Acumulada</w:t>
            </w:r>
          </w:p>
        </w:tc>
        <w:tc>
          <w:tcPr>
            <w:tcW w:w="2532" w:type="dxa"/>
            <w:tcBorders>
              <w:top w:val="single" w:color="000000" w:sz="4" w:space="0"/>
              <w:left w:val="single" w:color="000000" w:sz="4" w:space="0"/>
              <w:bottom w:val="single" w:color="000000" w:sz="4" w:space="0"/>
              <w:right w:val="single" w:color="000000" w:sz="4" w:space="0"/>
            </w:tcBorders>
            <w:vAlign w:val="center"/>
          </w:tcPr>
          <w:p w14:paraId="4E95CFF4">
            <w:pPr>
              <w:spacing w:line="360" w:lineRule="auto"/>
              <w:rPr>
                <w:rFonts w:hint="default" w:ascii="Times New Roman" w:hAnsi="Times New Roman" w:eastAsia="Times New Roman" w:cs="Times New Roman"/>
              </w:rPr>
            </w:pPr>
            <w:r>
              <w:rPr>
                <w:rFonts w:hint="default" w:ascii="Times New Roman" w:hAnsi="Times New Roman" w:eastAsia="SimSun" w:cs="Times New Roman"/>
                <w:sz w:val="24"/>
                <w:szCs w:val="24"/>
              </w:rPr>
              <w:t>Horas totais estimadas</w:t>
            </w:r>
          </w:p>
        </w:tc>
        <w:tc>
          <w:tcPr>
            <w:tcW w:w="2532" w:type="dxa"/>
            <w:tcBorders>
              <w:top w:val="single" w:color="000000" w:sz="4" w:space="0"/>
              <w:left w:val="single" w:color="000000" w:sz="4" w:space="0"/>
              <w:bottom w:val="single" w:color="000000" w:sz="4" w:space="0"/>
              <w:right w:val="single" w:color="000000" w:sz="4" w:space="0"/>
            </w:tcBorders>
            <w:vAlign w:val="center"/>
          </w:tcPr>
          <w:p w14:paraId="3D25C32B">
            <w:pPr>
              <w:spacing w:line="360" w:lineRule="auto"/>
              <w:rPr>
                <w:rFonts w:hint="default" w:ascii="Times New Roman" w:hAnsi="Times New Roman" w:eastAsia="Times New Roman" w:cs="Times New Roman"/>
                <w:lang w:val="pt-BR"/>
              </w:rPr>
            </w:pPr>
            <w:r>
              <w:rPr>
                <w:rFonts w:hint="default" w:ascii="Times New Roman" w:hAnsi="Times New Roman" w:eastAsia="Times New Roman" w:cs="Times New Roman"/>
              </w:rPr>
              <w:t xml:space="preserve">Questionário </w:t>
            </w:r>
            <w:r>
              <w:rPr>
                <w:rFonts w:hint="default" w:ascii="Times New Roman" w:hAnsi="Times New Roman" w:eastAsia="Times New Roman" w:cs="Times New Roman"/>
                <w:lang w:val="pt-BR"/>
              </w:rPr>
              <w:t>Padronizado</w:t>
            </w:r>
          </w:p>
        </w:tc>
        <w:tc>
          <w:tcPr>
            <w:tcW w:w="3662" w:type="dxa"/>
            <w:tcBorders>
              <w:top w:val="single" w:color="000000" w:sz="4" w:space="0"/>
              <w:left w:val="single" w:color="000000" w:sz="4" w:space="0"/>
              <w:bottom w:val="single" w:color="000000" w:sz="4" w:space="0"/>
              <w:right w:val="single" w:color="000000" w:sz="4" w:space="0"/>
            </w:tcBorders>
            <w:vAlign w:val="center"/>
          </w:tcPr>
          <w:p w14:paraId="6CBD186B">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Avalia se experiência prévia está associada a maior estabilidade e proficiência técnica.</w:t>
            </w:r>
          </w:p>
        </w:tc>
      </w:tr>
      <w:tr w14:paraId="41CB3420">
        <w:tblPrEx>
          <w:tblCellMar>
            <w:top w:w="0" w:type="dxa"/>
            <w:left w:w="108" w:type="dxa"/>
            <w:bottom w:w="0" w:type="dxa"/>
            <w:right w:w="108" w:type="dxa"/>
          </w:tblCellMar>
        </w:tblPrEx>
        <w:trPr>
          <w:trHeight w:val="1216" w:hRule="atLeast"/>
          <w:jc w:val="center"/>
        </w:trPr>
        <w:tc>
          <w:tcPr>
            <w:tcW w:w="2992" w:type="dxa"/>
            <w:tcBorders>
              <w:top w:val="single" w:color="000000" w:sz="4" w:space="0"/>
              <w:left w:val="single" w:color="000000" w:sz="4" w:space="0"/>
              <w:bottom w:val="single" w:color="000000" w:sz="4" w:space="0"/>
              <w:right w:val="single" w:color="000000" w:sz="4" w:space="0"/>
            </w:tcBorders>
            <w:vAlign w:val="center"/>
          </w:tcPr>
          <w:p w14:paraId="01029603">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lang w:val="pt-BR"/>
              </w:rPr>
              <w:t>I</w:t>
            </w:r>
            <w:r>
              <w:rPr>
                <w:rFonts w:hint="default" w:ascii="Times New Roman" w:hAnsi="Times New Roman" w:eastAsia="Times New Roman" w:cs="Times New Roman"/>
              </w:rPr>
              <w:t xml:space="preserve">dade </w:t>
            </w:r>
            <w:r>
              <w:rPr>
                <w:rFonts w:hint="default" w:ascii="Times New Roman" w:hAnsi="Times New Roman" w:eastAsia="Times New Roman" w:cs="Times New Roman"/>
                <w:lang w:val="pt-BR"/>
              </w:rPr>
              <w:t>C</w:t>
            </w:r>
            <w:r>
              <w:rPr>
                <w:rFonts w:hint="default" w:ascii="Times New Roman" w:hAnsi="Times New Roman" w:eastAsia="Times New Roman" w:cs="Times New Roman"/>
              </w:rPr>
              <w:t xml:space="preserve">ronológica </w:t>
            </w:r>
          </w:p>
        </w:tc>
        <w:tc>
          <w:tcPr>
            <w:tcW w:w="2532" w:type="dxa"/>
            <w:tcBorders>
              <w:top w:val="single" w:color="000000" w:sz="4" w:space="0"/>
              <w:left w:val="single" w:color="000000" w:sz="4" w:space="0"/>
              <w:bottom w:val="single" w:color="000000" w:sz="4" w:space="0"/>
              <w:right w:val="single" w:color="000000" w:sz="4" w:space="0"/>
            </w:tcBorders>
            <w:vAlign w:val="center"/>
          </w:tcPr>
          <w:p w14:paraId="037B820A">
            <w:pPr>
              <w:spacing w:line="360" w:lineRule="auto"/>
              <w:rPr>
                <w:rFonts w:hint="default" w:ascii="Times New Roman" w:hAnsi="Times New Roman" w:eastAsia="Times New Roman" w:cs="Times New Roman"/>
                <w:lang w:val="pt-BR"/>
              </w:rPr>
            </w:pPr>
            <w:r>
              <w:rPr>
                <w:rFonts w:hint="default" w:ascii="Times New Roman" w:hAnsi="Times New Roman" w:eastAsia="Times New Roman" w:cs="Times New Roman"/>
                <w:lang w:val="pt-BR"/>
              </w:rPr>
              <w:t>Anos</w:t>
            </w:r>
          </w:p>
        </w:tc>
        <w:tc>
          <w:tcPr>
            <w:tcW w:w="2532" w:type="dxa"/>
            <w:tcBorders>
              <w:top w:val="single" w:color="000000" w:sz="4" w:space="0"/>
              <w:left w:val="single" w:color="000000" w:sz="4" w:space="0"/>
              <w:bottom w:val="single" w:color="000000" w:sz="4" w:space="0"/>
              <w:right w:val="single" w:color="000000" w:sz="4" w:space="0"/>
            </w:tcBorders>
            <w:vAlign w:val="center"/>
          </w:tcPr>
          <w:p w14:paraId="4DAE384E">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Questionário </w:t>
            </w:r>
            <w:r>
              <w:rPr>
                <w:rFonts w:hint="default" w:ascii="Times New Roman" w:hAnsi="Times New Roman" w:eastAsia="Times New Roman" w:cs="Times New Roman"/>
                <w:lang w:val="pt-BR"/>
              </w:rPr>
              <w:t>Padronizado</w:t>
            </w:r>
          </w:p>
        </w:tc>
        <w:tc>
          <w:tcPr>
            <w:tcW w:w="3662" w:type="dxa"/>
            <w:tcBorders>
              <w:top w:val="single" w:color="000000" w:sz="4" w:space="0"/>
              <w:left w:val="single" w:color="000000" w:sz="4" w:space="0"/>
              <w:bottom w:val="single" w:color="000000" w:sz="4" w:space="0"/>
              <w:right w:val="single" w:color="000000" w:sz="4" w:space="0"/>
            </w:tcBorders>
            <w:vAlign w:val="center"/>
          </w:tcPr>
          <w:p w14:paraId="10AC96E3">
            <w:pPr>
              <w:spacing w:line="360" w:lineRule="auto"/>
              <w:rPr>
                <w:rFonts w:hint="default" w:ascii="Times New Roman" w:hAnsi="Times New Roman" w:eastAsia="Times New Roman" w:cs="Times New Roman"/>
              </w:rPr>
            </w:pPr>
            <w:r>
              <w:rPr>
                <w:rFonts w:hint="default" w:ascii="Times New Roman" w:hAnsi="Times New Roman" w:eastAsia="SimSun" w:cs="Times New Roman"/>
                <w:sz w:val="24"/>
                <w:szCs w:val="24"/>
              </w:rPr>
              <w:t>Impacto da idade versus experiência na qualidade do controle sensório-motor</w:t>
            </w:r>
          </w:p>
        </w:tc>
      </w:tr>
    </w:tbl>
    <w:p w14:paraId="613C078A">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Fonte: Elaborado pelo autor (2025).</w:t>
      </w:r>
    </w:p>
    <w:p w14:paraId="5C2A99B7">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QUADRO 2 – Variáveis relacionadas ao desempenho no </w:t>
      </w:r>
      <w:r>
        <w:rPr>
          <w:rFonts w:hint="default" w:ascii="Times New Roman" w:hAnsi="Times New Roman" w:eastAsia="Times New Roman" w:cs="Times New Roman"/>
          <w:i/>
          <w:iCs/>
        </w:rPr>
        <w:t>HSW</w:t>
      </w:r>
      <w:r>
        <w:rPr>
          <w:rFonts w:hint="default" w:ascii="Times New Roman" w:hAnsi="Times New Roman" w:eastAsia="Times New Roman" w:cs="Times New Roman"/>
        </w:rPr>
        <w:t>.</w:t>
      </w:r>
    </w:p>
    <w:tbl>
      <w:tblPr>
        <w:tblStyle w:val="7"/>
        <w:tblpPr w:leftFromText="180" w:rightFromText="180" w:vertAnchor="text" w:horzAnchor="page" w:tblpX="367" w:tblpY="425"/>
        <w:tblOverlap w:val="never"/>
        <w:tblW w:w="11634" w:type="dxa"/>
        <w:tblInd w:w="0" w:type="dxa"/>
        <w:tblLayout w:type="fixed"/>
        <w:tblCellMar>
          <w:top w:w="0" w:type="dxa"/>
          <w:left w:w="108" w:type="dxa"/>
          <w:bottom w:w="0" w:type="dxa"/>
          <w:right w:w="108" w:type="dxa"/>
        </w:tblCellMar>
      </w:tblPr>
      <w:tblGrid>
        <w:gridCol w:w="2970"/>
        <w:gridCol w:w="2552"/>
        <w:gridCol w:w="2552"/>
        <w:gridCol w:w="3560"/>
      </w:tblGrid>
      <w:tr w14:paraId="72B9A940">
        <w:tblPrEx>
          <w:tblCellMar>
            <w:top w:w="0" w:type="dxa"/>
            <w:left w:w="108" w:type="dxa"/>
            <w:bottom w:w="0" w:type="dxa"/>
            <w:right w:w="108" w:type="dxa"/>
          </w:tblCellMar>
        </w:tblPrEx>
        <w:trPr>
          <w:tblHeader/>
        </w:trPr>
        <w:tc>
          <w:tcPr>
            <w:tcW w:w="297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957D745">
            <w:pPr>
              <w:spacing w:line="36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Variável</w:t>
            </w:r>
          </w:p>
        </w:tc>
        <w:tc>
          <w:tcPr>
            <w:tcW w:w="255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96C7E5E">
            <w:pPr>
              <w:spacing w:line="360" w:lineRule="auto"/>
              <w:jc w:val="left"/>
              <w:rPr>
                <w:rFonts w:hint="default" w:ascii="Times New Roman" w:hAnsi="Times New Roman" w:eastAsia="Times New Roman" w:cs="Times New Roman"/>
                <w:b/>
                <w:bCs/>
                <w:lang w:val="pt-BR"/>
              </w:rPr>
            </w:pPr>
            <w:r>
              <w:rPr>
                <w:rFonts w:hint="default" w:ascii="Times New Roman" w:hAnsi="Times New Roman" w:eastAsia="Times New Roman" w:cs="Times New Roman"/>
                <w:b/>
                <w:bCs/>
                <w:lang w:val="pt-BR"/>
              </w:rPr>
              <w:t>Unidade</w:t>
            </w:r>
          </w:p>
        </w:tc>
        <w:tc>
          <w:tcPr>
            <w:tcW w:w="255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9EA7171">
            <w:pPr>
              <w:spacing w:line="36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Método de Medição</w:t>
            </w:r>
          </w:p>
        </w:tc>
        <w:tc>
          <w:tcPr>
            <w:tcW w:w="356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20EF429">
            <w:pPr>
              <w:spacing w:line="360" w:lineRule="auto"/>
              <w:jc w:val="left"/>
              <w:rPr>
                <w:rFonts w:hint="default" w:ascii="Times New Roman" w:hAnsi="Times New Roman" w:eastAsia="Times New Roman" w:cs="Times New Roman"/>
                <w:b/>
                <w:bCs/>
              </w:rPr>
            </w:pPr>
            <w:r>
              <w:rPr>
                <w:rFonts w:hint="default" w:ascii="Times New Roman" w:hAnsi="Times New Roman" w:eastAsia="Times New Roman" w:cs="Times New Roman"/>
                <w:b/>
                <w:bCs/>
              </w:rPr>
              <w:t>Justificativa</w:t>
            </w:r>
          </w:p>
        </w:tc>
      </w:tr>
      <w:tr w14:paraId="5C8EBA1D">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579EECB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 xml:space="preserve">Mediana da </w:t>
            </w:r>
            <w:r>
              <w:rPr>
                <w:rFonts w:hint="default" w:ascii="Times New Roman" w:hAnsi="Times New Roman" w:eastAsia="Times New Roman" w:cs="Times New Roman"/>
              </w:rPr>
              <w:t xml:space="preserve">Distância </w:t>
            </w:r>
            <w:r>
              <w:rPr>
                <w:rFonts w:hint="default" w:ascii="Times New Roman" w:hAnsi="Times New Roman" w:eastAsia="Times New Roman" w:cs="Times New Roman"/>
                <w:lang w:val="pt-BR"/>
              </w:rPr>
              <w:t>P</w:t>
            </w:r>
            <w:r>
              <w:rPr>
                <w:rFonts w:hint="default" w:ascii="Times New Roman" w:hAnsi="Times New Roman" w:eastAsia="Times New Roman" w:cs="Times New Roman"/>
              </w:rPr>
              <w:t>ercorrida</w:t>
            </w:r>
            <w:r>
              <w:rPr>
                <w:rFonts w:hint="default" w:ascii="Times New Roman" w:hAnsi="Times New Roman" w:eastAsia="Times New Roman" w:cs="Times New Roman"/>
                <w:lang w:val="pt-BR"/>
              </w:rPr>
              <w:t xml:space="preserve"> (desfecho)</w:t>
            </w:r>
          </w:p>
        </w:tc>
        <w:tc>
          <w:tcPr>
            <w:tcW w:w="2552" w:type="dxa"/>
            <w:tcBorders>
              <w:top w:val="single" w:color="000000" w:sz="4" w:space="0"/>
              <w:left w:val="single" w:color="000000" w:sz="4" w:space="0"/>
              <w:bottom w:val="single" w:color="000000" w:sz="4" w:space="0"/>
              <w:right w:val="single" w:color="000000" w:sz="4" w:space="0"/>
            </w:tcBorders>
            <w:vAlign w:val="center"/>
          </w:tcPr>
          <w:p w14:paraId="553973B6">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Metros (m)</w:t>
            </w:r>
          </w:p>
        </w:tc>
        <w:tc>
          <w:tcPr>
            <w:tcW w:w="2552" w:type="dxa"/>
            <w:tcBorders>
              <w:top w:val="single" w:color="000000" w:sz="4" w:space="0"/>
              <w:left w:val="single" w:color="000000" w:sz="4" w:space="0"/>
              <w:bottom w:val="single" w:color="000000" w:sz="4" w:space="0"/>
              <w:right w:val="single" w:color="000000" w:sz="4" w:space="0"/>
            </w:tcBorders>
            <w:vAlign w:val="center"/>
          </w:tcPr>
          <w:p w14:paraId="06EC1B0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AD66AC9">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7ECB692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Reflete a capacidade de manter a posição invertida em deslocamento contínuo.</w:t>
            </w:r>
          </w:p>
        </w:tc>
      </w:tr>
      <w:tr w14:paraId="6DF308A5">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69E274B">
            <w:pPr>
              <w:spacing w:line="360" w:lineRule="auto"/>
              <w:jc w:val="left"/>
              <w:rPr>
                <w:rFonts w:hint="default" w:ascii="Times New Roman" w:hAnsi="Times New Roman" w:eastAsia="Times New Roman" w:cs="Times New Roman"/>
                <w:i/>
                <w:iCs/>
              </w:rPr>
            </w:pPr>
            <w:r>
              <w:rPr>
                <w:rFonts w:hint="default" w:ascii="Times New Roman" w:hAnsi="Times New Roman" w:eastAsia="Times New Roman" w:cs="Times New Roman"/>
              </w:rPr>
              <w:t xml:space="preserve">Melhor tempo de sustentação no </w:t>
            </w:r>
            <w:r>
              <w:rPr>
                <w:rFonts w:hint="default" w:ascii="Times New Roman" w:hAnsi="Times New Roman" w:eastAsia="Times New Roman" w:cs="Times New Roman"/>
                <w:i/>
                <w:iCs/>
              </w:rPr>
              <w:t>HS</w:t>
            </w:r>
          </w:p>
        </w:tc>
        <w:tc>
          <w:tcPr>
            <w:tcW w:w="2552" w:type="dxa"/>
            <w:tcBorders>
              <w:top w:val="single" w:color="000000" w:sz="4" w:space="0"/>
              <w:left w:val="single" w:color="000000" w:sz="4" w:space="0"/>
              <w:bottom w:val="single" w:color="000000" w:sz="4" w:space="0"/>
              <w:right w:val="single" w:color="000000" w:sz="4" w:space="0"/>
            </w:tcBorders>
            <w:vAlign w:val="center"/>
          </w:tcPr>
          <w:p w14:paraId="0D4A792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Segundos (s)</w:t>
            </w:r>
          </w:p>
        </w:tc>
        <w:tc>
          <w:tcPr>
            <w:tcW w:w="2552" w:type="dxa"/>
            <w:tcBorders>
              <w:top w:val="single" w:color="000000" w:sz="4" w:space="0"/>
              <w:left w:val="single" w:color="000000" w:sz="4" w:space="0"/>
              <w:bottom w:val="single" w:color="000000" w:sz="4" w:space="0"/>
              <w:right w:val="single" w:color="000000" w:sz="4" w:space="0"/>
            </w:tcBorders>
            <w:vAlign w:val="center"/>
          </w:tcPr>
          <w:p w14:paraId="1C563D2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3374603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129B615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Transferência da capacidade de equilíbrio estático para a locomoção dinâmica.</w:t>
            </w:r>
          </w:p>
        </w:tc>
      </w:tr>
      <w:tr w14:paraId="3A84A8E8">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776A34D">
            <w:pPr>
              <w:spacing w:line="360" w:lineRule="auto"/>
              <w:jc w:val="left"/>
              <w:rPr>
                <w:rFonts w:hint="default" w:ascii="Times New Roman" w:hAnsi="Times New Roman" w:eastAsia="Times New Roman" w:cs="Times New Roman"/>
                <w:i/>
                <w:iCs/>
              </w:rPr>
            </w:pPr>
            <w:r>
              <w:rPr>
                <w:rFonts w:hint="default" w:ascii="Times New Roman" w:hAnsi="Times New Roman" w:eastAsia="Times New Roman" w:cs="Times New Roman"/>
              </w:rPr>
              <w:t xml:space="preserve">ApEn no </w:t>
            </w:r>
            <w:r>
              <w:rPr>
                <w:rFonts w:hint="default" w:ascii="Times New Roman" w:hAnsi="Times New Roman" w:eastAsia="Times New Roman" w:cs="Times New Roman"/>
                <w:i/>
                <w:iCs/>
              </w:rPr>
              <w:t>HS</w:t>
            </w:r>
          </w:p>
        </w:tc>
        <w:tc>
          <w:tcPr>
            <w:tcW w:w="2552" w:type="dxa"/>
            <w:tcBorders>
              <w:top w:val="single" w:color="000000" w:sz="4" w:space="0"/>
              <w:left w:val="single" w:color="000000" w:sz="4" w:space="0"/>
              <w:bottom w:val="single" w:color="000000" w:sz="4" w:space="0"/>
              <w:right w:val="single" w:color="000000" w:sz="4" w:space="0"/>
            </w:tcBorders>
            <w:vAlign w:val="center"/>
          </w:tcPr>
          <w:p w14:paraId="6A4BDC88">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Unidades Arbitrárias</w:t>
            </w:r>
          </w:p>
        </w:tc>
        <w:tc>
          <w:tcPr>
            <w:tcW w:w="2552" w:type="dxa"/>
            <w:tcBorders>
              <w:top w:val="single" w:color="000000" w:sz="4" w:space="0"/>
              <w:left w:val="single" w:color="000000" w:sz="4" w:space="0"/>
              <w:bottom w:val="single" w:color="000000" w:sz="4" w:space="0"/>
              <w:right w:val="single" w:color="000000" w:sz="4" w:space="0"/>
            </w:tcBorders>
            <w:vAlign w:val="center"/>
          </w:tcPr>
          <w:p w14:paraId="4D63BDF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Plataforma de Força (Bertec®)</w:t>
            </w:r>
          </w:p>
        </w:tc>
        <w:tc>
          <w:tcPr>
            <w:tcW w:w="3560" w:type="dxa"/>
            <w:tcBorders>
              <w:top w:val="single" w:color="000000" w:sz="4" w:space="0"/>
              <w:left w:val="single" w:color="000000" w:sz="4" w:space="0"/>
              <w:bottom w:val="single" w:color="000000" w:sz="4" w:space="0"/>
              <w:right w:val="single" w:color="000000" w:sz="4" w:space="0"/>
            </w:tcBorders>
            <w:vAlign w:val="center"/>
          </w:tcPr>
          <w:p w14:paraId="067B1296">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Transferência da qualidade de controle postural estático para a dinâmica.</w:t>
            </w:r>
          </w:p>
        </w:tc>
      </w:tr>
      <w:tr w14:paraId="70A4382C">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1F9F964F">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Comprimento médio das passadas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7A2A2209">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1DE33A0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48560B9F">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2808B21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Identifica o padrão de locomoção, distinguindo estratégias de propulsão ou estabilidade.</w:t>
            </w:r>
          </w:p>
        </w:tc>
      </w:tr>
      <w:tr w14:paraId="3886BF87">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70BF5CE">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Cadência </w:t>
            </w:r>
          </w:p>
        </w:tc>
        <w:tc>
          <w:tcPr>
            <w:tcW w:w="2552" w:type="dxa"/>
            <w:tcBorders>
              <w:top w:val="single" w:color="000000" w:sz="4" w:space="0"/>
              <w:left w:val="single" w:color="000000" w:sz="4" w:space="0"/>
              <w:bottom w:val="single" w:color="000000" w:sz="4" w:space="0"/>
              <w:right w:val="single" w:color="000000" w:sz="4" w:space="0"/>
            </w:tcBorders>
            <w:vAlign w:val="center"/>
          </w:tcPr>
          <w:p w14:paraId="7253AD45">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Passadas / segundo</w:t>
            </w:r>
          </w:p>
        </w:tc>
        <w:tc>
          <w:tcPr>
            <w:tcW w:w="2552" w:type="dxa"/>
            <w:tcBorders>
              <w:top w:val="single" w:color="000000" w:sz="4" w:space="0"/>
              <w:left w:val="single" w:color="000000" w:sz="4" w:space="0"/>
              <w:bottom w:val="single" w:color="000000" w:sz="4" w:space="0"/>
              <w:right w:val="single" w:color="000000" w:sz="4" w:space="0"/>
            </w:tcBorders>
            <w:vAlign w:val="center"/>
          </w:tcPr>
          <w:p w14:paraId="292C892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50E1C98F">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00FE581B">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Avalia a frequência dos apoios e sua relação com eficiência ou fadiga.</w:t>
            </w:r>
          </w:p>
        </w:tc>
      </w:tr>
      <w:tr w14:paraId="3C1C36B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51D7EE51">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Variabilidade </w:t>
            </w:r>
            <w:r>
              <w:rPr>
                <w:rFonts w:hint="default" w:ascii="Times New Roman" w:hAnsi="Times New Roman" w:eastAsia="Times New Roman" w:cs="Times New Roman"/>
                <w:lang w:val="pt-BR"/>
              </w:rPr>
              <w:t>E</w:t>
            </w:r>
            <w:r>
              <w:rPr>
                <w:rFonts w:hint="default" w:ascii="Times New Roman" w:hAnsi="Times New Roman" w:eastAsia="Times New Roman" w:cs="Times New Roman"/>
              </w:rPr>
              <w:t xml:space="preserve">spacial entre </w:t>
            </w:r>
            <w:r>
              <w:rPr>
                <w:rFonts w:hint="default" w:ascii="Times New Roman" w:hAnsi="Times New Roman" w:eastAsia="Times New Roman" w:cs="Times New Roman"/>
                <w:lang w:val="pt-BR"/>
              </w:rPr>
              <w:t>P</w:t>
            </w:r>
            <w:r>
              <w:rPr>
                <w:rFonts w:hint="default" w:ascii="Times New Roman" w:hAnsi="Times New Roman" w:eastAsia="Times New Roman" w:cs="Times New Roman"/>
              </w:rPr>
              <w:t>assadas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785ABD0C">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CV (%)</w:t>
            </w:r>
          </w:p>
        </w:tc>
        <w:tc>
          <w:tcPr>
            <w:tcW w:w="2552" w:type="dxa"/>
            <w:tcBorders>
              <w:top w:val="single" w:color="000000" w:sz="4" w:space="0"/>
              <w:left w:val="single" w:color="000000" w:sz="4" w:space="0"/>
              <w:bottom w:val="single" w:color="000000" w:sz="4" w:space="0"/>
              <w:right w:val="single" w:color="000000" w:sz="4" w:space="0"/>
            </w:tcBorders>
            <w:vAlign w:val="center"/>
          </w:tcPr>
          <w:p w14:paraId="0EE9515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63DE86D2">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6AE7079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Coeficiente de variação do comprimento das passadas (consistência motora)</w:t>
            </w:r>
          </w:p>
        </w:tc>
      </w:tr>
      <w:tr w14:paraId="2D8EF073">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F50E38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Variabilidade </w:t>
            </w:r>
            <w:r>
              <w:rPr>
                <w:rFonts w:hint="default" w:ascii="Times New Roman" w:hAnsi="Times New Roman" w:eastAsia="Times New Roman" w:cs="Times New Roman"/>
                <w:lang w:val="pt-BR"/>
              </w:rPr>
              <w:t>T</w:t>
            </w:r>
            <w:r>
              <w:rPr>
                <w:rFonts w:hint="default" w:ascii="Times New Roman" w:hAnsi="Times New Roman" w:eastAsia="Times New Roman" w:cs="Times New Roman"/>
              </w:rPr>
              <w:t>emporal  entre passadas)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4AD809E7">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CV (%)</w:t>
            </w:r>
          </w:p>
        </w:tc>
        <w:tc>
          <w:tcPr>
            <w:tcW w:w="2552" w:type="dxa"/>
            <w:tcBorders>
              <w:top w:val="single" w:color="000000" w:sz="4" w:space="0"/>
              <w:left w:val="single" w:color="000000" w:sz="4" w:space="0"/>
              <w:bottom w:val="single" w:color="000000" w:sz="4" w:space="0"/>
              <w:right w:val="single" w:color="000000" w:sz="4" w:space="0"/>
            </w:tcBorders>
            <w:vAlign w:val="center"/>
          </w:tcPr>
          <w:p w14:paraId="071EDEE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0D368F70">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01296ED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Coeficiente de variação do tempo entre passadas (ritmicidade motora)</w:t>
            </w:r>
          </w:p>
        </w:tc>
      </w:tr>
      <w:tr w14:paraId="1423362E">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4AFE99A7">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Índice de Verticalidade</w:t>
            </w:r>
          </w:p>
        </w:tc>
        <w:tc>
          <w:tcPr>
            <w:tcW w:w="2552" w:type="dxa"/>
            <w:tcBorders>
              <w:top w:val="single" w:color="000000" w:sz="4" w:space="0"/>
              <w:left w:val="single" w:color="000000" w:sz="4" w:space="0"/>
              <w:bottom w:val="single" w:color="000000" w:sz="4" w:space="0"/>
              <w:right w:val="single" w:color="000000" w:sz="4" w:space="0"/>
            </w:tcBorders>
            <w:vAlign w:val="center"/>
          </w:tcPr>
          <w:p w14:paraId="380DF4B6">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Graus (º)</w:t>
            </w:r>
          </w:p>
        </w:tc>
        <w:tc>
          <w:tcPr>
            <w:tcW w:w="2552" w:type="dxa"/>
            <w:tcBorders>
              <w:top w:val="single" w:color="000000" w:sz="4" w:space="0"/>
              <w:left w:val="single" w:color="000000" w:sz="4" w:space="0"/>
              <w:bottom w:val="single" w:color="000000" w:sz="4" w:space="0"/>
              <w:right w:val="single" w:color="000000" w:sz="4" w:space="0"/>
            </w:tcBorders>
            <w:vAlign w:val="center"/>
          </w:tcPr>
          <w:p w14:paraId="3E735FC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459713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1659F546">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Alinhamento angular tridimensional médio durante o deslocamento.</w:t>
            </w:r>
          </w:p>
        </w:tc>
      </w:tr>
      <w:tr w14:paraId="0CD9A39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01CAF80">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Extensão Cervical</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B27568">
            <w:pPr>
              <w:spacing w:line="360" w:lineRule="auto"/>
              <w:jc w:val="left"/>
              <w:rPr>
                <w:rFonts w:hint="default" w:ascii="Times New Roman" w:hAnsi="Times New Roman" w:eastAsia="Times New Roman" w:cs="Times New Roman"/>
                <w:sz w:val="24"/>
                <w:szCs w:val="24"/>
                <w:lang w:val="pt-BR" w:eastAsia="pt-BR" w:bidi="ar-SA"/>
              </w:rPr>
            </w:pPr>
            <w:r>
              <w:rPr>
                <w:rFonts w:hint="default" w:ascii="Times New Roman" w:hAnsi="Times New Roman" w:eastAsia="Times New Roman" w:cs="Times New Roman"/>
                <w:lang w:val="pt-BR"/>
              </w:rPr>
              <w:t>Graus (º)</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8E2F5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91FF67E">
            <w:pPr>
              <w:spacing w:line="360" w:lineRule="auto"/>
              <w:jc w:val="left"/>
              <w:rPr>
                <w:rFonts w:hint="default" w:ascii="Times New Roman" w:hAnsi="Times New Roman" w:eastAsia="Times New Roman" w:cs="Times New Roman"/>
                <w:sz w:val="24"/>
                <w:szCs w:val="24"/>
                <w:lang w:val="pt-BR" w:eastAsia="pt-BR" w:bidi="ar-SA"/>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0B916295">
            <w:pPr>
              <w:spacing w:line="36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Influência da cabeça na visibilidade e na inclinação de progressão.</w:t>
            </w:r>
          </w:p>
        </w:tc>
      </w:tr>
      <w:tr w14:paraId="1A98BC3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45438F">
            <w:pPr>
              <w:rPr>
                <w:rFonts w:hint="default" w:ascii="Times New Roman" w:hAnsi="Times New Roman" w:eastAsia="Arial" w:cs="Times New Roman"/>
                <w:sz w:val="24"/>
                <w:szCs w:val="24"/>
                <w:lang w:val="pt-BR" w:eastAsia="pt-BR" w:bidi="ar-SA"/>
              </w:rPr>
            </w:pPr>
            <w:r>
              <w:rPr>
                <w:rFonts w:hint="default" w:ascii="Times New Roman" w:hAnsi="Times New Roman" w:cs="Times New Roman"/>
              </w:rPr>
              <w:t xml:space="preserve">Flexão Plantar do Tornozelo </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4CB787">
            <w:pPr>
              <w:rPr>
                <w:rFonts w:hint="default" w:ascii="Times New Roman" w:hAnsi="Times New Roman" w:eastAsia="Arial" w:cs="Times New Roman"/>
                <w:sz w:val="24"/>
                <w:szCs w:val="24"/>
                <w:lang w:val="pt-BR" w:eastAsia="pt-BR" w:bidi="ar-SA"/>
              </w:rPr>
            </w:pPr>
            <w:r>
              <w:rPr>
                <w:rFonts w:hint="default" w:ascii="Times New Roman" w:hAnsi="Times New Roman" w:cs="Times New Roman"/>
                <w:lang w:val="pt-BR"/>
              </w:rPr>
              <w:t>Graus (º)</w:t>
            </w:r>
          </w:p>
        </w:tc>
        <w:tc>
          <w:tcPr>
            <w:tcW w:w="2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2DE94A">
            <w:pPr>
              <w:rPr>
                <w:rFonts w:hint="default" w:ascii="Times New Roman" w:hAnsi="Times New Roman" w:cs="Times New Roman"/>
              </w:rPr>
            </w:pPr>
            <w:r>
              <w:rPr>
                <w:rFonts w:hint="default" w:ascii="Times New Roman" w:hAnsi="Times New Roman" w:cs="Times New Roman"/>
              </w:rPr>
              <w:t xml:space="preserve">Captura de Movimento </w:t>
            </w:r>
          </w:p>
          <w:p w14:paraId="3CC5A01D">
            <w:pPr>
              <w:rPr>
                <w:rFonts w:hint="default" w:ascii="Times New Roman" w:hAnsi="Times New Roman" w:eastAsia="Arial" w:cs="Times New Roman"/>
                <w:sz w:val="24"/>
                <w:szCs w:val="24"/>
                <w:lang w:val="pt-BR" w:eastAsia="pt-BR" w:bidi="ar-SA"/>
              </w:rPr>
            </w:pPr>
            <w:r>
              <w:rPr>
                <w:rFonts w:hint="default" w:ascii="Times New Roman" w:hAnsi="Times New Roman" w:cs="Times New Roman"/>
              </w:rPr>
              <w:t xml:space="preserve">(Vicon®) </w:t>
            </w:r>
          </w:p>
        </w:tc>
        <w:tc>
          <w:tcPr>
            <w:tcW w:w="35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C56440">
            <w:pPr>
              <w:rPr>
                <w:rFonts w:hint="default" w:ascii="Times New Roman" w:hAnsi="Times New Roman" w:eastAsia="Arial" w:cs="Times New Roman"/>
                <w:sz w:val="24"/>
                <w:szCs w:val="24"/>
                <w:lang w:val="pt-BR" w:eastAsia="zh-CN" w:bidi="ar-SA"/>
              </w:rPr>
            </w:pPr>
            <w:r>
              <w:rPr>
                <w:rFonts w:hint="default" w:ascii="Times New Roman" w:hAnsi="Times New Roman" w:cs="Times New Roman"/>
              </w:rPr>
              <w:t xml:space="preserve">Avalia a rigidez segmentar distal e </w:t>
            </w:r>
            <w:r>
              <w:rPr>
                <w:rFonts w:hint="default" w:ascii="Times New Roman" w:hAnsi="Times New Roman" w:cs="Times New Roman"/>
                <w:lang w:val="pt-BR"/>
              </w:rPr>
              <w:t>engajamento muscular</w:t>
            </w:r>
            <w:r>
              <w:rPr>
                <w:rFonts w:hint="default" w:ascii="Times New Roman" w:hAnsi="Times New Roman" w:cs="Times New Roman"/>
              </w:rPr>
              <w:t xml:space="preserve"> </w:t>
            </w:r>
            <w:r>
              <w:rPr>
                <w:rFonts w:hint="default" w:ascii="Times New Roman" w:hAnsi="Times New Roman" w:cs="Times New Roman"/>
                <w:i/>
                <w:iCs/>
              </w:rPr>
              <w:t>single-link</w:t>
            </w:r>
            <w:r>
              <w:rPr>
                <w:rFonts w:hint="default" w:ascii="Times New Roman" w:hAnsi="Times New Roman" w:cs="Times New Roman"/>
                <w:lang w:val="pt-BR"/>
              </w:rPr>
              <w:t xml:space="preserve"> (rígido)</w:t>
            </w:r>
            <w:r>
              <w:rPr>
                <w:rFonts w:hint="default" w:ascii="Times New Roman" w:hAnsi="Times New Roman" w:cs="Times New Roman"/>
              </w:rPr>
              <w:t> vs. </w:t>
            </w:r>
            <w:r>
              <w:rPr>
                <w:rFonts w:hint="default" w:ascii="Times New Roman" w:hAnsi="Times New Roman" w:cs="Times New Roman"/>
                <w:i/>
                <w:iCs/>
              </w:rPr>
              <w:t>multi-link</w:t>
            </w:r>
            <w:r>
              <w:rPr>
                <w:rFonts w:hint="default" w:ascii="Times New Roman" w:hAnsi="Times New Roman" w:cs="Times New Roman"/>
              </w:rPr>
              <w:t> </w:t>
            </w:r>
            <w:r>
              <w:rPr>
                <w:rFonts w:hint="default" w:ascii="Times New Roman" w:hAnsi="Times New Roman" w:cs="Times New Roman"/>
                <w:lang w:val="pt-BR"/>
              </w:rPr>
              <w:t>(os</w:t>
            </w:r>
            <w:r>
              <w:rPr>
                <w:rFonts w:hint="default" w:ascii="Times New Roman" w:hAnsi="Times New Roman" w:cs="Times New Roman"/>
              </w:rPr>
              <w:t>ila</w:t>
            </w:r>
            <w:r>
              <w:rPr>
                <w:rFonts w:hint="default" w:ascii="Times New Roman" w:hAnsi="Times New Roman" w:cs="Times New Roman"/>
                <w:lang w:val="pt-BR"/>
              </w:rPr>
              <w:t>nte)</w:t>
            </w:r>
          </w:p>
        </w:tc>
      </w:tr>
      <w:tr w14:paraId="4D0F4E66">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5E23B9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 xml:space="preserve">Largura da </w:t>
            </w:r>
            <w:r>
              <w:rPr>
                <w:rFonts w:hint="default" w:ascii="Times New Roman" w:hAnsi="Times New Roman" w:eastAsia="Times New Roman" w:cs="Times New Roman"/>
              </w:rPr>
              <w:t xml:space="preserve">Base de </w:t>
            </w:r>
            <w:r>
              <w:rPr>
                <w:rFonts w:hint="default" w:ascii="Times New Roman" w:hAnsi="Times New Roman" w:eastAsia="Times New Roman" w:cs="Times New Roman"/>
                <w:lang w:val="pt-BR"/>
              </w:rPr>
              <w:t>A</w:t>
            </w:r>
            <w:r>
              <w:rPr>
                <w:rFonts w:hint="default" w:ascii="Times New Roman" w:hAnsi="Times New Roman" w:eastAsia="Times New Roman" w:cs="Times New Roman"/>
              </w:rPr>
              <w:t xml:space="preserve">poio </w:t>
            </w:r>
          </w:p>
        </w:tc>
        <w:tc>
          <w:tcPr>
            <w:tcW w:w="2552" w:type="dxa"/>
            <w:tcBorders>
              <w:top w:val="single" w:color="000000" w:sz="4" w:space="0"/>
              <w:left w:val="single" w:color="000000" w:sz="4" w:space="0"/>
              <w:bottom w:val="single" w:color="000000" w:sz="4" w:space="0"/>
              <w:right w:val="single" w:color="000000" w:sz="4" w:space="0"/>
            </w:tcBorders>
            <w:vAlign w:val="center"/>
          </w:tcPr>
          <w:p w14:paraId="6BD8567F">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63FD7AFC">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781050B0">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24F45937">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Distância mediolateral média entre as mãos durante as passadas.</w:t>
            </w:r>
          </w:p>
        </w:tc>
      </w:tr>
      <w:tr w14:paraId="1EB02DF4">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FE36AB8">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Orientação angular das mãos</w:t>
            </w:r>
          </w:p>
        </w:tc>
        <w:tc>
          <w:tcPr>
            <w:tcW w:w="2552" w:type="dxa"/>
            <w:tcBorders>
              <w:top w:val="single" w:color="000000" w:sz="4" w:space="0"/>
              <w:left w:val="single" w:color="000000" w:sz="4" w:space="0"/>
              <w:bottom w:val="single" w:color="000000" w:sz="4" w:space="0"/>
              <w:right w:val="single" w:color="000000" w:sz="4" w:space="0"/>
            </w:tcBorders>
            <w:vAlign w:val="center"/>
          </w:tcPr>
          <w:p w14:paraId="1F85D0A5">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Graus (º)</w:t>
            </w:r>
          </w:p>
        </w:tc>
        <w:tc>
          <w:tcPr>
            <w:tcW w:w="2552" w:type="dxa"/>
            <w:tcBorders>
              <w:top w:val="single" w:color="000000" w:sz="4" w:space="0"/>
              <w:left w:val="single" w:color="000000" w:sz="4" w:space="0"/>
              <w:bottom w:val="single" w:color="000000" w:sz="4" w:space="0"/>
              <w:right w:val="single" w:color="000000" w:sz="4" w:space="0"/>
            </w:tcBorders>
            <w:vAlign w:val="center"/>
          </w:tcPr>
          <w:p w14:paraId="5F93A9D2">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0281FE7F">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500D061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Rotação externa das mãos facilitando o avanço do CoM.</w:t>
            </w:r>
          </w:p>
        </w:tc>
      </w:tr>
      <w:tr w14:paraId="7FE5F618">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3C8A191C">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lang w:val="pt-BR"/>
              </w:rPr>
              <w:t>Í</w:t>
            </w:r>
            <w:r>
              <w:rPr>
                <w:rFonts w:hint="default" w:ascii="Times New Roman" w:hAnsi="Times New Roman" w:eastAsia="SimSun" w:cs="Times New Roman"/>
                <w:sz w:val="24"/>
                <w:szCs w:val="24"/>
              </w:rPr>
              <w:t>ndice de Simetria de Membros no punho (LSI_FFP)</w:t>
            </w:r>
          </w:p>
        </w:tc>
        <w:tc>
          <w:tcPr>
            <w:tcW w:w="2552" w:type="dxa"/>
            <w:tcBorders>
              <w:top w:val="single" w:color="000000" w:sz="4" w:space="0"/>
              <w:left w:val="single" w:color="000000" w:sz="4" w:space="0"/>
              <w:bottom w:val="single" w:color="000000" w:sz="4" w:space="0"/>
              <w:right w:val="single" w:color="000000" w:sz="4" w:space="0"/>
            </w:tcBorders>
            <w:vAlign w:val="center"/>
          </w:tcPr>
          <w:p w14:paraId="1D6E2E32">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w:t>
            </w:r>
          </w:p>
        </w:tc>
        <w:tc>
          <w:tcPr>
            <w:tcW w:w="2552" w:type="dxa"/>
            <w:tcBorders>
              <w:top w:val="single" w:color="000000" w:sz="4" w:space="0"/>
              <w:left w:val="single" w:color="000000" w:sz="4" w:space="0"/>
              <w:bottom w:val="single" w:color="000000" w:sz="4" w:space="0"/>
              <w:right w:val="single" w:color="000000" w:sz="4" w:space="0"/>
            </w:tcBorders>
            <w:vAlign w:val="center"/>
          </w:tcPr>
          <w:p w14:paraId="440F69E3">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Dinamometria Isométrica (Biodex® PRO)</w:t>
            </w:r>
          </w:p>
        </w:tc>
        <w:tc>
          <w:tcPr>
            <w:tcW w:w="3560" w:type="dxa"/>
            <w:tcBorders>
              <w:top w:val="single" w:color="000000" w:sz="4" w:space="0"/>
              <w:left w:val="single" w:color="000000" w:sz="4" w:space="0"/>
              <w:bottom w:val="single" w:color="000000" w:sz="4" w:space="0"/>
              <w:right w:val="single" w:color="000000" w:sz="4" w:space="0"/>
            </w:tcBorders>
            <w:vAlign w:val="center"/>
          </w:tcPr>
          <w:p w14:paraId="2073A9CA">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Relação do pico de torque da mão dominante x não dominante</w:t>
            </w:r>
          </w:p>
        </w:tc>
      </w:tr>
      <w:tr w14:paraId="7DF76432">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44C325DE">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rPr>
              <w:t xml:space="preserve">Força máxima relativa à massa corporal no </w:t>
            </w:r>
            <w:r>
              <w:rPr>
                <w:rFonts w:hint="default" w:ascii="Times New Roman" w:hAnsi="Times New Roman" w:eastAsia="Times New Roman" w:cs="Times New Roman"/>
                <w:i/>
                <w:iCs/>
                <w:lang w:val="pt-BR"/>
              </w:rPr>
              <w:t>SP</w:t>
            </w:r>
          </w:p>
        </w:tc>
        <w:tc>
          <w:tcPr>
            <w:tcW w:w="2552" w:type="dxa"/>
            <w:tcBorders>
              <w:top w:val="single" w:color="000000" w:sz="4" w:space="0"/>
              <w:left w:val="single" w:color="000000" w:sz="4" w:space="0"/>
              <w:bottom w:val="single" w:color="000000" w:sz="4" w:space="0"/>
              <w:right w:val="single" w:color="000000" w:sz="4" w:space="0"/>
            </w:tcBorders>
            <w:vAlign w:val="center"/>
          </w:tcPr>
          <w:p w14:paraId="1FEE2117">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lang w:val="pt-BR"/>
              </w:rPr>
              <w:t>K</w:t>
            </w:r>
            <w:r>
              <w:rPr>
                <w:rFonts w:hint="default" w:ascii="Times New Roman" w:hAnsi="Times New Roman" w:eastAsia="SimSun" w:cs="Times New Roman"/>
                <w:sz w:val="24"/>
                <w:szCs w:val="24"/>
              </w:rPr>
              <w:t>g/</w:t>
            </w:r>
            <w:r>
              <w:rPr>
                <w:rFonts w:hint="default" w:ascii="Times New Roman" w:hAnsi="Times New Roman" w:eastAsia="SimSun" w:cs="Times New Roman"/>
                <w:sz w:val="24"/>
                <w:szCs w:val="24"/>
                <w:lang w:val="pt-BR"/>
              </w:rPr>
              <w:t>K</w:t>
            </w:r>
            <w:r>
              <w:rPr>
                <w:rFonts w:hint="default" w:ascii="Times New Roman" w:hAnsi="Times New Roman" w:eastAsia="SimSun" w:cs="Times New Roman"/>
                <w:sz w:val="24"/>
                <w:szCs w:val="24"/>
              </w:rPr>
              <w:t>g</w:t>
            </w:r>
          </w:p>
        </w:tc>
        <w:tc>
          <w:tcPr>
            <w:tcW w:w="2552" w:type="dxa"/>
            <w:tcBorders>
              <w:top w:val="single" w:color="000000" w:sz="4" w:space="0"/>
              <w:left w:val="single" w:color="000000" w:sz="4" w:space="0"/>
              <w:bottom w:val="single" w:color="000000" w:sz="4" w:space="0"/>
              <w:right w:val="single" w:color="000000" w:sz="4" w:space="0"/>
            </w:tcBorders>
            <w:vAlign w:val="center"/>
          </w:tcPr>
          <w:p w14:paraId="0D90A080">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Teste de 1-RM </w:t>
            </w:r>
          </w:p>
        </w:tc>
        <w:tc>
          <w:tcPr>
            <w:tcW w:w="3560" w:type="dxa"/>
            <w:tcBorders>
              <w:top w:val="single" w:color="000000" w:sz="4" w:space="0"/>
              <w:left w:val="single" w:color="000000" w:sz="4" w:space="0"/>
              <w:bottom w:val="single" w:color="000000" w:sz="4" w:space="0"/>
              <w:right w:val="single" w:color="000000" w:sz="4" w:space="0"/>
            </w:tcBorders>
            <w:vAlign w:val="center"/>
          </w:tcPr>
          <w:p w14:paraId="006A02BB">
            <w:pPr>
              <w:keepNext w:val="0"/>
              <w:keepLines w:val="0"/>
              <w:widowControl/>
              <w:suppressLineNumbers w:val="0"/>
              <w:jc w:val="left"/>
              <w:rPr>
                <w:rFonts w:hint="default" w:ascii="Times New Roman" w:hAnsi="Times New Roman" w:eastAsia="Times New Roman" w:cs="Times New Roman"/>
              </w:rPr>
            </w:pPr>
            <w:r>
              <w:rPr>
                <w:rFonts w:hint="default" w:ascii="Times New Roman" w:hAnsi="Times New Roman" w:eastAsia="sans-serif" w:cs="Times New Roman"/>
                <w:kern w:val="0"/>
                <w:sz w:val="24"/>
                <w:szCs w:val="24"/>
                <w:lang w:val="en-US" w:eastAsia="zh-CN" w:bidi="ar"/>
              </w:rPr>
              <w:t>Capacidade de suportar o impacto dinâmico e transferir carga a cada ciclo.</w:t>
            </w:r>
            <w:r>
              <w:rPr>
                <w:rFonts w:hint="default" w:ascii="Times New Roman" w:hAnsi="Times New Roman" w:eastAsia="SimSun" w:cs="Times New Roman"/>
                <w:kern w:val="0"/>
                <w:sz w:val="24"/>
                <w:szCs w:val="24"/>
                <w:lang w:val="en-US" w:eastAsia="zh-CN" w:bidi="ar"/>
              </w:rPr>
              <w:t xml:space="preserve"> </w:t>
            </w:r>
          </w:p>
        </w:tc>
      </w:tr>
      <w:tr w14:paraId="61F3D369">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16CBCF1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Resistência em posição invertida (wall-supported </w:t>
            </w:r>
            <w:r>
              <w:rPr>
                <w:rFonts w:hint="default" w:ascii="Times New Roman" w:hAnsi="Times New Roman" w:eastAsia="Times New Roman" w:cs="Times New Roman"/>
                <w:i/>
                <w:iCs/>
              </w:rPr>
              <w:t>HS</w:t>
            </w:r>
            <w:r>
              <w:rPr>
                <w:rFonts w:hint="default" w:ascii="Times New Roman" w:hAnsi="Times New Roman" w:eastAsia="Times New Roman" w:cs="Times New Roman"/>
              </w:rPr>
              <w:t>)</w:t>
            </w:r>
          </w:p>
        </w:tc>
        <w:tc>
          <w:tcPr>
            <w:tcW w:w="2552" w:type="dxa"/>
            <w:tcBorders>
              <w:top w:val="single" w:color="000000" w:sz="4" w:space="0"/>
              <w:left w:val="single" w:color="000000" w:sz="4" w:space="0"/>
              <w:bottom w:val="single" w:color="000000" w:sz="4" w:space="0"/>
              <w:right w:val="single" w:color="000000" w:sz="4" w:space="0"/>
            </w:tcBorders>
            <w:vAlign w:val="center"/>
          </w:tcPr>
          <w:p w14:paraId="7C7D1842">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lang w:val="pt-BR"/>
              </w:rPr>
              <w:t>Segundos (s)</w:t>
            </w:r>
          </w:p>
        </w:tc>
        <w:tc>
          <w:tcPr>
            <w:tcW w:w="2552" w:type="dxa"/>
            <w:tcBorders>
              <w:top w:val="single" w:color="000000" w:sz="4" w:space="0"/>
              <w:left w:val="single" w:color="000000" w:sz="4" w:space="0"/>
              <w:bottom w:val="single" w:color="000000" w:sz="4" w:space="0"/>
              <w:right w:val="single" w:color="000000" w:sz="4" w:space="0"/>
            </w:tcBorders>
            <w:vAlign w:val="center"/>
          </w:tcPr>
          <w:p w14:paraId="23D3C5F9">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Cronometro Digital</w:t>
            </w:r>
          </w:p>
        </w:tc>
        <w:tc>
          <w:tcPr>
            <w:tcW w:w="3560" w:type="dxa"/>
            <w:tcBorders>
              <w:top w:val="single" w:color="000000" w:sz="4" w:space="0"/>
              <w:left w:val="single" w:color="000000" w:sz="4" w:space="0"/>
              <w:bottom w:val="single" w:color="000000" w:sz="4" w:space="0"/>
              <w:right w:val="single" w:color="000000" w:sz="4" w:space="0"/>
            </w:tcBorders>
            <w:vAlign w:val="center"/>
          </w:tcPr>
          <w:p w14:paraId="0E5EB288">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Tolerância à fadiga de suporte durante a marcha prolongada.</w:t>
            </w:r>
          </w:p>
        </w:tc>
      </w:tr>
      <w:tr w14:paraId="29414099">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62025256">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Altura do CoM</w:t>
            </w:r>
          </w:p>
        </w:tc>
        <w:tc>
          <w:tcPr>
            <w:tcW w:w="2552" w:type="dxa"/>
            <w:tcBorders>
              <w:top w:val="single" w:color="000000" w:sz="4" w:space="0"/>
              <w:left w:val="single" w:color="000000" w:sz="4" w:space="0"/>
              <w:bottom w:val="single" w:color="000000" w:sz="4" w:space="0"/>
              <w:right w:val="single" w:color="000000" w:sz="4" w:space="0"/>
            </w:tcBorders>
            <w:vAlign w:val="center"/>
          </w:tcPr>
          <w:p w14:paraId="04B6A094">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0E1D9C5D">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21045D9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3F869650">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Instabilidade do centro de gravidade durante o deslocamento invertido.</w:t>
            </w:r>
          </w:p>
        </w:tc>
      </w:tr>
      <w:tr w14:paraId="40F25F37">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4757F6A3">
            <w:pPr>
              <w:spacing w:line="360" w:lineRule="auto"/>
              <w:jc w:val="left"/>
              <w:rPr>
                <w:rFonts w:hint="default" w:ascii="Times New Roman" w:hAnsi="Times New Roman" w:eastAsia="Times New Roman" w:cs="Times New Roman"/>
                <w:lang w:val="pt-BR"/>
              </w:rPr>
            </w:pPr>
            <w:r>
              <w:rPr>
                <w:rFonts w:hint="default" w:ascii="Times New Roman" w:hAnsi="Times New Roman" w:eastAsia="Times New Roman" w:cs="Times New Roman"/>
              </w:rPr>
              <w:t xml:space="preserve">Comprimento dos </w:t>
            </w:r>
            <w:r>
              <w:rPr>
                <w:rFonts w:hint="default" w:ascii="Times New Roman" w:hAnsi="Times New Roman" w:eastAsia="Times New Roman" w:cs="Times New Roman"/>
                <w:lang w:val="pt-BR"/>
              </w:rPr>
              <w:t>M</w:t>
            </w:r>
            <w:r>
              <w:rPr>
                <w:rFonts w:hint="default" w:ascii="Times New Roman" w:hAnsi="Times New Roman" w:eastAsia="Times New Roman" w:cs="Times New Roman"/>
              </w:rPr>
              <w:t>embros</w:t>
            </w:r>
            <w:r>
              <w:rPr>
                <w:rFonts w:hint="default" w:ascii="Times New Roman" w:hAnsi="Times New Roman" w:eastAsia="Times New Roman" w:cs="Times New Roman"/>
                <w:lang w:val="pt-BR"/>
              </w:rPr>
              <w:t xml:space="preserve"> Superiores</w:t>
            </w:r>
          </w:p>
        </w:tc>
        <w:tc>
          <w:tcPr>
            <w:tcW w:w="2552" w:type="dxa"/>
            <w:tcBorders>
              <w:top w:val="single" w:color="000000" w:sz="4" w:space="0"/>
              <w:left w:val="single" w:color="000000" w:sz="4" w:space="0"/>
              <w:bottom w:val="single" w:color="000000" w:sz="4" w:space="0"/>
              <w:right w:val="single" w:color="000000" w:sz="4" w:space="0"/>
            </w:tcBorders>
            <w:vAlign w:val="center"/>
          </w:tcPr>
          <w:p w14:paraId="0A2B703B">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lang w:val="pt-BR"/>
              </w:rPr>
              <w:t>Milímetros (mm)</w:t>
            </w:r>
          </w:p>
        </w:tc>
        <w:tc>
          <w:tcPr>
            <w:tcW w:w="2552" w:type="dxa"/>
            <w:tcBorders>
              <w:top w:val="single" w:color="000000" w:sz="4" w:space="0"/>
              <w:left w:val="single" w:color="000000" w:sz="4" w:space="0"/>
              <w:bottom w:val="single" w:color="000000" w:sz="4" w:space="0"/>
              <w:right w:val="single" w:color="000000" w:sz="4" w:space="0"/>
            </w:tcBorders>
            <w:vAlign w:val="center"/>
          </w:tcPr>
          <w:p w14:paraId="149DA8E1">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 xml:space="preserve">Captura de Movimento  </w:t>
            </w:r>
          </w:p>
          <w:p w14:paraId="7F647529">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(Vicon®)</w:t>
            </w:r>
          </w:p>
        </w:tc>
        <w:tc>
          <w:tcPr>
            <w:tcW w:w="3560" w:type="dxa"/>
            <w:tcBorders>
              <w:top w:val="single" w:color="000000" w:sz="4" w:space="0"/>
              <w:left w:val="single" w:color="000000" w:sz="4" w:space="0"/>
              <w:bottom w:val="single" w:color="000000" w:sz="4" w:space="0"/>
              <w:right w:val="single" w:color="000000" w:sz="4" w:space="0"/>
            </w:tcBorders>
            <w:vAlign w:val="center"/>
          </w:tcPr>
          <w:p w14:paraId="4BEF934A">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Influência do comprimento da alavanca na amplitude das passadas.</w:t>
            </w:r>
          </w:p>
        </w:tc>
      </w:tr>
      <w:tr w14:paraId="69ED7CA1">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2D3B98F3">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Composição Corporal</w:t>
            </w:r>
          </w:p>
        </w:tc>
        <w:tc>
          <w:tcPr>
            <w:tcW w:w="2552" w:type="dxa"/>
            <w:tcBorders>
              <w:top w:val="single" w:color="000000" w:sz="4" w:space="0"/>
              <w:left w:val="single" w:color="000000" w:sz="4" w:space="0"/>
              <w:bottom w:val="single" w:color="000000" w:sz="4" w:space="0"/>
              <w:right w:val="single" w:color="000000" w:sz="4" w:space="0"/>
            </w:tcBorders>
            <w:vAlign w:val="center"/>
          </w:tcPr>
          <w:p w14:paraId="60708189">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 Gordura e Massa Livre (kg)</w:t>
            </w:r>
          </w:p>
        </w:tc>
        <w:tc>
          <w:tcPr>
            <w:tcW w:w="2552" w:type="dxa"/>
            <w:tcBorders>
              <w:top w:val="single" w:color="000000" w:sz="4" w:space="0"/>
              <w:left w:val="single" w:color="000000" w:sz="4" w:space="0"/>
              <w:bottom w:val="single" w:color="000000" w:sz="4" w:space="0"/>
              <w:right w:val="single" w:color="000000" w:sz="4" w:space="0"/>
            </w:tcBorders>
            <w:vAlign w:val="center"/>
          </w:tcPr>
          <w:p w14:paraId="62675F31">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Bioimpedância Tetrapolar (Sanny®</w:t>
            </w:r>
          </w:p>
        </w:tc>
        <w:tc>
          <w:tcPr>
            <w:tcW w:w="3560" w:type="dxa"/>
            <w:tcBorders>
              <w:top w:val="single" w:color="000000" w:sz="4" w:space="0"/>
              <w:left w:val="single" w:color="000000" w:sz="4" w:space="0"/>
              <w:bottom w:val="single" w:color="000000" w:sz="4" w:space="0"/>
              <w:right w:val="single" w:color="000000" w:sz="4" w:space="0"/>
            </w:tcBorders>
            <w:vAlign w:val="center"/>
          </w:tcPr>
          <w:p w14:paraId="32BBCE7E">
            <w:pPr>
              <w:spacing w:line="360" w:lineRule="auto"/>
              <w:jc w:val="left"/>
              <w:rPr>
                <w:rFonts w:hint="default" w:ascii="Times New Roman" w:hAnsi="Times New Roman" w:eastAsia="Times New Roman" w:cs="Times New Roman"/>
              </w:rPr>
            </w:pPr>
            <w:r>
              <w:rPr>
                <w:rFonts w:hint="default" w:ascii="Times New Roman" w:hAnsi="Times New Roman" w:eastAsia="SimSun" w:cs="Times New Roman"/>
                <w:sz w:val="24"/>
                <w:szCs w:val="24"/>
              </w:rPr>
              <w:t>Influência da massa inerte e muscular ativa na eficiência locomotora</w:t>
            </w:r>
          </w:p>
        </w:tc>
      </w:tr>
      <w:tr w14:paraId="2B12CB8E">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039362C1">
            <w:pPr>
              <w:spacing w:line="360" w:lineRule="auto"/>
              <w:rPr>
                <w:rFonts w:hint="default" w:ascii="Times New Roman" w:hAnsi="Times New Roman" w:eastAsia="Times New Roman" w:cs="Times New Roman"/>
              </w:rPr>
            </w:pPr>
            <w:r>
              <w:rPr>
                <w:rFonts w:hint="default" w:ascii="Times New Roman" w:hAnsi="Times New Roman" w:cs="Times New Roman"/>
              </w:rPr>
              <w:t>Volume de Prática Acumulada</w:t>
            </w:r>
          </w:p>
        </w:tc>
        <w:tc>
          <w:tcPr>
            <w:tcW w:w="2552" w:type="dxa"/>
            <w:tcBorders>
              <w:top w:val="single" w:color="000000" w:sz="4" w:space="0"/>
              <w:left w:val="single" w:color="000000" w:sz="4" w:space="0"/>
              <w:bottom w:val="single" w:color="000000" w:sz="4" w:space="0"/>
              <w:right w:val="single" w:color="000000" w:sz="4" w:space="0"/>
            </w:tcBorders>
            <w:vAlign w:val="center"/>
          </w:tcPr>
          <w:p w14:paraId="0C29B919">
            <w:pPr>
              <w:spacing w:line="360" w:lineRule="auto"/>
              <w:rPr>
                <w:rFonts w:hint="default" w:ascii="Times New Roman" w:hAnsi="Times New Roman" w:eastAsia="Times New Roman" w:cs="Times New Roman"/>
              </w:rPr>
            </w:pPr>
            <w:r>
              <w:rPr>
                <w:rFonts w:hint="default" w:ascii="Times New Roman" w:hAnsi="Times New Roman" w:eastAsia="SimSun" w:cs="Times New Roman"/>
                <w:sz w:val="24"/>
                <w:szCs w:val="24"/>
              </w:rPr>
              <w:t>Horas totais estimadas</w:t>
            </w:r>
          </w:p>
        </w:tc>
        <w:tc>
          <w:tcPr>
            <w:tcW w:w="2552" w:type="dxa"/>
            <w:tcBorders>
              <w:top w:val="single" w:color="000000" w:sz="4" w:space="0"/>
              <w:left w:val="single" w:color="000000" w:sz="4" w:space="0"/>
              <w:bottom w:val="single" w:color="000000" w:sz="4" w:space="0"/>
              <w:right w:val="single" w:color="000000" w:sz="4" w:space="0"/>
            </w:tcBorders>
            <w:vAlign w:val="center"/>
          </w:tcPr>
          <w:p w14:paraId="7DFBF8C1">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Questionário </w:t>
            </w:r>
            <w:r>
              <w:rPr>
                <w:rFonts w:hint="default" w:ascii="Times New Roman" w:hAnsi="Times New Roman" w:eastAsia="Times New Roman" w:cs="Times New Roman"/>
                <w:lang w:val="pt-BR"/>
              </w:rPr>
              <w:t>Padronizado</w:t>
            </w:r>
          </w:p>
        </w:tc>
        <w:tc>
          <w:tcPr>
            <w:tcW w:w="3560" w:type="dxa"/>
            <w:tcBorders>
              <w:top w:val="single" w:color="000000" w:sz="4" w:space="0"/>
              <w:left w:val="single" w:color="000000" w:sz="4" w:space="0"/>
              <w:bottom w:val="single" w:color="000000" w:sz="4" w:space="0"/>
              <w:right w:val="single" w:color="000000" w:sz="4" w:space="0"/>
            </w:tcBorders>
            <w:vAlign w:val="center"/>
          </w:tcPr>
          <w:p w14:paraId="468302E4">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Avalia se experiência prévia está associada a maior estabilidade e proficiência técnica.</w:t>
            </w:r>
          </w:p>
        </w:tc>
      </w:tr>
      <w:tr w14:paraId="63A4CFFA">
        <w:tblPrEx>
          <w:tblCellMar>
            <w:top w:w="0" w:type="dxa"/>
            <w:left w:w="108" w:type="dxa"/>
            <w:bottom w:w="0" w:type="dxa"/>
            <w:right w:w="108" w:type="dxa"/>
          </w:tblCellMar>
        </w:tblPrEx>
        <w:tc>
          <w:tcPr>
            <w:tcW w:w="2970" w:type="dxa"/>
            <w:tcBorders>
              <w:top w:val="single" w:color="000000" w:sz="4" w:space="0"/>
              <w:left w:val="single" w:color="000000" w:sz="4" w:space="0"/>
              <w:bottom w:val="single" w:color="000000" w:sz="4" w:space="0"/>
              <w:right w:val="single" w:color="000000" w:sz="4" w:space="0"/>
            </w:tcBorders>
            <w:vAlign w:val="center"/>
          </w:tcPr>
          <w:p w14:paraId="1D21917D">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lang w:val="pt-BR"/>
              </w:rPr>
              <w:t>I</w:t>
            </w:r>
            <w:r>
              <w:rPr>
                <w:rFonts w:hint="default" w:ascii="Times New Roman" w:hAnsi="Times New Roman" w:eastAsia="Times New Roman" w:cs="Times New Roman"/>
              </w:rPr>
              <w:t xml:space="preserve">dade </w:t>
            </w:r>
            <w:r>
              <w:rPr>
                <w:rFonts w:hint="default" w:ascii="Times New Roman" w:hAnsi="Times New Roman" w:eastAsia="Times New Roman" w:cs="Times New Roman"/>
                <w:lang w:val="pt-BR"/>
              </w:rPr>
              <w:t>C</w:t>
            </w:r>
            <w:r>
              <w:rPr>
                <w:rFonts w:hint="default" w:ascii="Times New Roman" w:hAnsi="Times New Roman" w:eastAsia="Times New Roman" w:cs="Times New Roman"/>
              </w:rPr>
              <w:t xml:space="preserve">ronológica </w:t>
            </w:r>
          </w:p>
        </w:tc>
        <w:tc>
          <w:tcPr>
            <w:tcW w:w="2552" w:type="dxa"/>
            <w:tcBorders>
              <w:top w:val="single" w:color="000000" w:sz="4" w:space="0"/>
              <w:left w:val="single" w:color="000000" w:sz="4" w:space="0"/>
              <w:bottom w:val="single" w:color="000000" w:sz="4" w:space="0"/>
              <w:right w:val="single" w:color="000000" w:sz="4" w:space="0"/>
            </w:tcBorders>
            <w:vAlign w:val="center"/>
          </w:tcPr>
          <w:p w14:paraId="416E4E2F">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lang w:val="pt-BR"/>
              </w:rPr>
              <w:t>Anos</w:t>
            </w:r>
          </w:p>
        </w:tc>
        <w:tc>
          <w:tcPr>
            <w:tcW w:w="2552" w:type="dxa"/>
            <w:tcBorders>
              <w:top w:val="single" w:color="000000" w:sz="4" w:space="0"/>
              <w:left w:val="single" w:color="000000" w:sz="4" w:space="0"/>
              <w:bottom w:val="single" w:color="000000" w:sz="4" w:space="0"/>
              <w:right w:val="single" w:color="000000" w:sz="4" w:space="0"/>
            </w:tcBorders>
            <w:vAlign w:val="center"/>
          </w:tcPr>
          <w:p w14:paraId="3B02B381">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 xml:space="preserve">Questionário </w:t>
            </w:r>
            <w:r>
              <w:rPr>
                <w:rFonts w:hint="default" w:ascii="Times New Roman" w:hAnsi="Times New Roman" w:eastAsia="Times New Roman" w:cs="Times New Roman"/>
                <w:lang w:val="pt-BR"/>
              </w:rPr>
              <w:t>Padronizado</w:t>
            </w:r>
          </w:p>
        </w:tc>
        <w:tc>
          <w:tcPr>
            <w:tcW w:w="3560" w:type="dxa"/>
            <w:tcBorders>
              <w:top w:val="single" w:color="000000" w:sz="4" w:space="0"/>
              <w:left w:val="single" w:color="000000" w:sz="4" w:space="0"/>
              <w:bottom w:val="single" w:color="000000" w:sz="4" w:space="0"/>
              <w:right w:val="single" w:color="000000" w:sz="4" w:space="0"/>
            </w:tcBorders>
            <w:vAlign w:val="center"/>
          </w:tcPr>
          <w:p w14:paraId="5F34FF83">
            <w:pPr>
              <w:spacing w:line="360" w:lineRule="auto"/>
              <w:rPr>
                <w:rFonts w:hint="default" w:ascii="Times New Roman" w:hAnsi="Times New Roman" w:eastAsia="Times New Roman" w:cs="Times New Roman"/>
              </w:rPr>
            </w:pPr>
            <w:r>
              <w:rPr>
                <w:rFonts w:hint="default" w:ascii="Times New Roman" w:hAnsi="Times New Roman" w:eastAsia="SimSun" w:cs="Times New Roman"/>
                <w:sz w:val="24"/>
                <w:szCs w:val="24"/>
              </w:rPr>
              <w:t>Impacto da idade versus experiência na qualidade do controle sensório-motor</w:t>
            </w:r>
          </w:p>
        </w:tc>
      </w:tr>
    </w:tbl>
    <w:p w14:paraId="0B17E18D">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Fonte: Elaborado pelo autor (2025).</w:t>
      </w:r>
    </w:p>
    <w:p w14:paraId="2E34A555">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3.2 Participantes</w:t>
      </w:r>
    </w:p>
    <w:p w14:paraId="34B76FD1">
      <w:pPr>
        <w:spacing w:line="360" w:lineRule="auto"/>
        <w:rPr>
          <w:rFonts w:hint="default" w:ascii="Times New Roman" w:hAnsi="Times New Roman" w:eastAsia="Times New Roman" w:cs="Times New Roman"/>
        </w:rPr>
      </w:pPr>
      <w:r>
        <w:rPr>
          <w:rFonts w:hint="default" w:ascii="Times New Roman" w:hAnsi="Times New Roman" w:eastAsia="Times New Roman" w:cs="Times New Roman"/>
        </w:rPr>
        <w:tab/>
      </w:r>
      <w:r>
        <w:rPr>
          <w:rFonts w:hint="default" w:ascii="Times New Roman" w:hAnsi="Times New Roman" w:eastAsia="Times New Roman" w:cs="Times New Roman"/>
        </w:rPr>
        <w:t xml:space="preserve">Serão recrutados adultos, de ambos os sexos, com idade mínima de 18 anos, fisicamente ativos, praticantes de </w:t>
      </w:r>
      <w:r>
        <w:rPr>
          <w:rFonts w:hint="default" w:ascii="Times New Roman" w:hAnsi="Times New Roman" w:eastAsia="Times New Roman" w:cs="Times New Roman"/>
          <w:lang w:val="pt-BR"/>
        </w:rPr>
        <w:t xml:space="preserve">pelo menos </w:t>
      </w:r>
      <w:r>
        <w:rPr>
          <w:rFonts w:hint="default" w:ascii="Times New Roman" w:hAnsi="Times New Roman" w:eastAsia="Times New Roman" w:cs="Times New Roman"/>
        </w:rPr>
        <w:t xml:space="preserve">uma modalidade que inclua o treinamento do </w:t>
      </w:r>
      <w:r>
        <w:rPr>
          <w:rFonts w:hint="default" w:ascii="Times New Roman" w:hAnsi="Times New Roman" w:eastAsia="Times New Roman" w:cs="Times New Roman"/>
          <w:i/>
        </w:rPr>
        <w:t>handstand</w:t>
      </w:r>
      <w:r>
        <w:rPr>
          <w:rFonts w:hint="default" w:ascii="Times New Roman" w:hAnsi="Times New Roman" w:eastAsia="Times New Roman" w:cs="Times New Roman"/>
        </w:rPr>
        <w:t xml:space="preserve">. Deverão ser capazes de manter o equilíbrio livre no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por pelo menos 3 segundos e/ou conseguir realizar três passadas no </w:t>
      </w:r>
      <w:r>
        <w:rPr>
          <w:rFonts w:hint="default" w:ascii="Times New Roman" w:hAnsi="Times New Roman" w:eastAsia="Times New Roman" w:cs="Times New Roman"/>
          <w:i/>
          <w:iCs/>
        </w:rPr>
        <w:t>HSW</w:t>
      </w:r>
      <w:r>
        <w:rPr>
          <w:rFonts w:hint="default" w:ascii="Times New Roman" w:hAnsi="Times New Roman" w:eastAsia="Times New Roman" w:cs="Times New Roman"/>
          <w:i/>
        </w:rPr>
        <w:t xml:space="preserve">, </w:t>
      </w:r>
      <w:r>
        <w:rPr>
          <w:rFonts w:hint="default" w:ascii="Times New Roman" w:hAnsi="Times New Roman" w:eastAsia="Times New Roman" w:cs="Times New Roman"/>
        </w:rPr>
        <w:t xml:space="preserve">condições essas que servirão como critério de exclusão juntamente com: impossibilidade de realizar todas as sessões de testes, histórico de lesão musculoesquelética nos membros superiores nos últimos 12 meses; apresentar qualquer problema de saúde que interfira na execução dos exercícios e avaliações propostas. Os participantes serão convidados por meio de cartaz virtual compartilhado ao público nas redes sociais: </w:t>
      </w:r>
      <w:r>
        <w:rPr>
          <w:rFonts w:hint="default" w:ascii="Times New Roman" w:hAnsi="Times New Roman" w:eastAsia="Times New Roman" w:cs="Times New Roman"/>
          <w:i/>
        </w:rPr>
        <w:t>instagram</w:t>
      </w:r>
      <w:r>
        <w:rPr>
          <w:rFonts w:hint="default" w:ascii="Times New Roman" w:hAnsi="Times New Roman" w:eastAsia="Times New Roman" w:cs="Times New Roman"/>
        </w:rPr>
        <w:t xml:space="preserve"> e </w:t>
      </w:r>
      <w:r>
        <w:rPr>
          <w:rFonts w:hint="default" w:ascii="Times New Roman" w:hAnsi="Times New Roman" w:eastAsia="Times New Roman" w:cs="Times New Roman"/>
          <w:i/>
        </w:rPr>
        <w:t>facebook</w:t>
      </w:r>
      <w:r>
        <w:rPr>
          <w:rFonts w:hint="default" w:ascii="Times New Roman" w:hAnsi="Times New Roman" w:eastAsia="Times New Roman" w:cs="Times New Roman"/>
        </w:rPr>
        <w:t xml:space="preserve">, e aplicativo de mensagem </w:t>
      </w:r>
      <w:r>
        <w:rPr>
          <w:rFonts w:hint="default" w:ascii="Times New Roman" w:hAnsi="Times New Roman" w:eastAsia="Times New Roman" w:cs="Times New Roman"/>
          <w:i/>
        </w:rPr>
        <w:t xml:space="preserve">whatsapp, </w:t>
      </w:r>
      <w:r>
        <w:rPr>
          <w:rFonts w:hint="default" w:ascii="Times New Roman" w:hAnsi="Times New Roman" w:eastAsia="Times New Roman" w:cs="Times New Roman"/>
        </w:rPr>
        <w:t>além de busca ativa por participantes</w:t>
      </w:r>
      <w:r>
        <w:rPr>
          <w:rFonts w:hint="default" w:ascii="Times New Roman" w:hAnsi="Times New Roman" w:eastAsia="Times New Roman" w:cs="Times New Roman"/>
          <w:i/>
        </w:rPr>
        <w:t xml:space="preserve"> </w:t>
      </w:r>
      <w:r>
        <w:rPr>
          <w:rFonts w:hint="default" w:ascii="Times New Roman" w:hAnsi="Times New Roman" w:eastAsia="Times New Roman" w:cs="Times New Roman"/>
        </w:rPr>
        <w:t xml:space="preserve">junto a academias de ginástica, </w:t>
      </w:r>
      <w:r>
        <w:rPr>
          <w:rFonts w:hint="default" w:ascii="Times New Roman" w:hAnsi="Times New Roman" w:eastAsia="Times New Roman" w:cs="Times New Roman"/>
          <w:i/>
          <w:iCs/>
        </w:rPr>
        <w:t>boxes</w:t>
      </w:r>
      <w:r>
        <w:rPr>
          <w:rFonts w:hint="default" w:ascii="Times New Roman" w:hAnsi="Times New Roman" w:eastAsia="Times New Roman" w:cs="Times New Roman"/>
        </w:rPr>
        <w:t xml:space="preserve"> de </w:t>
      </w:r>
      <w:r>
        <w:rPr>
          <w:rFonts w:hint="default" w:ascii="Times New Roman" w:hAnsi="Times New Roman" w:eastAsia="Times New Roman" w:cs="Times New Roman"/>
          <w:i/>
        </w:rPr>
        <w:t>CrossFit</w:t>
      </w:r>
      <w:r>
        <w:rPr>
          <w:rFonts w:hint="default" w:ascii="Times New Roman" w:hAnsi="Times New Roman" w:eastAsia="Times New Roman" w:cs="Times New Roman"/>
        </w:rPr>
        <w:t>®, estúdios de dança, centros de treinamento circenses e grupos de calistenia da região.</w:t>
      </w:r>
    </w:p>
    <w:p w14:paraId="7C4978C4">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Cada voluntário preencherá um formulário online padronizado na plataforma </w:t>
      </w:r>
      <w:r>
        <w:rPr>
          <w:rFonts w:hint="default" w:ascii="Times New Roman" w:hAnsi="Times New Roman" w:eastAsia="Times New Roman" w:cs="Times New Roman"/>
          <w:i/>
          <w:iCs/>
        </w:rPr>
        <w:t>Google Forms</w:t>
      </w:r>
      <w:r>
        <w:rPr>
          <w:rFonts w:hint="default" w:ascii="Times New Roman" w:hAnsi="Times New Roman" w:eastAsia="Times New Roman" w:cs="Times New Roman"/>
        </w:rPr>
        <w:t xml:space="preserve">, estruturado </w:t>
      </w:r>
      <w:r>
        <w:rPr>
          <w:rFonts w:hint="default" w:ascii="Times New Roman" w:hAnsi="Times New Roman" w:eastAsia="Times New Roman" w:cs="Times New Roman"/>
          <w:lang w:val="pt-BR"/>
        </w:rPr>
        <w:t>em</w:t>
      </w:r>
      <w:r>
        <w:rPr>
          <w:rFonts w:hint="default" w:ascii="Times New Roman" w:hAnsi="Times New Roman" w:eastAsia="Times New Roman" w:cs="Times New Roman"/>
        </w:rPr>
        <w:t>: dados sociodemográficos e de contato (idade, sexo, telefone e e-mail)</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triagem de segurança em saúde por meio do Questionário de Prontidão para Atividade Física (PAR-Q), garantindo a aptidão cardiovascular e osteomuscular para os testes de esforço físico máximo</w:t>
      </w:r>
      <w:r>
        <w:rPr>
          <w:rFonts w:hint="default" w:ascii="Times New Roman" w:hAnsi="Times New Roman" w:eastAsia="Times New Roman" w:cs="Times New Roman"/>
          <w:lang w:val="pt-BR"/>
        </w:rPr>
        <w:t>,</w:t>
      </w:r>
      <w:r>
        <w:rPr>
          <w:rFonts w:hint="default" w:ascii="Times New Roman" w:hAnsi="Times New Roman" w:eastAsia="Times New Roman" w:cs="Times New Roman"/>
        </w:rPr>
        <w:t> histórico de lesões musculoesqueléticas nos membros superiores nos últimos 12 meses</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modalidades praticadas</w:t>
      </w:r>
      <w:r>
        <w:rPr>
          <w:rFonts w:hint="default" w:ascii="Times New Roman" w:hAnsi="Times New Roman" w:eastAsia="Times New Roman" w:cs="Times New Roman"/>
          <w:lang w:val="pt-BR"/>
        </w:rPr>
        <w:t xml:space="preserve"> que tenha </w:t>
      </w:r>
      <w:r>
        <w:rPr>
          <w:rFonts w:hint="default" w:ascii="Times New Roman" w:hAnsi="Times New Roman" w:eastAsia="Times New Roman" w:cs="Times New Roman"/>
          <w:i/>
          <w:iCs/>
          <w:lang w:val="pt-BR"/>
        </w:rPr>
        <w:t xml:space="preserve">HS </w:t>
      </w:r>
      <w:r>
        <w:rPr>
          <w:rFonts w:hint="default" w:ascii="Times New Roman" w:hAnsi="Times New Roman" w:eastAsia="Times New Roman" w:cs="Times New Roman"/>
          <w:i w:val="0"/>
          <w:iCs w:val="0"/>
          <w:lang w:val="pt-BR"/>
        </w:rPr>
        <w:t>como habilidade</w:t>
      </w:r>
      <w:r>
        <w:rPr>
          <w:rFonts w:hint="default" w:ascii="Times New Roman" w:hAnsi="Times New Roman" w:eastAsia="Times New Roman" w:cs="Times New Roman"/>
        </w:rPr>
        <w:t xml:space="preserve"> (permitindo seleção única ou múltipla entre Calistenia, CrossFit®, Ginástica Artística, Circo, Dança, Yoga</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i/>
          <w:iCs/>
          <w:lang w:val="pt-BR"/>
        </w:rPr>
        <w:t>Movement culture</w:t>
      </w:r>
      <w:r>
        <w:rPr>
          <w:rFonts w:hint="default" w:ascii="Times New Roman" w:hAnsi="Times New Roman" w:eastAsia="Times New Roman" w:cs="Times New Roman"/>
          <w:i w:val="0"/>
          <w:iCs w:val="0"/>
          <w:lang w:val="pt-BR"/>
        </w:rPr>
        <w:t xml:space="preserve">, Prática isolada da </w:t>
      </w:r>
      <w:r>
        <w:rPr>
          <w:rFonts w:hint="default" w:ascii="Times New Roman" w:hAnsi="Times New Roman" w:eastAsia="Times New Roman" w:cs="Times New Roman"/>
          <w:i/>
          <w:iCs/>
          <w:lang w:val="pt-BR"/>
        </w:rPr>
        <w:t>HS</w:t>
      </w:r>
      <w:r>
        <w:rPr>
          <w:rFonts w:hint="default" w:ascii="Times New Roman" w:hAnsi="Times New Roman" w:eastAsia="Times New Roman" w:cs="Times New Roman"/>
        </w:rPr>
        <w:t xml:space="preserve"> e Outras)</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rPr>
        <w:t xml:space="preserve">e histórico de treinamento no </w:t>
      </w:r>
      <w:r>
        <w:rPr>
          <w:rFonts w:hint="default" w:ascii="Times New Roman" w:hAnsi="Times New Roman" w:eastAsia="Times New Roman" w:cs="Times New Roman"/>
          <w:i/>
          <w:iCs/>
          <w:lang w:val="pt-BR"/>
        </w:rPr>
        <w:t>HS</w:t>
      </w:r>
      <w:r>
        <w:rPr>
          <w:rFonts w:hint="default" w:ascii="Times New Roman" w:hAnsi="Times New Roman" w:eastAsia="Times New Roman" w:cs="Times New Roman"/>
        </w:rPr>
        <w:t xml:space="preserve">, mensurado pelo tempo de prática acumulada (em meses) e pelo volume semanal médio dedicado especificamente ao treinamento da postura invertida (horas por semana). A partir dessas informações, será calculado o Volume de Prática Acumulada (horas totais estimadas) como métrica de exposição motora real. Todos os participantes elegíveis assinarão um termo de consentimento livre e esclarecido, aprovado pelo Comitê de Ética em Pesquisa da Escola de Educação Física e Esporte de Ribeirão Preto antes de iniciar os testes. </w:t>
      </w:r>
    </w:p>
    <w:p w14:paraId="507F55D2">
      <w:pPr>
        <w:pStyle w:val="11"/>
        <w:spacing w:before="0" w:beforeAutospacing="0" w:after="0" w:afterAutospacing="0" w:line="360" w:lineRule="auto"/>
        <w:jc w:val="both"/>
        <w:rPr>
          <w:rFonts w:hint="default" w:ascii="Times New Roman" w:hAnsi="Times New Roman" w:cs="Times New Roman"/>
        </w:rPr>
      </w:pPr>
      <w:r>
        <w:rPr>
          <w:rFonts w:hint="default" w:ascii="Times New Roman" w:hAnsi="Times New Roman" w:cs="Times New Roman"/>
        </w:rPr>
        <w:t>3.</w:t>
      </w:r>
      <w:r>
        <w:rPr>
          <w:rFonts w:hint="default" w:ascii="Times New Roman" w:hAnsi="Times New Roman" w:cs="Times New Roman"/>
          <w:lang w:val="pt-BR"/>
        </w:rPr>
        <w:t>3</w:t>
      </w:r>
      <w:r>
        <w:rPr>
          <w:rFonts w:hint="default" w:ascii="Times New Roman" w:hAnsi="Times New Roman" w:cs="Times New Roman"/>
        </w:rPr>
        <w:t xml:space="preserve"> </w:t>
      </w:r>
      <w:r>
        <w:rPr>
          <w:rFonts w:hint="default" w:ascii="Times New Roman" w:hAnsi="Times New Roman" w:eastAsia="SimSun" w:cs="Times New Roman"/>
          <w:sz w:val="24"/>
          <w:szCs w:val="24"/>
        </w:rPr>
        <w:t>Dimensionamento e Poder Amostral</w:t>
      </w:r>
    </w:p>
    <w:p w14:paraId="29336C30">
      <w:pPr>
        <w:pStyle w:val="11"/>
        <w:spacing w:before="0" w:beforeAutospacing="0" w:after="0" w:afterAutospacing="0" w:line="360" w:lineRule="auto"/>
        <w:ind w:firstLine="360"/>
        <w:jc w:val="both"/>
        <w:rPr>
          <w:rFonts w:hint="default" w:ascii="Times New Roman" w:hAnsi="Times New Roman" w:cs="Times New Roman"/>
        </w:rPr>
      </w:pPr>
      <w:r>
        <w:rPr>
          <w:rFonts w:hint="default" w:ascii="Times New Roman" w:hAnsi="Times New Roman" w:cs="Times New Roman"/>
        </w:rPr>
        <w:t xml:space="preserve">O dimensionamento amostral foi calculado a priori por meio do software G*Power (versão 3.1.9.7)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{"citationID":"oPZR8SSe","properties":{"unsorted":false,"formattedCitation":"[40], [41]","plainCitation":"[40], [41]","noteIndex":0},"citationItems":[{"id":316,"uris":["http://zotero.org/users/17274952/items/K4E2624D"],"itemData":{"id":316,"type":"article-journal","container-title":"Behavior Research Methods","DOI":"10.3758/BF03193146","ISSN":"1554-351X, 1554-3528","issue":"2","journalAbbreviation":"Behavior Research Methods","language":"en","license":"http://www.springer.com/tdm","page":"175-191","source":"DOI.org (Crossref)","title":"G*Power 3: A flexible statistical power analysis program for the social, behavioral, and biomedical sciences","title-short":"G*Power 3","volume":"39","author":[{"family":"Faul","given":"Franz"},{"family":"Erdfelder","given":"Edgar"},{"family":"Lang","given":"Albert-Georg"},{"family":"Buchner","given":"Axel"}],"issued":{"date-parts":[["2007",5]]}}},{"id":315,"uris":["http://zotero.org/users/17274952/items/XHK7HA2Z"],"itemData":{"id":315,"type":"article-journal","container-title":"Behavior Research Methods","DOI":"10.3758/BRM.41.4.1149","ISSN":"1554-351X, 1554-3528","issue":"4","journalAbbreviation":"Behavior Research Methods","language":"en","license":"http://www.springer.com/tdm","page":"1149-1160","source":"DOI.org (Crossref)","title":"Statistical power analyses using G*Power 3.1: Tests for correlation and regression analyses","title-short":"Statistical power analyses using G*Power 3.1","volume":"41","author":[{"family":"Faul","given":"Franz"},{"family":"Erdfelder","given":"Edgar"},{"family":"Buchner","given":"Axel"},{"family":"Lang","given":"Albert-Georg"}],"issued":{"date-parts":[["2009",11]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[40], [41]</w:t>
      </w:r>
      <w:r>
        <w:rPr>
          <w:rFonts w:hint="default" w:ascii="Times New Roman" w:hAnsi="Times New Roman" w:cs="Times New Roman"/>
        </w:rPr>
        <w:fldChar w:fldCharType="end"/>
      </w:r>
      <w:r>
        <w:rPr>
          <w:rFonts w:hint="default" w:ascii="Times New Roman" w:hAnsi="Times New Roman" w:cs="Times New Roman"/>
        </w:rPr>
        <w:t xml:space="preserve">, fundamentando-se nos delineamentos de regressão linear múltipla e regressão logística binária propostos: </w:t>
      </w:r>
    </w:p>
    <w:p w14:paraId="0EF7C61C">
      <w:pPr>
        <w:pStyle w:val="11"/>
        <w:numPr>
          <w:ilvl w:val="0"/>
          <w:numId w:val="2"/>
        </w:numPr>
        <w:spacing w:line="360" w:lineRule="auto"/>
        <w:jc w:val="both"/>
        <w:rPr>
          <w:rFonts w:hint="default" w:ascii="Times New Roman" w:hAnsi="Times New Roman" w:cs="Times New Roman"/>
        </w:rPr>
      </w:pPr>
      <w:r>
        <w:rPr>
          <w:rFonts w:hint="default" w:ascii="Times New Roman" w:hAnsi="Times New Roman" w:cs="Times New Roman"/>
          <w:u w:val="single"/>
        </w:rPr>
        <w:t xml:space="preserve">Modelos Temáticos de Regressão Linear Múltipla: </w:t>
      </w:r>
      <w:r>
        <w:rPr>
          <w:rFonts w:hint="default" w:ascii="Times New Roman" w:hAnsi="Times New Roman" w:cs="Times New Roman"/>
        </w:rPr>
        <w:t>Para as análises organizadas por domínios, considerando o modelo linear fixo de desvio do R² em relação a zero (</w:t>
      </w:r>
      <w:r>
        <w:rPr>
          <w:rFonts w:hint="default" w:ascii="Times New Roman" w:hAnsi="Times New Roman" w:cs="Times New Roman"/>
          <w:i/>
          <w:iCs/>
        </w:rPr>
        <w:t>Linear</w:t>
      </w:r>
      <w:r>
        <w:rPr>
          <w:rFonts w:hint="default" w:ascii="Times New Roman" w:hAnsi="Times New Roman" w:cs="Times New Roman"/>
        </w:rPr>
        <w:t xml:space="preserve"> </w:t>
      </w:r>
      <w:r>
        <w:rPr>
          <w:rFonts w:hint="default" w:ascii="Times New Roman" w:hAnsi="Times New Roman" w:cs="Times New Roman"/>
          <w:i/>
          <w:iCs/>
        </w:rPr>
        <w:t>multiple</w:t>
      </w:r>
      <w:r>
        <w:rPr>
          <w:rFonts w:hint="default" w:ascii="Times New Roman" w:hAnsi="Times New Roman" w:cs="Times New Roman"/>
        </w:rPr>
        <w:t xml:space="preserve"> </w:t>
      </w:r>
      <w:r>
        <w:rPr>
          <w:rFonts w:hint="default" w:ascii="Times New Roman" w:hAnsi="Times New Roman" w:cs="Times New Roman"/>
          <w:i/>
          <w:iCs/>
        </w:rPr>
        <w:t>regression</w:t>
      </w:r>
      <w:r>
        <w:rPr>
          <w:rFonts w:hint="default" w:ascii="Times New Roman" w:hAnsi="Times New Roman" w:cs="Times New Roman"/>
        </w:rPr>
        <w:t xml:space="preserve">: </w:t>
      </w:r>
      <w:r>
        <w:rPr>
          <w:rFonts w:hint="default" w:ascii="Times New Roman" w:hAnsi="Times New Roman" w:cs="Times New Roman"/>
          <w:i/>
          <w:iCs/>
        </w:rPr>
        <w:t>Fixed</w:t>
      </w:r>
      <w:r>
        <w:rPr>
          <w:rFonts w:hint="default" w:ascii="Times New Roman" w:hAnsi="Times New Roman" w:cs="Times New Roman"/>
        </w:rPr>
        <w:t xml:space="preserve"> </w:t>
      </w:r>
      <w:r>
        <w:rPr>
          <w:rFonts w:hint="default" w:ascii="Times New Roman" w:hAnsi="Times New Roman" w:cs="Times New Roman"/>
          <w:i/>
          <w:iCs/>
        </w:rPr>
        <w:t>model</w:t>
      </w:r>
      <w:r>
        <w:rPr>
          <w:rFonts w:hint="default" w:ascii="Times New Roman" w:hAnsi="Times New Roman" w:cs="Times New Roman"/>
        </w:rPr>
        <w:t xml:space="preserve">, R² </w:t>
      </w:r>
      <w:r>
        <w:rPr>
          <w:rFonts w:hint="default" w:ascii="Times New Roman" w:hAnsi="Times New Roman" w:cs="Times New Roman"/>
          <w:i/>
          <w:iCs/>
        </w:rPr>
        <w:t>deviation</w:t>
      </w:r>
      <w:r>
        <w:rPr>
          <w:rFonts w:hint="default" w:ascii="Times New Roman" w:hAnsi="Times New Roman" w:cs="Times New Roman"/>
        </w:rPr>
        <w:t xml:space="preserve"> </w:t>
      </w:r>
      <w:r>
        <w:rPr>
          <w:rFonts w:hint="default" w:ascii="Times New Roman" w:hAnsi="Times New Roman" w:cs="Times New Roman"/>
          <w:i/>
          <w:iCs/>
        </w:rPr>
        <w:t>from</w:t>
      </w:r>
      <w:r>
        <w:rPr>
          <w:rFonts w:hint="default" w:ascii="Times New Roman" w:hAnsi="Times New Roman" w:cs="Times New Roman"/>
        </w:rPr>
        <w:t xml:space="preserve"> </w:t>
      </w:r>
      <w:r>
        <w:rPr>
          <w:rFonts w:hint="default" w:ascii="Times New Roman" w:hAnsi="Times New Roman" w:cs="Times New Roman"/>
          <w:i/>
          <w:iCs/>
        </w:rPr>
        <w:t>zero</w:t>
      </w:r>
      <w:r>
        <w:rPr>
          <w:rFonts w:hint="default" w:ascii="Times New Roman" w:hAnsi="Times New Roman" w:cs="Times New Roman"/>
        </w:rPr>
        <w:t xml:space="preserve">), adotou-se um tamanho de efeito moderado (f² = 0,15, correspondente a um R² aproximado de 0,13 sob as convenções de Cohen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{"citationID":"hrbBWQIg","properties":{"unsorted":false,"formattedCitation":"[42]","plainCitation":"[42]","noteIndex":0},"citationItems":[{"id":314,"uris":["http://zotero.org/users/17274952/items/EBM2FGG5"],"itemData":{"id":314,"type":"book","edition":"2. ed., reprint","ISBN":"978-0-8058-0283-2","language":"en","number-of-pages":"567","publisher":"Psychology Press","publisher-place":"New York, NY","source":"K10plus ISBN","title":"Statistical power analysis for the behavioral sciences","author":[{"family":"Cohen","given":"Jacob"}],"issued":{"date-parts":[["2009"]]}}}],"schema":"https://github.com/citation-style-language/schema/raw/master/csl-citation.json"}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[42]</w:t>
      </w:r>
      <w:r>
        <w:rPr>
          <w:rFonts w:hint="default" w:ascii="Times New Roman" w:hAnsi="Times New Roman" w:cs="Times New Roman"/>
        </w:rPr>
        <w:fldChar w:fldCharType="end"/>
      </w:r>
      <w:r>
        <w:rPr>
          <w:rFonts w:hint="default" w:ascii="Times New Roman" w:hAnsi="Times New Roman" w:cs="Times New Roman"/>
        </w:rPr>
        <w:t xml:space="preserve">), nível de significância de α = 0,05, poder estatístico de (1 - β) = 0,80 e o número máximo de até 4 preditores simultâneos. O cálculo indicou a necessidade de um tamanho amostral mínimo de N = 85 participantes (parâmetro de não-centralidade λ = 12,75; F crítico = 2,486; poder real = 0,805). </w:t>
      </w:r>
    </w:p>
    <w:p w14:paraId="398764AA">
      <w:pPr>
        <w:pStyle w:val="11"/>
        <w:numPr>
          <w:ilvl w:val="0"/>
          <w:numId w:val="2"/>
        </w:numPr>
        <w:spacing w:line="360" w:lineRule="auto"/>
        <w:jc w:val="both"/>
        <w:rPr>
          <w:rFonts w:hint="default" w:ascii="Times New Roman" w:hAnsi="Times New Roman" w:cs="Times New Roman"/>
        </w:rPr>
      </w:pPr>
      <w:r>
        <w:rPr>
          <w:rFonts w:hint="default" w:ascii="Times New Roman" w:hAnsi="Times New Roman" w:cs="Times New Roman"/>
          <w:u w:val="single"/>
        </w:rPr>
        <w:t xml:space="preserve">Modelo de Regressão Logística Binária (Autonomia no </w:t>
      </w:r>
      <w:r>
        <w:rPr>
          <w:rFonts w:hint="default" w:ascii="Times New Roman" w:hAnsi="Times New Roman" w:cs="Times New Roman"/>
          <w:i/>
          <w:iCs/>
          <w:u w:val="single"/>
        </w:rPr>
        <w:t>HS</w:t>
      </w:r>
      <w:r>
        <w:rPr>
          <w:rFonts w:hint="default" w:ascii="Times New Roman" w:hAnsi="Times New Roman" w:cs="Times New Roman"/>
          <w:u w:val="single"/>
        </w:rPr>
        <w:t>):</w:t>
      </w:r>
      <w:r>
        <w:rPr>
          <w:rFonts w:hint="default" w:ascii="Times New Roman" w:hAnsi="Times New Roman" w:cs="Times New Roman"/>
        </w:rPr>
        <w:t xml:space="preserve"> Para o modelo logístico</w:t>
      </w:r>
      <w:r>
        <w:rPr>
          <w:rFonts w:hint="default" w:ascii="Times New Roman" w:hAnsi="Times New Roman" w:cs="Times New Roman"/>
          <w:lang w:val="pt-BR"/>
        </w:rPr>
        <w:t xml:space="preserve"> de autonomia de estabilização</w:t>
      </w:r>
      <w:r>
        <w:rPr>
          <w:rFonts w:hint="default" w:ascii="Times New Roman" w:hAnsi="Times New Roman" w:cs="Times New Roman"/>
        </w:rPr>
        <w:t xml:space="preserve"> com 3 preditores (força relativa no SP, tempo de sustentação assistido e tempo de prática), adotou-se um nível de significância de α = 0,05, poder estatístico de (1 - β) = 0,80 e uma razão de chances (</w:t>
      </w:r>
      <w:r>
        <w:rPr>
          <w:rFonts w:hint="default" w:ascii="Times New Roman" w:hAnsi="Times New Roman" w:cs="Times New Roman"/>
          <w:i/>
          <w:iCs/>
        </w:rPr>
        <w:t>Odds</w:t>
      </w:r>
      <w:r>
        <w:rPr>
          <w:rFonts w:hint="default" w:ascii="Times New Roman" w:hAnsi="Times New Roman" w:cs="Times New Roman"/>
        </w:rPr>
        <w:t xml:space="preserve"> </w:t>
      </w:r>
      <w:r>
        <w:rPr>
          <w:rFonts w:hint="default" w:ascii="Times New Roman" w:hAnsi="Times New Roman" w:cs="Times New Roman"/>
          <w:i/>
          <w:iCs/>
        </w:rPr>
        <w:t>Ratio</w:t>
      </w:r>
      <w:r>
        <w:rPr>
          <w:rFonts w:hint="default" w:ascii="Times New Roman" w:hAnsi="Times New Roman" w:cs="Times New Roman"/>
        </w:rPr>
        <w:t xml:space="preserve">) mínima esperada de 2,0 para preditores contínuos padronizados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{"citationID":"emky6ZlS","properties":{"unsorted":false,"formattedCitation":"[41], [43]","plainCitation":"[41], [43]","noteIndex":0},"citationItems":[{"id":315,"uris":["http://zotero.org/users/17274952/items/XHK7HA2Z"],"itemData":{"id":315,"type":"article-journal","container-title":"Behavior Research Methods","DOI":"10.3758/BRM.41.4.1149","ISSN":"1554-351X, 1554-3528","issue":"4","journalAbbreviation":"Behavior Research Methods","language":"en","license":"http://www.springer.com/tdm","page":"1149-1160","source":"DOI.org (Crossref)","title":"Statistical power analyses using G*Power 3.1: Tests for correlation and regression analyses","title-short":"Statistical power analyses using G*Power 3.1","volume":"41","author":[{"family":"Faul","given":"Franz"},{"family":"Erdfelder","given":"Edgar"},{"family":"Buchner","given":"Axel"},{"family":"Lang","given":"Albert-Georg"}],"issued":{"date-parts":[["2009",11]]}}},{"id":14,"uris":["http://zotero.org/users/17274952/items/FIG95YIC"],"itemData":{"id":14,"type":"article-journal","container-title":"Communications in Statistics - Simulation and Computation","DOI":"10.1080/03610911003650383","ISSN":"0361-0918, 1532-4141","issue":"4","journalAbbreviation":"Communications in Statistics - Simulation and Computation","language":"en","page":"860-864","source":"DOI.org (Crossref)","title":"How Big is a Big Odds Ratio? Interpreting the Magnitudes of Odds Ratios in Epidemiological Studies","title-short":"How Big is a Big Odds Ratio?","volume":"39","author":[{"family":"Chen","given":"Henian"},{"family":"Cohen","given":"Patricia"},{"family":"Chen","given":"Sophie"}],"issued":{"date-parts":[["2010",3,31]]}}}],"schema":"https://github.com/citation-style-language/schema/raw/master/csl-citation.json"}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[41], [43]</w:t>
      </w:r>
      <w:r>
        <w:rPr>
          <w:rFonts w:hint="default" w:ascii="Times New Roman" w:hAnsi="Times New Roman" w:cs="Times New Roman"/>
        </w:rPr>
        <w:fldChar w:fldCharType="end"/>
      </w:r>
      <w:r>
        <w:rPr>
          <w:rFonts w:hint="default" w:ascii="Times New Roman" w:hAnsi="Times New Roman" w:cs="Times New Roman"/>
        </w:rPr>
        <w:t xml:space="preserve">. O cálculo indicou a necessidade de uma amostra mínima entre 70 e 90 participantes, atendendo adicionalmente ao pressuposto clássico de eventos por variável (EPV maior ou igual a 10 a 15 eventos para cada preditor no modelo)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{"citationID":"NUGvpRyn","properties":{"unsorted":false,"formattedCitation":"[44]","plainCitation":"[44]","noteIndex":0},"citationItems":[{"id":13,"uris":["http://zotero.org/users/17274952/items/RRLNZB4G"],"itemData":{"id":13,"type":"article-journal","container-title":"Journal of Clinical Epidemiology","DOI":"10.1016/S0895-4356(96)00236-3","ISSN":"08954356","issue":"12","journalAbbreviation":"Journal of Clinical Epidemiology","language":"en","page":"1373-1379","source":"DOI.org (Crossref)","title":"A simulation study of the number of events per variable in logistic regression analysis","volume":"49","author":[{"family":"Peduzzi","given":"Peter"},{"family":"Concato","given":"John"},{"family":"Kemper","given":"Elizabeth"},{"family":"Holford","given":"Theodore R."},{"family":"Feinstein","given":"Alvan R."}],"issued":{"date-parts":[["1996",12]]}}}],"schema":"https://github.com/citation-style-language/schema/raw/master/csl-citation.json"}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[44]</w:t>
      </w:r>
      <w:r>
        <w:rPr>
          <w:rFonts w:hint="default" w:ascii="Times New Roman" w:hAnsi="Times New Roman" w:cs="Times New Roman"/>
        </w:rPr>
        <w:fldChar w:fldCharType="end"/>
      </w:r>
      <w:r>
        <w:rPr>
          <w:rFonts w:hint="default" w:ascii="Times New Roman" w:hAnsi="Times New Roman" w:cs="Times New Roman"/>
        </w:rPr>
        <w:t xml:space="preserve">. </w:t>
      </w:r>
    </w:p>
    <w:p w14:paraId="6310C0E3">
      <w:pPr>
        <w:pStyle w:val="11"/>
        <w:spacing w:line="360" w:lineRule="auto"/>
        <w:ind w:firstLine="360"/>
        <w:jc w:val="both"/>
        <w:rPr>
          <w:rFonts w:hint="default" w:ascii="Times New Roman" w:hAnsi="Times New Roman" w:cs="Times New Roman"/>
        </w:rPr>
      </w:pPr>
      <w:r>
        <w:rPr>
          <w:rFonts w:hint="default" w:ascii="Times New Roman" w:hAnsi="Times New Roman" w:cs="Times New Roman"/>
        </w:rPr>
        <w:t xml:space="preserve">Para mitigar a inflação da taxa de Erro Tipo I decorrente dos múltiplos modelos testados sem comprometer excessivamente o poder estatístico, será aplicada a correção de </w:t>
      </w:r>
      <w:r>
        <w:rPr>
          <w:rFonts w:hint="default" w:ascii="Times New Roman" w:hAnsi="Times New Roman" w:cs="Times New Roman"/>
          <w:i/>
          <w:iCs/>
        </w:rPr>
        <w:t>False Discovery Rate</w:t>
      </w:r>
      <w:r>
        <w:rPr>
          <w:rFonts w:hint="default" w:ascii="Times New Roman" w:hAnsi="Times New Roman" w:cs="Times New Roman"/>
        </w:rPr>
        <w:t xml:space="preserve"> (</w:t>
      </w:r>
      <w:r>
        <w:rPr>
          <w:rFonts w:hint="default" w:ascii="Times New Roman" w:hAnsi="Times New Roman" w:cs="Times New Roman"/>
          <w:i/>
          <w:iCs/>
        </w:rPr>
        <w:t>FDR</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{"citationID":"cLgHBl3x","properties":{"unsorted":false,"formattedCitation":"[45]","plainCitation":"[45]","noteIndex":0},"citationItems":[{"id":313,"uris":["http://zotero.org/users/17274952/items/F5P6TDDP"],"itemData":{"id":313,"type":"article-journal","abstract":"SUMMARY\n            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Statistical Methodology","DOI":"10.1111/j.2517-6161.1995.tb02031.x","ISSN":"1369-7412, 1467-9868","issue":"1","language":"en","license":"https://academic.oup.com/journals/pages/open_access/funder_policies/chorus/standard_publication_model","page":"289-300","source":"DOI.org (Crossref)","title":"Controlling the False Discovery Rate: A Practical and Powerful Approach to Multiple Testing","title-short":"Controlling the False Discovery Rate","volume":"57","author":[{"family":"Benjamini","given":"Yoav"},{"family":"Hochberg","given":"Yosef"}],"issued":{"date-parts":[["1995",1,1]]}}}],"schema":"https://github.com/citation-style-language/schema/raw/master/csl-citation.json"}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[45]</w:t>
      </w:r>
      <w:r>
        <w:rPr>
          <w:rFonts w:hint="default" w:ascii="Times New Roman" w:hAnsi="Times New Roman" w:cs="Times New Roman"/>
        </w:rPr>
        <w:fldChar w:fldCharType="end"/>
      </w:r>
      <w:r>
        <w:rPr>
          <w:rFonts w:hint="default" w:ascii="Times New Roman" w:hAnsi="Times New Roman" w:cs="Times New Roman"/>
        </w:rPr>
        <w:t xml:space="preserve">, com taxa de falso-descoberta fixada em Q = 0,05. </w:t>
      </w:r>
    </w:p>
    <w:p w14:paraId="2253C75E">
      <w:pPr>
        <w:pStyle w:val="11"/>
        <w:numPr>
          <w:ilvl w:val="0"/>
          <w:numId w:val="3"/>
        </w:numPr>
        <w:spacing w:before="240" w:line="360" w:lineRule="auto"/>
        <w:ind w:left="709" w:hanging="283"/>
        <w:jc w:val="both"/>
        <w:rPr>
          <w:rFonts w:hint="default" w:ascii="Times New Roman" w:hAnsi="Times New Roman" w:cs="Times New Roman"/>
        </w:rPr>
      </w:pPr>
      <w:r>
        <w:rPr>
          <w:rFonts w:hint="default" w:ascii="Times New Roman" w:hAnsi="Times New Roman" w:cs="Times New Roman"/>
          <w:u w:val="single"/>
        </w:rPr>
        <w:t>Modelo Final Refinado:</w:t>
      </w:r>
      <w:r>
        <w:rPr>
          <w:rFonts w:hint="default" w:ascii="Times New Roman" w:hAnsi="Times New Roman" w:cs="Times New Roman"/>
        </w:rPr>
        <w:t xml:space="preserve"> A partir dos modelos temáticos, os preditores que apresentarem significância estatística após o controle da </w:t>
      </w:r>
      <w:r>
        <w:rPr>
          <w:rFonts w:hint="default" w:ascii="Times New Roman" w:hAnsi="Times New Roman" w:cs="Times New Roman"/>
          <w:i/>
          <w:iCs/>
        </w:rPr>
        <w:t>FDR</w:t>
      </w:r>
      <w:r>
        <w:rPr>
          <w:rFonts w:hint="default" w:ascii="Times New Roman" w:hAnsi="Times New Roman" w:cs="Times New Roman"/>
        </w:rPr>
        <w:t xml:space="preserve"> e maior relevância prática (maiores coeficientes β padronizados) serão combinados em um modelo de regressão linear múltipla final consolidado para cada desfecho (</w:t>
      </w:r>
      <w:r>
        <w:rPr>
          <w:rFonts w:hint="default" w:ascii="Times New Roman" w:hAnsi="Times New Roman" w:cs="Times New Roman"/>
          <w:i/>
          <w:iCs/>
        </w:rPr>
        <w:t xml:space="preserve">HS </w:t>
      </w:r>
      <w:r>
        <w:rPr>
          <w:rFonts w:hint="default" w:ascii="Times New Roman" w:hAnsi="Times New Roman" w:cs="Times New Roman"/>
        </w:rPr>
        <w:t xml:space="preserve">e </w:t>
      </w:r>
      <w:r>
        <w:rPr>
          <w:rFonts w:hint="default" w:ascii="Times New Roman" w:hAnsi="Times New Roman" w:cs="Times New Roman"/>
          <w:i/>
          <w:iCs/>
        </w:rPr>
        <w:t>HSW</w:t>
      </w:r>
      <w:r>
        <w:rPr>
          <w:rFonts w:hint="default" w:ascii="Times New Roman" w:hAnsi="Times New Roman" w:cs="Times New Roman"/>
        </w:rPr>
        <w:t>). Projetando a retenção máxima de variáveis independentes centrais nesse modelo final (f² = 0,15, α= 0,05 e poder = 0,80), o tamanho amostral necessário N = 98 participantes (λ = 14,70; F crítico = 2,199; poder real = 0,804).</w:t>
      </w:r>
    </w:p>
    <w:p w14:paraId="53300BC2">
      <w:pPr>
        <w:pStyle w:val="11"/>
        <w:spacing w:line="360" w:lineRule="auto"/>
        <w:ind w:firstLine="426"/>
        <w:jc w:val="both"/>
        <w:rPr>
          <w:rFonts w:hint="default" w:ascii="Times New Roman" w:hAnsi="Times New Roman" w:cs="Times New Roman"/>
        </w:rPr>
      </w:pPr>
      <w:r>
        <w:rPr>
          <w:rFonts w:hint="default" w:ascii="Times New Roman" w:hAnsi="Times New Roman" w:cs="Times New Roman"/>
        </w:rPr>
        <w:t>Considerando potenciais perdas amostrais, desistências e a necessidade de preservar alta precisão estatística, o estudo estabeleceu como meta o recrutamento de 100 a 110 participantes. Este tamanho amostral confere um poder estatístico superior a 88% para os modelos temáticos primários (N = 85), garante ampla robust</w:t>
      </w:r>
      <w:r>
        <w:rPr>
          <w:rFonts w:hint="default" w:cs="Times New Roman"/>
          <w:lang w:val="pt-BR"/>
        </w:rPr>
        <w:t>ez</w:t>
      </w:r>
      <w:r>
        <w:rPr>
          <w:rFonts w:hint="default" w:ascii="Times New Roman" w:hAnsi="Times New Roman" w:cs="Times New Roman"/>
        </w:rPr>
        <w:t xml:space="preserve"> para a regressão logística</w:t>
      </w:r>
      <w:r>
        <w:rPr>
          <w:rFonts w:hint="default" w:ascii="Times New Roman" w:hAnsi="Times New Roman" w:cs="Times New Roman"/>
          <w:lang w:val="pt-BR"/>
        </w:rPr>
        <w:t xml:space="preserve"> </w:t>
      </w:r>
      <w:r>
        <w:rPr>
          <w:rFonts w:hint="default" w:ascii="Times New Roman" w:hAnsi="Times New Roman" w:cs="Times New Roman"/>
        </w:rPr>
        <w:t xml:space="preserve"> e assegura uma amostra substancialmente superior à literatura prévia de biomecânica em </w:t>
      </w:r>
      <w:r>
        <w:rPr>
          <w:rFonts w:hint="default" w:ascii="Times New Roman" w:hAnsi="Times New Roman" w:cs="Times New Roman"/>
          <w:i/>
          <w:iCs/>
        </w:rPr>
        <w:t>HS</w:t>
      </w:r>
      <w:r>
        <w:rPr>
          <w:rFonts w:hint="default" w:ascii="Times New Roman" w:hAnsi="Times New Roman" w:cs="Times New Roman"/>
        </w:rPr>
        <w:t>, caracterizada predominantemente por amostras reduzidas e restritas a populações homogêneas</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{"citationID":"BYixKyMI","properties":{"unsorted":false,"formattedCitation":"[15]","plainCitation":"[15]","noteIndex":0},"citationItems":[{"id":303,"uris":["http://zotero.org/users/17274952/items/GMN3DDXM"],"itemData":{"id":303,"type":"article-journal","abstract":"Purpose: The aim of this systematic review was to investigate the biomechanical analysis of the handstand.\nMethods: Systematic searches were conducted using databases SPORTDiscus, ScienceDirect, and PubMed up to August 2025. The search included the following terms: “EMG or Electromyography and Handstand AND Gymnastics,” “Kinetics AND Kinematics and Handstand AND Gymnastics,” “Kinetics AND Handstand,” and “Kinematics AND Handstand.” Initially, 491 publications were identiﬁed. Of these, 21 studies were included in this systematic review, each of which conducted a biomechanical analysis of the handstand. Data from the 21 articles were extracted to conduct a biomechanical analysis of the handstand.\nResults: Of the included studies, 31% analyzed balance control strategies of the handstand, 57% performed a kinetic and kinematic analysis of the handstand, and 10% compared muscle activity during the handstand. Furthermore, 42% of the publications analyzed the center of pressure of the handstand, 36% analyzed joint angles, 21% reported on velocity, 21% examined joint torque contributions, 15% investigated angular velocity, 10% analyzed ground reaction forces (GRFs), 10% investigated electromyography (EMG) data, and 5% assessed vertical ground reaction forces (vGRFs).\nConclusion: The ﬁndings of this study indicate that gymnasts minimize problems related to disturbed balance during the handstand using a “wrist strategy” to secure a ﬁxed-body conﬁguration. If the “wrist strategy” fails, then the wrists, shoulders, hips, and elbows are utilized, which can be interpreted as a mixed control strategy. Visual conditions and head positions also affect handstand balance. In particular, closing the eyes leads to decreased stability, and neck ﬂexion impairs performance during the handstand. Gymnasts with greater strength possess better balance control. Other factors that also inﬂuence handstand performance are participation level and age of the performers.","container-title":"Frontiers in Sports and Active Living","DOI":"10.3389/fspor.2025.1694648","ISSN":"2624-9367","journalAbbreviation":"Front. Sports Act. Living","language":"en","page":"1694648","source":"DOI.org (Crossref)","title":"Biomechanical analyses of the handstand: a systematic review","title-short":"Biomechanical analyses of the handstand","volume":"7","author":[{"family":"McDonald","given":"Mahri"},{"family":"Baker","given":"Julien S."},{"family":"Gu","given":"Yaodong"},{"family":"Ugbolue","given":"Ukadike C."}],"issued":{"date-parts":[["2025",12,15]]}}}],"schema":"https://github.com/citation-style-language/schema/raw/master/csl-citation.json"}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t>.</w:t>
      </w:r>
    </w:p>
    <w:p w14:paraId="205AB1AA">
      <w:pPr>
        <w:spacing w:line="360" w:lineRule="auto"/>
        <w:rPr>
          <w:rFonts w:hint="default" w:ascii="Times New Roman" w:hAnsi="Times New Roman" w:eastAsia="Times New Roman" w:cs="Times New Roman"/>
          <w:lang w:val="pt-BR"/>
        </w:rPr>
      </w:pPr>
      <w:r>
        <w:rPr>
          <w:rFonts w:hint="default" w:ascii="Times New Roman" w:hAnsi="Times New Roman" w:eastAsia="Times New Roman" w:cs="Times New Roman"/>
        </w:rPr>
        <w:t>3.</w:t>
      </w:r>
      <w:r>
        <w:rPr>
          <w:rFonts w:hint="default" w:ascii="Times New Roman" w:hAnsi="Times New Roman" w:eastAsia="Times New Roman" w:cs="Times New Roman"/>
          <w:lang w:val="pt-BR"/>
        </w:rPr>
        <w:t>4</w:t>
      </w:r>
      <w:r>
        <w:rPr>
          <w:rFonts w:hint="default" w:ascii="Times New Roman" w:hAnsi="Times New Roman" w:eastAsia="Times New Roman" w:cs="Times New Roman"/>
        </w:rPr>
        <w:t xml:space="preserve"> Procedimentos</w:t>
      </w:r>
      <w:r>
        <w:rPr>
          <w:rFonts w:hint="default" w:ascii="Times New Roman" w:hAnsi="Times New Roman" w:eastAsia="Times New Roman" w:cs="Times New Roman"/>
          <w:lang w:val="pt-BR"/>
        </w:rPr>
        <w:t xml:space="preserve"> Experimentais</w:t>
      </w:r>
    </w:p>
    <w:p w14:paraId="525E84F3">
      <w:pPr>
        <w:widowControl w:val="0"/>
        <w:spacing w:line="360" w:lineRule="auto"/>
        <w:rPr>
          <w:rFonts w:hint="default" w:ascii="Times New Roman" w:hAnsi="Times New Roman" w:eastAsia="Times New Roman" w:cs="Times New Roman"/>
          <w:u w:val="none"/>
        </w:rPr>
      </w:pPr>
      <w:r>
        <w:rPr>
          <w:rFonts w:hint="default" w:ascii="Times New Roman" w:hAnsi="Times New Roman" w:eastAsia="Times New Roman" w:cs="Times New Roman"/>
          <w:u w:val="none"/>
          <w:lang w:val="pt-BR"/>
        </w:rPr>
        <w:t xml:space="preserve">3.4.1 </w:t>
      </w:r>
      <w:r>
        <w:rPr>
          <w:rFonts w:hint="default" w:ascii="Times New Roman" w:hAnsi="Times New Roman" w:eastAsia="Times New Roman" w:cs="Times New Roman"/>
          <w:u w:val="none"/>
        </w:rPr>
        <w:t>Sessão 1 - Avaliação de Variáveis de Força e Composição Corporal</w:t>
      </w:r>
    </w:p>
    <w:p w14:paraId="1EC31854">
      <w:pPr>
        <w:pStyle w:val="11"/>
        <w:spacing w:before="0" w:beforeAutospacing="0" w:after="0" w:afterAutospacing="0" w:line="360" w:lineRule="auto"/>
        <w:ind w:firstLine="708"/>
        <w:jc w:val="both"/>
        <w:rPr>
          <w:rFonts w:hint="default" w:ascii="Times New Roman" w:hAnsi="Times New Roman" w:cs="Times New Roman"/>
          <w:lang w:val="pt-BR"/>
        </w:rPr>
      </w:pPr>
      <w:r>
        <w:rPr>
          <w:rFonts w:hint="default" w:ascii="Times New Roman" w:hAnsi="Times New Roman" w:cs="Times New Roman"/>
        </w:rPr>
        <w:t>A primeira sessão de testes será realizada nas dependências do Laboratório de Cineantropometria e Desempenho Humano (LaCiDH) da EEFERP-USP. A ordem de aplicação dos testes a seguir, foi estruturada segundo as diretrizes da literatura científica para mitigar a interferência cumulativa da fadiga neuromuscular sobre as capacidades de produção de força máxima e preservar a validade interna das medidas</w:t>
      </w:r>
      <w:r>
        <w:rPr>
          <w:rFonts w:hint="default" w:ascii="Times New Roman" w:hAnsi="Times New Roman" w:cs="Times New Roman"/>
          <w:lang w:val="pt-BR"/>
        </w:rPr>
        <w:t xml:space="preserve"> </w:t>
      </w:r>
      <w:r>
        <w:rPr>
          <w:rFonts w:hint="default" w:ascii="Times New Roman" w:hAnsi="Times New Roman" w:cs="Times New Roman"/>
          <w:lang w:val="pt-BR"/>
        </w:rPr>
        <w:fldChar w:fldCharType="begin"/>
      </w:r>
      <w:r>
        <w:rPr>
          <w:rFonts w:hint="default" w:ascii="Times New Roman" w:hAnsi="Times New Roman" w:cs="Times New Roman"/>
          <w:lang w:val="pt-BR"/>
        </w:rPr>
        <w:instrText xml:space="preserve"> ADDIN ZOTERO_ITEM CSL_CITATION {"citationID":"avlK7lu0","properties":{"unsorted":false,"formattedCitation":"[46], [47]","plainCitation":"[46], [47]","noteIndex":0},"citationItems":[{"id":311,"uris":["http://zotero.org/users/17274952/items/JSG8TTN4"],"itemData":{"id":311,"type":"book","abstract":"\"ACSM's Guidelines for Exercise Testing and prescription delivers best-practice instructions on how to administer exercise tests across both healthy and clinical populations; and how to prescribe exercise to those populations after completing and interpreting those tests. It serves as the basis for practice for health and fitness professionals; allied health practitioners; researchers; and sports medicine practitioners teams physicians. Even other health and fitness organizations turn to ACSM for guidance on best practices\"--","call-number":"RC684.E9","edition":"Twelfth edition","ISBN":"978-1-9752-1920-8","publisher":"Wolters Kluwer","publisher-place":"Philadelphia, PA","source":"Library of Congress ISBN","title":"ACSM's guidelines for exercise testing and prescription","editor":[{"literal":"American College of Sports Medicine"},{"family":"Ozemek","given":"Cemal"},{"family":"Bonikowske","given":"Amanda R."},{"family":"Christle","given":"Jeffrey W."},{"family":"Gallo","given":"Paul M."}],"issued":{"date-parts":[["2026"]]}}},{"id":1,"uris":["http://zotero.org/users/17274952/items/XDV7JVW7"],"itemData":{"id":1,"type":"book","edition":"Fifth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Association"}],"issued":{"date-parts":[["2027"]]}}}],"schema":"https://github.com/citation-style-language/schema/raw/master/csl-citation.json"} </w:instrText>
      </w:r>
      <w:r>
        <w:rPr>
          <w:rFonts w:hint="default" w:ascii="Times New Roman" w:hAnsi="Times New Roman" w:cs="Times New Roman"/>
          <w:lang w:val="pt-BR"/>
        </w:rPr>
        <w:fldChar w:fldCharType="separate"/>
      </w:r>
      <w:r>
        <w:rPr>
          <w:rFonts w:hint="default" w:ascii="Times New Roman" w:hAnsi="Times New Roman" w:cs="Times New Roman"/>
          <w:lang w:val="pt-BR"/>
        </w:rPr>
        <w:t>[46], [47]</w:t>
      </w:r>
      <w:r>
        <w:rPr>
          <w:rFonts w:hint="default" w:ascii="Times New Roman" w:hAnsi="Times New Roman" w:cs="Times New Roman"/>
          <w:lang w:val="pt-BR"/>
        </w:rPr>
        <w:fldChar w:fldCharType="end"/>
      </w:r>
      <w:r>
        <w:rPr>
          <w:rFonts w:hint="default" w:ascii="Times New Roman" w:hAnsi="Times New Roman" w:cs="Times New Roman"/>
          <w:lang w:val="pt-BR"/>
        </w:rPr>
        <w:t>.</w:t>
      </w:r>
    </w:p>
    <w:p w14:paraId="3C4FDAFE">
      <w:pPr>
        <w:pStyle w:val="11"/>
        <w:spacing w:before="0" w:beforeAutospacing="0" w:after="0" w:afterAutospacing="0" w:line="360" w:lineRule="auto"/>
        <w:jc w:val="both"/>
        <w:rPr>
          <w:rFonts w:hint="default" w:ascii="Times New Roman" w:hAnsi="Times New Roman" w:cs="Times New Roman"/>
        </w:rPr>
      </w:pPr>
      <w:r>
        <w:rPr>
          <w:rFonts w:hint="default" w:ascii="Times New Roman" w:hAnsi="Times New Roman" w:cs="Times New Roman"/>
        </w:rPr>
        <w:t>a) Composição Corporal por Bioimpedância Elétrica (BIA)</w:t>
      </w:r>
    </w:p>
    <w:p w14:paraId="2796D672">
      <w:pPr>
        <w:pStyle w:val="11"/>
        <w:spacing w:before="0" w:beforeAutospacing="0" w:after="0" w:afterAutospacing="0" w:line="360" w:lineRule="auto"/>
        <w:ind w:firstLine="708" w:firstLineChars="0"/>
        <w:jc w:val="both"/>
        <w:rPr>
          <w:rFonts w:hint="default" w:ascii="Times New Roman" w:hAnsi="Times New Roman" w:cs="Times New Roman"/>
        </w:rPr>
      </w:pPr>
      <w:r>
        <w:rPr>
          <w:rFonts w:hint="default" w:ascii="Times New Roman" w:hAnsi="Times New Roman" w:cs="Times New Roman"/>
        </w:rPr>
        <w:t>A composição corporal (percentual de gordura corporal, massa livre de gordura e ângulo de fase) será avaliada por meio de um analisador de bioimpedância elétrica tetrapolar (Sanny®, modelo BIA1011AF, American Medical do Brasil, São Bernardo do Campo, SP, Brasil; Reg. ANVISA nº 81540240002). Este método não invasivo e indolor estima a composição corporal através da oposição dos tecidos biológicos (resistência e reatância) à passagem de uma corrente elétrica alternada de baixa intensidade e alta frequência (50 kHz, 800 µA), permitindo a determinação do ângulo de fase e apresentando forte correlação validada com o padrão-ouro de absorciometria de raios-X de dupla energia (DEXA) e equações específicas validadas para a população brasileira</w:t>
      </w:r>
      <w:r>
        <w:rPr>
          <w:rFonts w:hint="default" w:ascii="Times New Roman" w:hAnsi="Times New Roman" w:cs="Times New Roman"/>
          <w:lang w:val="pt-BR"/>
        </w:rPr>
        <w:t xml:space="preserve"> </w:t>
      </w:r>
      <w:r>
        <w:rPr>
          <w:rFonts w:hint="default" w:ascii="Times New Roman" w:hAnsi="Times New Roman" w:cs="Times New Roman"/>
          <w:lang w:val="pt-BR"/>
        </w:rPr>
        <w:fldChar w:fldCharType="begin"/>
      </w:r>
      <w:r>
        <w:rPr>
          <w:rFonts w:hint="default" w:ascii="Times New Roman" w:hAnsi="Times New Roman" w:cs="Times New Roman"/>
          <w:lang w:val="pt-BR"/>
        </w:rPr>
        <w:instrText xml:space="preserve"> ADDIN ZOTERO_ITEM CSL_CITATION {"citationID":"0oN44gWa","properties":{"unsorted":false,"formattedCitation":"[48], [49]","plainCitation":"[48], [49]","noteIndex":0},"citationItems":[{"id":442,"uris":["http://zotero.org/users/17274952/items/RFK7DA44"],"itemData":{"id":442,"type":"article-journal","container-title":"Clinical Nutrition","DOI":"10.1016/j.clnu.2004.06.004","ISSN":"02615614","issue":"5","journalAbbreviation":"Clinical Nutrition","language":"en","license":"https://www.elsevier.com/tdm/userlicense/1.0/","page":"1226-1243","source":"DOI.org (Crossref)","title":"Bioelectrical impedance analysis?part I: review of principles and methods","title-short":"Bioelectrical impedance analysis?","volume":"23","author":[{"family":"Kyle","given":"U"}],"issued":{"date-parts":[["2004",10]]}}},{"id":443,"uris":["http://zotero.org/users/17274952/items/URWUP22Z"],"itemData":{"id":443,"type":"article-journal","abstract":"This study was conducted to validate the relationship between bioelectrical conductance (ht2/R) and densitometrically determined fat-free mass, and to compare the prediction errors of body fatness derived from the tetrapolar impedance method and skinfold thicknesses, relative to hydrodensitometry. One-hundred and fourteen male and female subjects, aged 18–50 yr, with a wide range of fat-free mass (34–96 kg) and percent body fat (4–41%), participated. For males, densitometrically determined fat-free mass was correlated highly (r = 0.979), with fat-free mass predicted from tetrapolar conductance measures using an equation developed for males in a previous study. For females, the correlation between measured fat-free mass and values predicted from the combined (previous and present male data) equation for men also was strong (r = 0.954). The regression coefficients in the male and female regression equations were not significantly different. Relative to hydrodensitometry, the impedance method had a lower predictive error or standard error of the estimates of estimating body fatness than did a standard anthropometric technique (2.7 vs. 3.9%). Therefore this study establishes the validity and reliability of the tetrapolar impedance method for use in assessment of body composition in healthy humans.","container-title":"Journal of Applied Physiology","DOI":"10.1152/jappl.1986.60.4.1327","ISSN":"8750-7587, 1522-1601","issue":"4","journalAbbreviation":"Journal of Applied Physiology","language":"en","page":"1327-1332","source":"DOI.org (Crossref)","title":"Validation of tetrapolar bioelectrical impedance method to assess human body composition","volume":"60","author":[{"family":"Lukaski","given":"H. C."},{"family":"Bolonchuk","given":"W. W."},{"family":"Hall","given":"C. B."},{"family":"Siders","given":"W. A."}],"issued":{"date-parts":[["1986",4,1]]}}}],"schema":"https://github.com/citation-style-language/schema/raw/master/csl-citation.json"} </w:instrText>
      </w:r>
      <w:r>
        <w:rPr>
          <w:rFonts w:hint="default" w:ascii="Times New Roman" w:hAnsi="Times New Roman" w:cs="Times New Roman"/>
          <w:lang w:val="pt-BR"/>
        </w:rPr>
        <w:fldChar w:fldCharType="separate"/>
      </w:r>
      <w:r>
        <w:rPr>
          <w:rFonts w:hint="default" w:ascii="Times New Roman" w:hAnsi="Times New Roman" w:cs="Times New Roman"/>
          <w:lang w:val="pt-BR"/>
        </w:rPr>
        <w:t>[48], [49]</w:t>
      </w:r>
      <w:r>
        <w:rPr>
          <w:rFonts w:hint="default" w:ascii="Times New Roman" w:hAnsi="Times New Roman" w:cs="Times New Roman"/>
          <w:lang w:val="pt-BR"/>
        </w:rPr>
        <w:fldChar w:fldCharType="end"/>
      </w:r>
      <w:r>
        <w:rPr>
          <w:rFonts w:hint="default" w:ascii="Times New Roman" w:hAnsi="Times New Roman" w:cs="Times New Roman"/>
        </w:rPr>
        <w:t>. Para a estimativa da massa livre de gordura e percentual de gordura corporal, será padronizada a equação preditiva desenvolvida por Sun et al. (2003)</w:t>
      </w:r>
      <w:r>
        <w:rPr>
          <w:rFonts w:hint="default" w:ascii="Times New Roman" w:hAnsi="Times New Roman" w:cs="Times New Roman"/>
          <w:lang w:val="pt-BR"/>
        </w:rPr>
        <w:t xml:space="preserve"> </w:t>
      </w:r>
      <w:r>
        <w:rPr>
          <w:rFonts w:hint="default" w:ascii="Times New Roman" w:hAnsi="Times New Roman" w:cs="Times New Roman"/>
          <w:lang w:val="pt-BR"/>
        </w:rPr>
        <w:fldChar w:fldCharType="begin"/>
      </w:r>
      <w:r>
        <w:rPr>
          <w:rFonts w:hint="default" w:ascii="Times New Roman" w:hAnsi="Times New Roman" w:cs="Times New Roman"/>
          <w:lang w:val="pt-BR"/>
        </w:rPr>
        <w:instrText xml:space="preserve"> ADDIN ZOTERO_ITEM CSL_CITATION {"citationID":"ZhKoA3QW","properties":{"unsorted":false,"formattedCitation":"[72]","plainCitation":"[72]","noteIndex":0},"citationItems":[{"id":453,"uris":["http://zotero.org/users/17274952/items/U3HW93FD"],"itemData":{"id":453,"type":"article-journal","container-title":"The American Journal of Clinical Nutrition","DOI":"10.1093/ajcn/77.2.331","ISSN":"00029165","issue":"2","journalAbbreviation":"The American Journal of Clinical Nutrition","language":"en","page":"331-340","source":"DOI.org (Crossref)","title":"Development of bioelectrical impedance analysis prediction equations for body composition with the use of a multicomponent model for use in epidemiologic surveys","volume":"77","author":[{"family":"Sun","given":"Shumei S"},{"family":"Chumlea","given":"W Cameron"},{"family":"Heymsfield","given":"Steven B"},{"family":"Lukaski","given":"Henry C"},{"family":"Schoeller","given":"Dale"},{"family":"Friedl","given":"Karl"},{"family":"Kuczmarski","given":"Robert J"},{"family":"Flegal","given":"Katherine M"},{"family":"Johnson","given":"Clifford L"},{"family":"Hubbard","given":"Van S"}],"issued":{"date-parts":[["2003",2]]}}}],"schema":"https://github.com/citation-style-language/schema/raw/master/csl-citation.json"} </w:instrText>
      </w:r>
      <w:r>
        <w:rPr>
          <w:rFonts w:hint="default" w:ascii="Times New Roman" w:hAnsi="Times New Roman" w:cs="Times New Roman"/>
          <w:lang w:val="pt-BR"/>
        </w:rPr>
        <w:fldChar w:fldCharType="separate"/>
      </w:r>
      <w:r>
        <w:rPr>
          <w:rFonts w:hint="default" w:ascii="Times New Roman" w:hAnsi="Times New Roman" w:cs="Times New Roman"/>
          <w:lang w:val="pt-BR"/>
        </w:rPr>
        <w:t>[72]</w:t>
      </w:r>
      <w:r>
        <w:rPr>
          <w:rFonts w:hint="default" w:ascii="Times New Roman" w:hAnsi="Times New Roman" w:cs="Times New Roman"/>
          <w:lang w:val="pt-BR"/>
        </w:rPr>
        <w:fldChar w:fldCharType="end"/>
      </w:r>
      <w:r>
        <w:rPr>
          <w:rFonts w:hint="default" w:ascii="Times New Roman" w:hAnsi="Times New Roman" w:cs="Times New Roman"/>
        </w:rPr>
        <w:t>, calibrada a partir de um modelo multicompartimental (4C: hidrodensitometria, diluição com deutério e DEXA). Diferentemente de equações populacionais empíricas que penalizam o peso corporal total elevado pelo IMC, a equação de Sun prioriza o índice de condutividade elétrica e volume tecidual (Estatura</w:t>
      </w:r>
      <w:r>
        <w:rPr>
          <w:rFonts w:hint="default" w:ascii="Times New Roman" w:hAnsi="Times New Roman" w:cs="Times New Roman"/>
          <w:lang w:val="pt-BR"/>
        </w:rPr>
        <w:t>2</w:t>
      </w:r>
      <w:r>
        <w:rPr>
          <w:rFonts w:hint="default" w:ascii="Times New Roman" w:hAnsi="Times New Roman" w:cs="Times New Roman"/>
        </w:rPr>
        <w:t>/Resist</w:t>
      </w:r>
      <w:r>
        <w:rPr>
          <w:rFonts w:hint="default" w:ascii="Times New Roman" w:hAnsi="Times New Roman" w:cs="Times New Roman"/>
          <w:lang w:val="pt-BR"/>
        </w:rPr>
        <w:t>ê</w:t>
      </w:r>
      <w:r>
        <w:rPr>
          <w:rFonts w:hint="default" w:ascii="Times New Roman" w:hAnsi="Times New Roman" w:cs="Times New Roman"/>
        </w:rPr>
        <w:t>ncia), apresentando elevada acurácia para populações ativas e com maior densidade musculoesquelética de membros superiores e tronco, evitando a superestimação de adiposidade</w:t>
      </w:r>
      <w:r>
        <w:rPr>
          <w:rFonts w:hint="default" w:ascii="Times New Roman" w:hAnsi="Times New Roman" w:cs="Times New Roman"/>
          <w:lang w:val="pt-BR"/>
        </w:rPr>
        <w:t xml:space="preserve">.  </w:t>
      </w:r>
      <w:r>
        <w:rPr>
          <w:rFonts w:hint="default" w:cs="Times New Roman"/>
          <w:lang w:val="pt-BR"/>
        </w:rPr>
        <w:t>A</w:t>
      </w:r>
      <w:r>
        <w:rPr>
          <w:rFonts w:hint="default" w:ascii="Times New Roman" w:hAnsi="Times New Roman" w:cs="Times New Roman"/>
        </w:rPr>
        <w:t xml:space="preserve"> avaliação será conduzida com o participante em decúbito dorsal sobre uma maca isolada não condutora, com membros superiores abduzidos a 30° em relação ao tronco e membros inferiores afastados a 45° entre si, após um período prévio de repouso passivo de 5 minutos para estabilização e redistribuição homogênea dos fluidos corporais. Serão afixados quatro eletrodos adesivos descartáveis de prata/cloreto de prata (Ag/AgCl) na superfície dorsal da mão e do pé direitos, respeitando a distância padrão de 5 cm entre os eletrodos sensores e injetores, após assepsia local com álcool a 70%. O participante será avaliado antes de qualquer esforço físico, seguindo rigorosamente os protocolos pré-teste padronizados: jejum prévio de 4 horas, ausência de consumo de bebidas alcoólicas ou cafeinadas nas 24 horas antecedentes e esvaziamento vesical imediato antes da medida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pl41XISY","properties":{"unsorted":false,"formattedCitation":"[48]","plainCitation":"[48]","noteIndex":0},"citationItems":[{"id":442,"uris":["http://zotero.org/users/17274952/items/RFK7DA44"],"itemData":{"id":442,"type":"article-journal","container-title":"Clinical Nutrition","DOI":"10.1016/j.clnu.2004.06.004","ISSN":"02615614","issue":"5","journalAbbreviation":"Clinical Nutrition","language":"en","license":"https://www.elsevier.com/tdm/userlicense/1.0/","page":"1226-1243","source":"DOI.org (Crossref)","title":"Bioelectrical impedance analysis?part I: review of principles and methods","title-short":"Bioelectrical impedance analysis?","volume":"23","author":[{"family":"Kyle","given":"U"}],"issued":{"date-parts":[["2004",10]]}}}],"schema":"https://github.com/citation-style-language/schema/raw/master/csl-citation.json"}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[48]</w:t>
      </w:r>
      <w:r>
        <w:rPr>
          <w:rFonts w:hint="default" w:ascii="Times New Roman" w:hAnsi="Times New Roman" w:cs="Times New Roman"/>
        </w:rPr>
        <w:fldChar w:fldCharType="end"/>
      </w:r>
      <w:r>
        <w:rPr>
          <w:rFonts w:hint="default" w:ascii="Times New Roman" w:hAnsi="Times New Roman" w:cs="Times New Roman"/>
        </w:rPr>
        <w:t>.</w:t>
      </w:r>
    </w:p>
    <w:p w14:paraId="014F066F">
      <w:pPr>
        <w:pStyle w:val="11"/>
        <w:spacing w:before="0" w:beforeAutospacing="0" w:after="0" w:afterAutospacing="0" w:line="360" w:lineRule="auto"/>
        <w:jc w:val="both"/>
        <w:rPr>
          <w:rFonts w:hint="default" w:ascii="Times New Roman" w:hAnsi="Times New Roman" w:cs="Times New Roman"/>
        </w:rPr>
      </w:pPr>
      <w:r>
        <w:rPr>
          <w:rFonts w:hint="default" w:ascii="Times New Roman" w:hAnsi="Times New Roman" w:cs="Times New Roman"/>
        </w:rPr>
        <w:t>b) Avaliação da Força de Preensão Manual (FPM)</w:t>
      </w:r>
    </w:p>
    <w:p w14:paraId="273EA8E8">
      <w:pPr>
        <w:pStyle w:val="11"/>
        <w:spacing w:before="0" w:beforeAutospacing="0" w:after="0" w:afterAutospacing="0" w:line="360" w:lineRule="auto"/>
        <w:ind w:firstLine="360"/>
        <w:jc w:val="both"/>
        <w:rPr>
          <w:rFonts w:hint="default" w:ascii="Times New Roman" w:hAnsi="Times New Roman" w:cs="Times New Roman"/>
        </w:rPr>
      </w:pPr>
      <w:r>
        <w:rPr>
          <w:rFonts w:hint="default" w:ascii="Times New Roman" w:hAnsi="Times New Roman" w:cs="Times New Roman"/>
        </w:rPr>
        <w:t xml:space="preserve">As avaliações serão feitas bilateralmente (membro dominante e não-dominante) por meio de um dinamômetro hidráulico portátil devidamente calibrado (Saehan Corporation, modelo SH5001, Changwon, Coreia do Sul), equipamento com validade concorrente e reprodutibilidade equivalente ao modelo Jamar®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{"citationID":"RCHSxARg","properties":{"unsorted":false,"formattedCitation":"[50], [51]","plainCitation":"[50], [51]","noteIndex":0},"citationItems":[{"id":10,"uris":["http://zotero.org/users/17274952/items/2MPKBVK5"],"itemData":{"id":10,"type":"article-journal","abstract":"Abstract\n            This study compared the Jamar and Rolyan hydraulic dynamometers to determine their concurrent validity with known weights as well as their inter‐instrument reliability and concurrent validity for measuring grip strength in a clinical setting. Thirty females and 30 males were tested on these two grip strength measurement devices using a repeated measure design. Results showed that the Jamar and Rolyan dynamometers have acceptable concurrent validity with known weights (that is, correlation coefficients were r ≥ 0.9994), excellent inter‐instrument reliability (that is, intraclass correlation coefficients ranged from 0.90 to 0.97) and strong concurrent validity (that is, no significant differences between dynamometers' scores). Data indicate that Jamar and Rolyan dynamometers measure grip strength equivalently and can be used interchangeably. Thus, therapists using the Rolyan dynamometer are justified in using published normative data, which were collected with the Jamar dynamometer. Copyright © 2002 Whurr Publishers Ltd.","container-title":"Occupational Therapy International","DOI":"10.1002/oti.165","ISSN":"0966-7903, 1557-0703","issue":"3","journalAbbreviation":"Occupation Therapy Intl","language":"en","license":"http://onlinelibrary.wiley.com/termsAndConditions#vor","page":"201-209","source":"DOI.org (Crossref)","title":"Comparison of Rolyan and Jamar dynamometers for measuring grip strength","volume":"9","author":[{"family":"Mathiowetz","given":"Virgil"}],"issued":{"date-parts":[["2002",8]]}}},{"id":11,"uris":["http://zotero.org/users/17274952/items/PMVQP5WP"],"itemData":{"id":11,"type":"article-journal","abstract":"Existe uma grande variedade de instrumentos utilizados para a avaliação da força de preensão manual. Porém, não existem estudos demonstrando a validade e a confiabilidade da maioria destes instrumentos. O objetivo deste estudo foi avaliar a validade concorrente e a confiabilidade intraexaminador do dinamômetro Saehan hidráulico comparado-o com o dinamômetro Jamar hidráulico. Cem indivíduos sadios (50 homens e 50 mulheres), entre 20 e 50 anos de idade, sem alterações cognitivas, deficiências físicas, disfunções neuromusculares e ortopédicas e história de lesões nos membros superiores, foram testados com os dinamômetros Jamar e Saehan. A validade concorrente entre o dinamômetro Jamar e o dinamômetro Saehan foi excelente para os testes de força de preensão realizados com as mãos direita (r=0,976) e esquerda (r=0,986). A confiabilidade intra-examinador foi excelente tanto para o dinamômetro Jamar (r=0,985 mãos direita e esquerda) quanto para o dinamômetro Saehan (r=0,981 mão direita e r=0,985 mão esquerda). O dinamômetro Saehan é válido, confiável e comparável com o dinamômetro Jamar. Portanto, dados coletados com o dinamômetro Jamar são equivalentes aos dados coletados com o dinamômetro Saehan. Consequentemente, valores de força obtidos por testes com dinamômetro Saehan podem ser comparados com valores de referência de força de preensão que foram obtidos com o dinamômetro Jamar.\n          , \n            There is a great variety of instruments available for evaluating hand grip strength. There is, however, a lack of studies showing the validity and reliability of most of these instruments. The purpose of this study was to examine the concurrent validity and test-retest reliability of the hydraulic Saehan dynamometer using the hydraulic Jamar dynamometer. One hundred healthy subjects (50 men and 50 women), between the ages of 20 and 50 years old, without cognitive impairment, physical disability, neuromuscular or orthopedic dysfunction, and history of upper extremity injuries were tested with the Jamar and Saehan dynamometers. The concurrent validity between the Jamar and the Saehan dynamometers was excellent for both the right hand (r=0.976) and the left hand (r=0.986). Test-retest reliability was excellent for both the Jamar (r=0.985 right and left hands) and the Saehan (r=0.981 right hand and r=0.985 left hand). The Saehan dynamometer is valid, reliable and comparable to the Jamar dynamometer. Therefore, the Jamar and Saehan dynamometers measure handgrip strength equivalently. As a result, strength values obtained with the Saehan dynamometer can be compared with reference values which were collected with the Jamar dynamometer.","container-title":"Fisioterapia e Pesquisa","DOI":"10.1590/S1809-29502011000200013","ISSN":"1809-2950","issue":"2","journalAbbreviation":"Fisioter. Pesqui.","page":"176-181","source":"DOI.org (Crossref)","title":"Medida da força de preensão manual- validade e confiabilidade do dinamômetro saehan","volume":"18","author":[{"family":"Reis","given":"Maurício Moreira"},{"family":"Arantes","given":"Paula Maria Machado"}],"issued":{"date-parts":[["2011",6]]}}}],"schema":"https://github.com/citation-style-language/schema/raw/master/csl-citation.json"}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[50], [51]</w:t>
      </w:r>
      <w:r>
        <w:rPr>
          <w:rFonts w:hint="default" w:ascii="Times New Roman" w:hAnsi="Times New Roman" w:cs="Times New Roman"/>
        </w:rPr>
        <w:fldChar w:fldCharType="end"/>
      </w:r>
      <w:r>
        <w:rPr>
          <w:rFonts w:hint="default" w:ascii="Times New Roman" w:hAnsi="Times New Roman" w:cs="Times New Roman"/>
        </w:rPr>
        <w:t xml:space="preserve">. O participante permanecerá sentado em cadeira sem braços, com coluna ereta, pés apoiados no solo, ombro aduzido em rotação neutra, cotovelo fletido a 90° e antebraço em posição neutra sem repouso sobre superfícies, seguindo a diretriz padronizada da </w:t>
      </w:r>
      <w:r>
        <w:rPr>
          <w:rFonts w:hint="default" w:ascii="Times New Roman" w:hAnsi="Times New Roman" w:cs="Times New Roman"/>
          <w:i/>
          <w:iCs/>
        </w:rPr>
        <w:t>American Society of Hand Therapists</w:t>
      </w:r>
      <w:r>
        <w:rPr>
          <w:rFonts w:hint="default" w:ascii="Times New Roman" w:hAnsi="Times New Roman" w:cs="Times New Roman"/>
        </w:rPr>
        <w:t xml:space="preserve"> (ASHT)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{"citationID":"lTDhzuNi","properties":{"unsorted":false,"formattedCitation":"[50], [52]","plainCitation":"[50], [52]","noteIndex":0},"citationItems":[{"id":10,"uris":["http://zotero.org/users/17274952/items/2MPKBVK5"],"itemData":{"id":10,"type":"article-journal","abstract":"Abstract\n            This study compared the Jamar and Rolyan hydraulic dynamometers to determine their concurrent validity with known weights as well as their inter‐instrument reliability and concurrent validity for measuring grip strength in a clinical setting. Thirty females and 30 males were tested on these two grip strength measurement devices using a repeated measure design. Results showed that the Jamar and Rolyan dynamometers have acceptable concurrent validity with known weights (that is, correlation coefficients were r ≥ 0.9994), excellent inter‐instrument reliability (that is, intraclass correlation coefficients ranged from 0.90 to 0.97) and strong concurrent validity (that is, no significant differences between dynamometers' scores). Data indicate that Jamar and Rolyan dynamometers measure grip strength equivalently and can be used interchangeably. Thus, therapists using the Rolyan dynamometer are justified in using published normative data, which were collected with the Jamar dynamometer. Copyright © 2002 Whurr Publishers Ltd.","container-title":"Occupational Therapy International","DOI":"10.1002/oti.165","ISSN":"0966-7903, 1557-0703","issue":"3","journalAbbreviation":"Occupation Therapy Intl","language":"en","license":"http://onlinelibrary.wiley.com/termsAndConditions#vor","page":"201-209","source":"DOI.org (Crossref)","title":"Comparison of Rolyan and Jamar dynamometers for measuring grip strength","volume":"9","author":[{"family":"Mathiowetz","given":"Virgil"}],"issued":{"date-parts":[["2002",8]]}}},{"id":308,"uris":["http://zotero.org/users/17274952/items/6363HPGD"],"itemData":{"id":308,"type":"article-journal","container-title":"Age and Ageing","DOI":"10.1093/ageing/afr051","ISSN":"1468-2834, 0002-0729","issue":"4","language":"en","page":"423-429","source":"DOI.org (Crossref)","title":"A review of the measurement of grip strength in clinical and epidemiological studies: towards a standardised approach","title-short":"A review of the measurement of grip strength in clinical and epidemiological studies","volume":"40","author":[{"family":"Roberts","given":"Helen C."},{"family":"Denison","given":"Hayley J."},{"family":"Martin","given":"Helen J."},{"family":"Patel","given":"Harnish P."},{"family":"Syddall","given":"Holly"},{"family":"Cooper","given":"Cyrus"},{"family":"Sayer","given":"Avan Aihie"}],"issued":{"date-parts":[["2011",7]]}}}],"schema":"https://github.com/citation-style-language/schema/raw/master/csl-citation.json"}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[50], [52]</w:t>
      </w:r>
      <w:r>
        <w:rPr>
          <w:rFonts w:hint="default" w:ascii="Times New Roman" w:hAnsi="Times New Roman" w:cs="Times New Roman"/>
        </w:rPr>
        <w:fldChar w:fldCharType="end"/>
      </w:r>
      <w:r>
        <w:rPr>
          <w:rFonts w:hint="default" w:ascii="Times New Roman" w:hAnsi="Times New Roman" w:cs="Times New Roman"/>
        </w:rPr>
        <w:t xml:space="preserve">. A manopla móvel será ajustada na 2ª posição padrão (cerca de 4,7 cm de abertura). O voluntário realizará três contrações voluntárias máximas de 3 a 5 segundos com estímulo verbal padronizado, respeitando um intervalo de 60 segundos de recuperação entre as tentativas no mesmo membro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{"citationID":"sBVeGGZo","properties":{"unsorted":false,"formattedCitation":"[52]","plainCitation":"[52]","noteIndex":0},"citationItems":[{"id":308,"uris":["http://zotero.org/users/17274952/items/6363HPGD"],"itemData":{"id":308,"type":"article-journal","container-title":"Age and Ageing","DOI":"10.1093/ageing/afr051","ISSN":"1468-2834, 0002-0729","issue":"4","language":"en","page":"423-429","source":"DOI.org (Crossref)","title":"A review of the measurement of grip strength in clinical and epidemiological studies: towards a standardised approach","title-short":"A review of the measurement of grip strength in clinical and epidemiological studies","volume":"40","author":[{"family":"Roberts","given":"Helen C."},{"family":"Denison","given":"Hayley J."},{"family":"Martin","given":"Helen J."},{"family":"Patel","given":"Harnish P."},{"family":"Syddall","given":"Holly"},{"family":"Cooper","given":"Cyrus"},{"family":"Sayer","given":"Avan Aihie"}],"issued":{"date-parts":[["2011",7]]}}}],"schema":"https://github.com/citation-style-language/schema/raw/master/csl-citation.json"}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[52]</w:t>
      </w:r>
      <w:r>
        <w:rPr>
          <w:rFonts w:hint="default" w:ascii="Times New Roman" w:hAnsi="Times New Roman" w:cs="Times New Roman"/>
        </w:rPr>
        <w:fldChar w:fldCharType="end"/>
      </w:r>
      <w:r>
        <w:rPr>
          <w:rFonts w:hint="default" w:ascii="Times New Roman" w:hAnsi="Times New Roman" w:cs="Times New Roman"/>
        </w:rPr>
        <w:t>. O maior valor de pico obtido em cada membro será registrado em quilogramas-força (</w:t>
      </w:r>
      <w:r>
        <w:rPr>
          <w:rFonts w:hint="default" w:ascii="Times New Roman" w:hAnsi="Times New Roman" w:cs="Times New Roman"/>
          <w:lang w:val="pt-BR"/>
        </w:rPr>
        <w:t>K</w:t>
      </w:r>
      <w:r>
        <w:rPr>
          <w:rFonts w:hint="default" w:ascii="Times New Roman" w:hAnsi="Times New Roman" w:cs="Times New Roman"/>
        </w:rPr>
        <w:t>gf) e posteriormente normalizado pela massa corporal total (</w:t>
      </w:r>
      <w:r>
        <w:rPr>
          <w:rFonts w:hint="default" w:ascii="Times New Roman" w:hAnsi="Times New Roman" w:cs="Times New Roman"/>
          <w:lang w:val="pt-BR"/>
        </w:rPr>
        <w:t>K</w:t>
      </w:r>
      <w:r>
        <w:rPr>
          <w:rFonts w:hint="default" w:ascii="Times New Roman" w:hAnsi="Times New Roman" w:cs="Times New Roman"/>
        </w:rPr>
        <w:t>gf/</w:t>
      </w:r>
      <w:r>
        <w:rPr>
          <w:rFonts w:hint="default" w:ascii="Times New Roman" w:hAnsi="Times New Roman" w:cs="Times New Roman"/>
          <w:lang w:val="pt-BR"/>
        </w:rPr>
        <w:t>K</w:t>
      </w:r>
      <w:r>
        <w:rPr>
          <w:rFonts w:hint="default" w:ascii="Times New Roman" w:hAnsi="Times New Roman" w:cs="Times New Roman"/>
        </w:rPr>
        <w:t>g)</w:t>
      </w:r>
      <w:r>
        <w:rPr>
          <w:rFonts w:hint="default" w:ascii="Times New Roman" w:hAnsi="Times New Roman" w:cs="Times New Roman"/>
          <w:lang w:val="pt-BR"/>
        </w:rPr>
        <w:t xml:space="preserv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{"citationID":"viSBB8Rj","properties":{"unsorted":false,"formattedCitation":"[53]","plainCitation":"[53]","noteIndex":0},"citationItems":[{"id":9,"uris":["http://zotero.org/users/17274952/items/PRWFRTC3"],"itemData":{"id":9,"type":"article-journal","container-title":"Sports Medicine","DOI":"10.2165/00007256-200232100-00002","ISSN":"0112-1642","issue":"10","journalAbbreviation":"Sports Medicine","language":"en","page":"615-631","source":"DOI.org (Crossref)","title":"Muscle Strength Testing: Use of Normalisation for Body Size","title-short":"Muscle Strength Testing","volume":"32","author":[{"family":"Jaric","given":"Slobodan"}],"issued":{"date-parts":[["2002"]]}}}],"schema":"https://github.com/citation-style-language/schema/raw/master/csl-citation.json"}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[53]</w:t>
      </w:r>
      <w:r>
        <w:rPr>
          <w:rFonts w:hint="default" w:ascii="Times New Roman" w:hAnsi="Times New Roman" w:cs="Times New Roman"/>
        </w:rPr>
        <w:fldChar w:fldCharType="end"/>
      </w:r>
      <w:r>
        <w:rPr>
          <w:rFonts w:hint="default" w:ascii="Times New Roman" w:hAnsi="Times New Roman" w:cs="Times New Roman"/>
        </w:rPr>
        <w:t xml:space="preserve">. </w:t>
      </w:r>
    </w:p>
    <w:p w14:paraId="1E58B391">
      <w:pPr>
        <w:pStyle w:val="11"/>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c) Pico de Torque Isométrico dos Flexores de Punho (FFP)</w:t>
      </w:r>
    </w:p>
    <w:p w14:paraId="7581F6A6">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As avaliações serão feitas bilateralmente (membro dominante e não-dominante) por meio de um dinamômetro isocinético/isométrico (Biodex Multi-Joint System PRO, Biodex Medical Systems, Shirley, NY, EUA). O participante sentará na cadeira com o encosto ajustado a 85°, tronco estabilizado por cintos cruzados peitorais e pélvico. O antebraço do membro testado será posicionado em uma calha de suporte acolchoada (</w:t>
      </w:r>
      <w:r>
        <w:rPr>
          <w:rFonts w:hint="default" w:ascii="Times New Roman" w:hAnsi="Times New Roman" w:cs="Times New Roman"/>
          <w:i/>
          <w:iCs/>
        </w:rPr>
        <w:t>Limb-Support Pad</w:t>
      </w:r>
      <w:r>
        <w:rPr>
          <w:rFonts w:hint="default" w:ascii="Times New Roman" w:hAnsi="Times New Roman" w:cs="Times New Roman"/>
        </w:rPr>
        <w:t>) e rigidamente imobilizado por cintas inelásticas de velcro (com cotovelo a 90° e antebraço pronado) para eliminar a contribuição dos flexores de cotovelo e músculos do ombro. O eixo de rotação mecânico do dinamômetro será alinhado ao eixo anatômico da articulação radiocárpica (linha bissecante entre os processos estiloides do rádio e da ulna, na altura do osso capitato). A alavanca (</w:t>
      </w:r>
      <w:r>
        <w:rPr>
          <w:rFonts w:hint="default" w:ascii="Times New Roman" w:hAnsi="Times New Roman" w:cs="Times New Roman"/>
          <w:i/>
          <w:iCs/>
        </w:rPr>
        <w:t>wrist attachment</w:t>
      </w:r>
      <w:r>
        <w:rPr>
          <w:rFonts w:hint="default" w:ascii="Times New Roman" w:hAnsi="Times New Roman" w:cs="Times New Roman"/>
        </w:rPr>
        <w:t xml:space="preserve">) será travada no modo isométrico no ângulo articular de </w:t>
      </w:r>
      <w:r>
        <w:rPr>
          <w:rFonts w:hint="default" w:ascii="Times New Roman" w:hAnsi="Times New Roman" w:cs="Times New Roman"/>
          <w:highlight w:val="none"/>
        </w:rPr>
        <w:t xml:space="preserve">70° de extensão de punho, </w:t>
      </w:r>
      <w:r>
        <w:rPr>
          <w:rFonts w:hint="default" w:ascii="Times New Roman" w:hAnsi="Times New Roman" w:cs="Times New Roman"/>
        </w:rPr>
        <w:t>simulando com alta especificidade a angulação funcional de suporte e a atuação da estratégia de punho (</w:t>
      </w:r>
      <w:r>
        <w:rPr>
          <w:rFonts w:hint="default" w:ascii="Times New Roman" w:hAnsi="Times New Roman" w:cs="Times New Roman"/>
          <w:i/>
          <w:iCs/>
        </w:rPr>
        <w:t>wrist strategy</w:t>
      </w:r>
      <w:r>
        <w:rPr>
          <w:rFonts w:hint="default" w:ascii="Times New Roman" w:hAnsi="Times New Roman" w:cs="Times New Roman"/>
        </w:rPr>
        <w:t xml:space="preserve">) durante o </w:t>
      </w:r>
      <w:r>
        <w:rPr>
          <w:rFonts w:hint="default" w:ascii="Times New Roman" w:hAnsi="Times New Roman" w:cs="Times New Roman"/>
          <w:i/>
          <w:iCs/>
          <w:lang w:val="pt-BR"/>
        </w:rPr>
        <w:t xml:space="preserve">HS </w:t>
      </w:r>
      <w:r>
        <w:rPr>
          <w:rFonts w:hint="default" w:ascii="Times New Roman" w:hAnsi="Times New Roman" w:cs="Times New Roman"/>
          <w:i w:val="0"/>
          <w:iCs w:val="0"/>
          <w:lang w:val="pt-BR"/>
        </w:rPr>
        <w:fldChar w:fldCharType="begin"/>
      </w:r>
      <w:r>
        <w:rPr>
          <w:rFonts w:hint="default" w:ascii="Times New Roman" w:hAnsi="Times New Roman" w:cs="Times New Roman"/>
          <w:i w:val="0"/>
          <w:iCs w:val="0"/>
          <w:lang w:val="pt-BR"/>
        </w:rPr>
        <w:instrText xml:space="preserve"> ADDIN ZOTERO_ITEM CSL_CITATION {"citationID":"5xg4t7kb","properties":{"unsorted":false,"formattedCitation":"[3], [9], [54]","plainCitation":"[3], [9], [54]","noteIndex":0},"citationItems":[{"id":336,"uris":["http://zotero.org/users/17274952/items/P82NI7IB"],"itemData":{"id":336,"type":"article-journal","abstract":"KERWIN,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G."},{"family":"Trewartha","given":"Grant"}],"issued":{"date-parts":[["2001",7]]}}},{"id":8,"uris":["http://zotero.org/users/17274952/items/YSSQK76Z"],"itemData":{"id":8,"type":"article-journal","container-title":"Journal of Electromyography and Kinesiology","DOI":"10.1016/S1050-6411(97)00025-4","ISSN":"10506411","issue":"2","journalAbbreviation":"Journal of Electromyography and Kinesiology","language":"en","license":"https://www.elsevier.com/tdm/userlicense/1.0/","page":"93-100","source":"DOI.org (Crossref)","title":"Musculoskeletal balance of the human wrist elucidated using intraoperative laser diffraction","volume":"8","author":[{"family":"Lieber","given":"Richard L"},{"family":"Fridén","given":"Jan"}],"issued":{"date-parts":[["1998",4]]}}},{"id":299,"uris":["http://zotero.org/users/17274952/items/EJ28IYIX"],"itemData":{"id":299,"type":"article-journal","abstract":"In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NOVICES","volume":"11","author":[{"family":"Rohleder","given":"Jonas"},{"family":"Vogt","given":"Tobias"}],"issued":{"date-parts":[["2019",6,1]]}}}],"schema":"https://github.com/citation-style-language/schema/raw/master/csl-citation.json"} </w:instrText>
      </w:r>
      <w:r>
        <w:rPr>
          <w:rFonts w:hint="default" w:ascii="Times New Roman" w:hAnsi="Times New Roman" w:cs="Times New Roman"/>
          <w:i w:val="0"/>
          <w:iCs w:val="0"/>
          <w:lang w:val="pt-BR"/>
        </w:rPr>
        <w:fldChar w:fldCharType="separate"/>
      </w:r>
      <w:r>
        <w:rPr>
          <w:rFonts w:hint="default" w:ascii="Times New Roman" w:hAnsi="Times New Roman" w:cs="Times New Roman"/>
          <w:i w:val="0"/>
          <w:iCs w:val="0"/>
          <w:lang w:val="pt-BR"/>
        </w:rPr>
        <w:t>[3], [9], [54]</w:t>
      </w:r>
      <w:r>
        <w:rPr>
          <w:rFonts w:hint="default" w:ascii="Times New Roman" w:hAnsi="Times New Roman" w:cs="Times New Roman"/>
          <w:i w:val="0"/>
          <w:iCs w:val="0"/>
          <w:lang w:val="pt-BR"/>
        </w:rPr>
        <w:fldChar w:fldCharType="end"/>
      </w:r>
      <w:r>
        <w:rPr>
          <w:rFonts w:hint="default" w:ascii="Times New Roman" w:hAnsi="Times New Roman" w:cs="Times New Roman"/>
          <w:i/>
          <w:iCs/>
          <w:lang w:val="pt-BR"/>
        </w:rPr>
        <w:t xml:space="preserve"> </w:t>
      </w:r>
      <w:r>
        <w:rPr>
          <w:rFonts w:hint="default" w:ascii="Times New Roman" w:hAnsi="Times New Roman" w:cs="Times New Roman"/>
        </w:rPr>
        <w:t>. Após a calibração do zero anatômico e a correção automática do peso do membro e da alavanca (</w:t>
      </w:r>
      <w:r>
        <w:rPr>
          <w:rFonts w:hint="default" w:ascii="Times New Roman" w:hAnsi="Times New Roman" w:cs="Times New Roman"/>
          <w:i/>
          <w:iCs/>
        </w:rPr>
        <w:t>gravity correction</w:t>
      </w:r>
      <w:r>
        <w:rPr>
          <w:rFonts w:hint="default" w:ascii="Times New Roman" w:hAnsi="Times New Roman" w:cs="Times New Roman"/>
        </w:rPr>
        <w:t xml:space="preserve">), o participante realizará contrações voluntárias máximas de flexão de punho com duração de 5 segundos cada, intercaladas por 60 segundos de repouso passivo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4M4RcQOL","properties":{"unsorted":false,"formattedCitation":"[55]","plainCitation":"[55]","noteIndex":0},"citationItems":[{"id":7,"uris":["http://zotero.org/users/17274952/items/YBUZXYJB"],"itemData":{"id":7,"type":"book","DOI":"10.4324/9781003380719","edition":"3","ISBN":"978-1-003-38071-9","language":"en","publisher":"Routledge","publisher-place":"New York","source":"DOI.org (Crossref)","title":"Isokinetics: Muscle Testing, Interpretation and Clinical Applications","title-short":"Isokinetics","URL":"https://www.taylorfrancis.com/books/9781003380719","author":[{"family":"Dvir","given":"Zeevi"}],"accessed":{"date-parts":[["2026",8,27]]},"issued":{"date-parts":[["2025",5,9]]}}}],"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[55]</w:t>
      </w:r>
      <w:r>
        <w:rPr>
          <w:rFonts w:hint="default" w:ascii="Times New Roman" w:hAnsi="Times New Roman" w:cs="Times New Roman"/>
        </w:rPr>
        <w:fldChar w:fldCharType="end"/>
      </w:r>
      <w:r>
        <w:rPr>
          <w:rFonts w:hint="default" w:ascii="Times New Roman" w:hAnsi="Times New Roman" w:cs="Times New Roman"/>
        </w:rPr>
        <w:t xml:space="preserve">. O maior valor de pico de torque (PT, em N·m) será registrado e normalizado pela massa corporal (N·m/kg) (Jaric, 2002). Adicionalmente, será calculado será calculado o Índice de Simetria de Membros [LSI (%) = (PT não dominante / PT dominante) × 100] para posterior análise na locomoção dinâmica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{"citationID":"Tk2je6FQ","properties":{"unsorted":false,"formattedCitation":"[56]","plainCitation":"[56]","noteIndex":0},"citationItems":[{"id":4,"uris":["http://zotero.org/users/17274952/items/EFWZLII9"],"itemData":{"id":4,"type":"article-journal","abstract":"ABSTRACT\n            The concept of thresholds has commonly appeared in the literature for the topic of interlimb asymmetry. However, with an abundance of literature showing asymmetry to be task- and metric-specific, the use of thresholds seems flawed. When computed, practitioners are often left with a percentage figure and it is not always entirely obvious how to interpret this value. This article aims to provide practitioners with some guidelines on meaningful ways to use and interpret interlimb asymmetry data.","container-title":"Strength &amp; Conditioning Journal","DOI":"10.1519/SSC.0000000000000554","ISSN":"1524-1602","issue":"1","language":"en","page":"32-36","source":"DOI.org (Crossref)","title":"Interlimb Asymmetries: Are Thresholds a Usable Concept?","title-short":"Interlimb Asymmetries","volume":"43","author":[{"family":"Bishop","given":"Chris"}],"issued":{"date-parts":[["2021",2]]}}}],"schema":"https://github.com/citation-style-language/schema/raw/master/csl-citation.json"}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[56]</w:t>
      </w:r>
      <w:r>
        <w:rPr>
          <w:rFonts w:hint="default" w:ascii="Times New Roman" w:hAnsi="Times New Roman" w:cs="Times New Roman"/>
        </w:rPr>
        <w:fldChar w:fldCharType="end"/>
      </w:r>
      <w:r>
        <w:rPr>
          <w:rFonts w:hint="default" w:ascii="Times New Roman" w:hAnsi="Times New Roman" w:cs="Times New Roman"/>
        </w:rPr>
        <w:t>. Um intervalo de recuperação passiva de 5 minutos será respeitado entre o término da dinamometria e o início do aquecimento para o teste de 1-RM.</w:t>
      </w:r>
    </w:p>
    <w:p w14:paraId="15E03332">
      <w:pPr>
        <w:pStyle w:val="11"/>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 xml:space="preserve">d) Teste de 1 Repetição Máxima (1-RM) no </w:t>
      </w:r>
      <w:r>
        <w:rPr>
          <w:rFonts w:hint="default" w:ascii="Times New Roman" w:hAnsi="Times New Roman" w:cs="Times New Roman"/>
          <w:i/>
          <w:iCs/>
        </w:rPr>
        <w:t>SP</w:t>
      </w:r>
    </w:p>
    <w:p w14:paraId="1B36F705">
      <w:pPr>
        <w:suppressAutoHyphens w:val="0"/>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A força máxima dinâmica dos músculos de membros superiores em empurrar acima da cabeça será mensurada pelo teste de 1-RM no </w:t>
      </w:r>
      <w:r>
        <w:rPr>
          <w:rFonts w:hint="default" w:ascii="Times New Roman" w:hAnsi="Times New Roman" w:eastAsia="Times New Roman" w:cs="Times New Roman"/>
          <w:i/>
        </w:rPr>
        <w:t>shoulder press</w:t>
      </w:r>
      <w:r>
        <w:rPr>
          <w:rFonts w:hint="default" w:ascii="Times New Roman" w:hAnsi="Times New Roman" w:eastAsia="Times New Roman" w:cs="Times New Roman"/>
        </w:rPr>
        <w:t xml:space="preserve"> com barra e pesos livres, seguindo protocolo adaptado de teste progressivo de carga máxima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{"citationID":"pyYfeFLJ","properties":{"unsorted":false,"formattedCitation":"[47], [57], [58]","plainCitation":"[47], [57], [58]","noteIndex":0},"citationItems":[{"id":357,"uris":["http://zotero.org/users/17274952/items/PT598QVY"],"itemData":{"id":357,"type":"article-journal","abstract":"Embora testes de uma repetição máxima (1-RM) sejam freqüentemente utilizados para a avaliação da força muscular, acredita-se que os resultados obtidos possam ser afetados pela falta de familiarização prévia, até mesmo em sujeitos com experiência em exercícios com pesos. Assim, o objetivo deste estudo foi investigar o impacto do processo de familiarização para avaliação da força muscular em testes de 1-RM. Para tanto, 21 homens (24,5 ± 3,8 anos), aparentemente saudáveis, com experiência prévia de pelo menos seis meses em treinamento com pesos, foram submetidos a testes repetitivos de 1-RM nos exercícios supino em banco horizontal, agachamento e rosca direta de bíceps. Os testes foram executados em quatro sessões, intervaladas a cada 48-72 horas. Um número máximo de três tentativas, com intervalo de três a cinco minutos para recuperação, foi utilizado em cada exercício, nas quatro sessões de testagem. ANOVA para medidas repetidas, seguida pelo teste post hoc de Tukey, quando p &lt; 0,05, foi utilizada para o tratamento dos dados. Aumentos significantes na força muscular (p &lt; 0,01) foram encontrados nos três exercícios analisados entre a primeira e a quarta sessão de familiarização (2,4% no supino em banco horizontal, 3,4% no agachamento e 5,4% na rosca direta de bíceps). Todavia, nenhuma diferença estatisticamente significante foi encontrada entre a segunda e a quarta sessão de familiarização na rosca direta de bíceps (p &gt; 0,05), bem como entre a terceira e a quarta sessão no supino em banco horizontal e no agachamento (p &gt; 0,05). Os resultados indicam que a falta de familiarização prévia com testes de 1-RM pode comprometer a avaliação da força muscular. Portanto, sugere-se, para avaliação mais acurada da força muscular mediante testes de 1-RM, a execução de duas a três sessões de familiarização em homens adultos com experiência em exercícios com pesos.Embora la utilización de tests de una repetición máxima (1-RM) es frecuente para la evaluación de la fuerza muscular, se acredita que los resultados obtenidos puedan ser afectados por la falta de familiarización previa, hasta mismo en sujetos con experiencia en ejercicios con pesos. Asi, el objetivo de este estudio fué investigar el impacto del proceso de familiarización para evaluación de la fuerza muscular en tests de 1-RM. Por lo tanto, 21 hombres (24,5 ± 3,8 años), aparentemente saludables con experiencia previa de por lo menos seis meses de entrenamiento con pesos, fueron sometidos a tests reptitivos de 1-RM en los ejercicios supino en banco horizontal, agachamiento y rosca directa de bíceps. Los tests fueran ejecutados en cuatro sesiones, intervaladas en cada 48-72 horas. Un número máximo de tres tentativas, con intérvalo de tres a cinco minutos para recuperación, fué utilizado en cada ejercicio, en las cuatro sessiones de testeo. ANOVA se utilizó para medidas repetidas, seguida por el test post hoc de Tukey, cuando p &lt; 0,05, fué utilizada para el tratamiento de los datos. Aumentos significantes en la fuerza muscular (p &lt; 0,01) fueron encontrados los tres ejercicios analizados entre la primera y la cuarta sesión de familiarización (2,4% en supino en banco horizontal, 3,4% en agachamiento y 5,4% en la rosca directa del bíceps). Todavía, ninguna diferencia estadísticamente significativamente fuera encontrada entre la segunda y la cuarta sesión de familiarización en la rosca directa de bíceps (p &gt; 0,05), bien con entre la tercera y la cuarta sesión en el supino en el banco horizontal y en el agachamiento (p &gt; 0,05). Los resultados indican que la falta de familiarización previa con tests de 1-RM puede comprometer la evaluación de la fuerza muscular. Por lo tanto, se sugiere para la evaluación mas acurada de la fuerza muscular mediante tests de 1-RM la ejecución de dos a tres sesiones de familiarización en los hombres adultos con experiencia en ejercicios con pesos.Although the use of maximum repetition tests (1-RM) is frequent for assessment of the muscular strength, one believes that the results obtained may be affected by the lack of previous familiarization, even in skilled subjects in exercises with weights. Thus, the objective of this study was to investigate the impact of the familiarization process on the muscular strength assessment in 1-RM tests. To do so, 21 men (24.5 ± 3.8 years of age), apparently healthy and with previous experience of at least six months on weight training, were submitted to repetitive tests of 1-RM in bench press, squat, and arm curl exercises. The tests were performed in four sessions with intervals every 48-72 hours. A maximum number of three attempts with 3-5 minutes interval for recovery was used in each exercise in the four testing sessions. The analysis of variance ANOVA for repeated measures followed by the post hoc Tukey test when p &lt; 0.05 were used for the data treatment. Significant increases on the muscular strength (p &lt; 0.01) were found in the three exercises analyzed between the first and the fourth familiarization session (2.4% in bench press, 3.4% in squat, and 5.4% in the arm curl). However, no statistically significant difference was found between the second and fourth familiarization sessions in the arm curl (p &gt; 0.05) as well as between the third and fourth sessions in the bench press and squat (p &gt; 0.05). The results indicate that the lack of previous familiarization with 1-RM tests may impair the muscular strength evaluation. Therefore, the performance of two to three familiarization sessions in adult men with previous experience with weightlifting is suggested for a more accurate muscular strength assessment by means of the 1-RM tests.","container-title":"Revista Brasileira de Medicina do Esporte","DOI":"10.1590/s1517-86922005000100004","issue":"1","title":"Influência do processo de familiarização para avaliação da força muscular em testes de 1-RM","volume":"11","author":[{"family":"Dias","given":"Raphael Mendes Ritti"},{"family":"Cyrino","given":"Edilson Serpeloni"},{"family":"Salvador","given":"Emanuel Péricles"},{"family":"Caldeira","given":"Lúcio Flávio Soares"},{"family":"Nakamura","given":"Fábio Yuzo"},{"family":"Papst","given":"Rafael Raul"},{"family":"Bruna","given":"Nelson"},{"family":"Gurjão","given":"André Luiz Demantova"}],"issued":{"date-parts":[["2005"]]}}},{"id":1,"uris":["http://zotero.org/users/17274952/items/XDV7JVW7"],"itemData":{"id":1,"type":"book","edition":"Fifth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Association"}],"issued":{"date-parts":[["2027"]]}}},{"id":3,"uris":["http://zotero.org/users/17274952/items/QXK7H6DX"],"itemData":{"id":3,"type":"article-journal","container-title":"Sports Medicine","DOI":"10.1007/s40279-019-01096-8","ISSN":"0112-1642, 1179-2035","issue":"6","journalAbbreviation":"Sports Med","language":"en","page":"867-885","source":"DOI.org (Crossref)","title":"Weightlifting Overhead Pressing Derivatives: A Review of the Literature","title-short":"Weightlifting Overhead Pressing Derivatives","volume":"49","author":[{"family":"Soriano","given":"Marcos A."},{"family":"Suchomel","given":"Timothy J."},{"family":"Comfort","given":"Paul"}],"issued":{"date-parts":[["2019",6]]}}}],"schema":"https://github.com/citation-style-language/schema/raw/master/csl-citation.json"}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[47], [57], [58]</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Previamente ao teste de carga máxima, os participantes realizarão um protocolo padronizado de aquecimento e preparação articular específico composto por: mobilidade torácica e flexão de ombros apoiando as mãos na parede (</w:t>
      </w:r>
      <w:r>
        <w:rPr>
          <w:rFonts w:hint="default" w:ascii="Times New Roman" w:hAnsi="Times New Roman" w:eastAsia="Times New Roman" w:cs="Times New Roman"/>
          <w:i/>
        </w:rPr>
        <w:t>wall opener</w:t>
      </w:r>
      <w:r>
        <w:rPr>
          <w:rFonts w:hint="default" w:ascii="Times New Roman" w:hAnsi="Times New Roman" w:eastAsia="Times New Roman" w:cs="Times New Roman"/>
        </w:rPr>
        <w:t>, cinco respirações profundas em alinhamento articular); ativação do manguito rotador e estabilizadores escapulares em decúbito ventral no solo (</w:t>
      </w:r>
      <w:r>
        <w:rPr>
          <w:rFonts w:hint="default" w:ascii="Times New Roman" w:hAnsi="Times New Roman" w:eastAsia="Times New Roman" w:cs="Times New Roman"/>
          <w:i/>
        </w:rPr>
        <w:t>prone</w:t>
      </w:r>
      <w:r>
        <w:rPr>
          <w:rFonts w:hint="default" w:ascii="Times New Roman" w:hAnsi="Times New Roman" w:eastAsia="Times New Roman" w:cs="Times New Roman"/>
        </w:rPr>
        <w:t xml:space="preserve"> Y-T-W, cinco repetições controladas em cada posição com polegares elevados); ativação do serrátil anterior em prancha alta (</w:t>
      </w:r>
      <w:r>
        <w:rPr>
          <w:rFonts w:hint="default" w:ascii="Times New Roman" w:hAnsi="Times New Roman" w:eastAsia="Times New Roman" w:cs="Times New Roman"/>
          <w:i/>
        </w:rPr>
        <w:t>scapular push-ups</w:t>
      </w:r>
      <w:r>
        <w:rPr>
          <w:rFonts w:hint="default" w:ascii="Times New Roman" w:hAnsi="Times New Roman" w:eastAsia="Times New Roman" w:cs="Times New Roman"/>
        </w:rPr>
        <w:t>, oito a dez repetições); e familiarização específica com a barra metálica olímpica (FlexFit®, Franca, Brasil, pesando 20 kg para homens e 15 kg para mulheres), executando quatro a cinco repetições com fase concêntrica em velocidade máxima e bloqueio vertical controlado acima da cabeça por um segundo (</w:t>
      </w:r>
      <w:r>
        <w:rPr>
          <w:rFonts w:hint="default" w:ascii="Times New Roman" w:hAnsi="Times New Roman" w:eastAsia="Times New Roman" w:cs="Times New Roman"/>
          <w:i/>
        </w:rPr>
        <w:t>lockout</w:t>
      </w:r>
      <w:r>
        <w:rPr>
          <w:rFonts w:hint="default" w:ascii="Times New Roman" w:hAnsi="Times New Roman" w:eastAsia="Times New Roman" w:cs="Times New Roman"/>
        </w:rPr>
        <w:t>). Em seguida, anilhas calibradas (FlexFit®, Franca, Brasil) serão adicionadas para a progressão da carga. A distância de pegada das mãos na barra será padronizada ligeiramente além da largura dos ombros</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lang w:val="pt-BR"/>
        </w:rPr>
        <w:fldChar w:fldCharType="begin"/>
      </w:r>
      <w:r>
        <w:rPr>
          <w:rFonts w:hint="default" w:ascii="Times New Roman" w:hAnsi="Times New Roman" w:eastAsia="Times New Roman" w:cs="Times New Roman"/>
          <w:lang w:val="pt-BR"/>
        </w:rPr>
        <w:instrText xml:space="preserve"> ADDIN ZOTERO_ITEM CSL_CITATION {"citationID":"xtLaG6Gj","properties":{"unsorted":false,"formattedCitation":"[59]","plainCitation":"[59]","noteIndex":0},"citationItems":[{"id":332,"uris":["http://zotero.org/users/17274952/items/3G6MAY8K"],"itemData":{"id":332,"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w:instrText>
      </w:r>
      <w:r>
        <w:rPr>
          <w:rFonts w:hint="default" w:ascii="Times New Roman" w:hAnsi="Times New Roman" w:eastAsia="Times New Roman" w:cs="Times New Roman"/>
          <w:lang w:val="pt-BR"/>
        </w:rPr>
        <w:fldChar w:fldCharType="separate"/>
      </w:r>
      <w:r>
        <w:rPr>
          <w:rFonts w:hint="default" w:ascii="Times New Roman" w:hAnsi="Times New Roman" w:eastAsia="Times New Roman" w:cs="Times New Roman"/>
          <w:lang w:val="pt-BR"/>
        </w:rPr>
        <w:t>[59]</w:t>
      </w:r>
      <w:r>
        <w:rPr>
          <w:rFonts w:hint="default" w:ascii="Times New Roman" w:hAnsi="Times New Roman" w:eastAsia="Times New Roman" w:cs="Times New Roman"/>
          <w:lang w:val="pt-BR"/>
        </w:rPr>
        <w:fldChar w:fldCharType="end"/>
      </w:r>
      <w:r>
        <w:rPr>
          <w:rFonts w:hint="default" w:ascii="Times New Roman" w:hAnsi="Times New Roman" w:eastAsia="Times New Roman" w:cs="Times New Roman"/>
        </w:rPr>
        <w:t>.</w:t>
      </w:r>
    </w:p>
    <w:p w14:paraId="2D5E3914">
      <w:pPr>
        <w:keepNext w:val="0"/>
        <w:keepLines w:val="0"/>
        <w:pageBreakBefore w:val="0"/>
        <w:widowControl/>
        <w:suppressAutoHyphens w:val="0"/>
        <w:kinsoku/>
        <w:wordWrap/>
        <w:overflowPunct/>
        <w:topLinePunct w:val="0"/>
        <w:autoSpaceDE/>
        <w:autoSpaceDN/>
        <w:bidi w:val="0"/>
        <w:adjustRightInd/>
        <w:snapToGrid/>
        <w:spacing w:beforeAutospacing="0" w:after="0" w:afterAutospacing="0" w:line="360" w:lineRule="auto"/>
        <w:ind w:firstLine="708"/>
        <w:textAlignment w:val="auto"/>
        <w:rPr>
          <w:rFonts w:hint="default" w:ascii="Times New Roman" w:hAnsi="Times New Roman" w:eastAsia="Times New Roman" w:cs="Times New Roman"/>
          <w:highlight w:val="none"/>
        </w:rPr>
      </w:pPr>
      <w:r>
        <w:rPr>
          <w:rFonts w:hint="default" w:ascii="Times New Roman" w:hAnsi="Times New Roman" w:eastAsia="Times New Roman" w:cs="Times New Roman"/>
          <w:highlight w:val="none"/>
        </w:rPr>
        <w:t xml:space="preserve">No primeiro estágio, a carga será ajustada para 50% do valor de 1-RM caso o participante conheça sua marca prévia (PR), ou utilizada carga correspondente a 40% da massa corporal para aqueles que desconhecem sua 1-RM, assegurando uma ativação inicial entre 40% e 60% da capacidade máxima estimada sem indução de fadiga prematura </w:t>
      </w:r>
      <w:r>
        <w:rPr>
          <w:rFonts w:hint="default" w:ascii="Times New Roman" w:hAnsi="Times New Roman" w:eastAsia="Times New Roman" w:cs="Times New Roman"/>
          <w:highlight w:val="none"/>
        </w:rPr>
        <w:fldChar w:fldCharType="begin"/>
      </w:r>
      <w:r>
        <w:rPr>
          <w:rFonts w:hint="default" w:ascii="Times New Roman" w:hAnsi="Times New Roman" w:eastAsia="Times New Roman" w:cs="Times New Roman"/>
          <w:highlight w:val="none"/>
          <w:lang w:val="pt-BR"/>
        </w:rPr>
        <w:instrText xml:space="preserve"> ADDIN ZOTERO_ITEM CSL_CITATION {"citationID":"xK6D7HpQ","properties":{"unsorted":false,"formattedCitation":"[47]","plainCitation":"[47]","noteIndex":0},"citationItems":[{"id":1,"uris":["http://zotero.org/users/17274952/items/XDV7JVW7"],"itemData":{"id":1,"type":"book","edition":"Fifth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Association"}],"issued":{"date-parts":[["2027"]]}}}],"schema":"https://github.com/citation-style-language/schema/raw/master/csl-citation.json"} </w:instrText>
      </w:r>
      <w:r>
        <w:rPr>
          <w:rFonts w:hint="default" w:ascii="Times New Roman" w:hAnsi="Times New Roman" w:eastAsia="Times New Roman" w:cs="Times New Roman"/>
          <w:highlight w:val="none"/>
        </w:rPr>
        <w:fldChar w:fldCharType="separate"/>
      </w:r>
      <w:r>
        <w:rPr>
          <w:rFonts w:hint="default" w:ascii="Times New Roman" w:hAnsi="Times New Roman" w:eastAsia="Times New Roman" w:cs="Times New Roman"/>
          <w:highlight w:val="none"/>
          <w:lang w:val="pt-BR"/>
        </w:rPr>
        <w:t>[47]</w:t>
      </w:r>
      <w:r>
        <w:rPr>
          <w:rFonts w:hint="default" w:ascii="Times New Roman" w:hAnsi="Times New Roman" w:eastAsia="Times New Roman" w:cs="Times New Roman"/>
          <w:highlight w:val="none"/>
        </w:rPr>
        <w:fldChar w:fldCharType="end"/>
      </w:r>
      <w:r>
        <w:rPr>
          <w:rFonts w:hint="default" w:ascii="Times New Roman" w:hAnsi="Times New Roman" w:eastAsia="Times New Roman" w:cs="Times New Roman"/>
          <w:highlight w:val="none"/>
        </w:rPr>
        <w:t>.</w:t>
      </w:r>
      <w:r>
        <w:rPr>
          <w:rFonts w:hint="default" w:ascii="Times New Roman" w:hAnsi="Times New Roman" w:cs="Times New Roman"/>
          <w:highlight w:val="none"/>
        </w:rPr>
        <w:t xml:space="preserve"> </w:t>
      </w:r>
      <w:r>
        <w:rPr>
          <w:rFonts w:hint="default" w:ascii="Times New Roman" w:hAnsi="Times New Roman" w:eastAsia="Times New Roman" w:cs="Times New Roman"/>
          <w:highlight w:val="none"/>
        </w:rPr>
        <w:t xml:space="preserve">Os estágios seguintes serão executados em incrementos progressivos de 10% (60%, 70%, 80%, 90% e 100% da estimativa máxima). O intervalo entre cada estágio será de 3 minutos para recuperação neuromuscular plena, realizando-se apenas uma repetição por tentativa para mitigar o acúmulo de fadiga </w:t>
      </w:r>
      <w:r>
        <w:rPr>
          <w:rFonts w:hint="default" w:ascii="Times New Roman" w:hAnsi="Times New Roman" w:eastAsia="Times New Roman" w:cs="Times New Roman"/>
          <w:highlight w:val="none"/>
        </w:rPr>
        <w:fldChar w:fldCharType="begin"/>
      </w:r>
      <w:r>
        <w:rPr>
          <w:rFonts w:hint="default" w:ascii="Times New Roman" w:hAnsi="Times New Roman" w:eastAsia="Times New Roman" w:cs="Times New Roman"/>
          <w:highlight w:val="none"/>
          <w:lang w:val="pt-BR"/>
        </w:rPr>
        <w:instrText xml:space="preserve"> ADDIN ZOTERO_ITEM CSL_CITATION {"citationID":"IZPXcbao","properties":{"unsorted":false,"formattedCitation":"[57]","plainCitation":"[57]","noteIndex":0},"citationItems":[{"id":357,"uris":["http://zotero.org/users/17274952/items/PT598QVY"],"itemData":{"id":357,"type":"article-journal","abstract":"Embora testes de uma repetição máxima (1-RM) sejam freqüentemente utilizados para a avaliação da força muscular, acredita-se que os resultados obtidos possam ser afetados pela falta de familiarização prévia, até mesmo em sujeitos com experiência em exercícios com pesos. Assim, o objetivo deste estudo foi investigar o impacto do processo de familiarização para avaliação da força muscular em testes de 1-RM. Para tanto, 21 homens (24,5 ± 3,8 anos), aparentemente saudáveis, com experiência prévia de pelo menos seis meses em treinamento com pesos, foram submetidos a testes repetitivos de 1-RM nos exercícios supino em banco horizontal, agachamento e rosca direta de bíceps. Os testes foram executados em quatro sessões, intervaladas a cada 48-72 horas. Um número máximo de três tentativas, com intervalo de três a cinco minutos para recuperação, foi utilizado em cada exercício, nas quatro sessões de testagem. ANOVA para medidas repetidas, seguida pelo teste post hoc de Tukey, quando p &lt; 0,05, foi utilizada para o tratamento dos dados. Aumentos significantes na força muscular (p &lt; 0,01) foram encontrados nos três exercícios analisados entre a primeira e a quarta sessão de familiarização (2,4% no supino em banco horizontal, 3,4% no agachamento e 5,4% na rosca direta de bíceps). Todavia, nenhuma diferença estatisticamente significante foi encontrada entre a segunda e a quarta sessão de familiarização na rosca direta de bíceps (p &gt; 0,05), bem como entre a terceira e a quarta sessão no supino em banco horizontal e no agachamento (p &gt; 0,05). Os resultados indicam que a falta de familiarização prévia com testes de 1-RM pode comprometer a avaliação da força muscular. Portanto, sugere-se, para avaliação mais acurada da força muscular mediante testes de 1-RM, a execução de duas a três sessões de familiarização em homens adultos com experiência em exercícios com pesos.Embora la utilización de tests de una repetición máxima (1-RM) es frecuente para la evaluación de la fuerza muscular, se acredita que los resultados obtenidos puedan ser afectados por la falta de familiarización previa, hasta mismo en sujetos con experiencia en ejercicios con pesos. Asi, el objetivo de este estudio fué investigar el impacto del proceso de familiarización para evaluación de la fuerza muscular en tests de 1-RM. Por lo tanto, 21 hombres (24,5 ± 3,8 años), aparentemente saludables con experiencia previa de por lo menos seis meses de entrenamiento con pesos, fueron sometidos a tests reptitivos de 1-RM en los ejercicios supino en banco horizontal, agachamiento y rosca directa de bíceps. Los tests fueran ejecutados en cuatro sesiones, intervaladas en cada 48-72 horas. Un número máximo de tres tentativas, con intérvalo de tres a cinco minutos para recuperación, fué utilizado en cada ejercicio, en las cuatro sessiones de testeo. ANOVA se utilizó para medidas repetidas, seguida por el test post hoc de Tukey, cuando p &lt; 0,05, fué utilizada para el tratamiento de los datos. Aumentos significantes en la fuerza muscular (p &lt; 0,01) fueron encontrados los tres ejercicios analizados entre la primera y la cuarta sesión de familiarización (2,4% en supino en banco horizontal, 3,4% en agachamiento y 5,4% en la rosca directa del bíceps). Todavía, ninguna diferencia estadísticamente significativamente fuera encontrada entre la segunda y la cuarta sesión de familiarización en la rosca directa de bíceps (p &gt; 0,05), bien con entre la tercera y la cuarta sesión en el supino en el banco horizontal y en el agachamiento (p &gt; 0,05). Los resultados indican que la falta de familiarización previa con tests de 1-RM puede comprometer la evaluación de la fuerza muscular. Por lo tanto, se sugiere para la evaluación mas acurada de la fuerza muscular mediante tests de 1-RM la ejecución de dos a tres sesiones de familiarización en los hombres adultos con experiencia en ejercicios con pesos.Although the use of maximum repetition tests (1-RM) is frequent for assessment of the muscular strength, one believes that the results obtained may be affected by the lack of previous familiarization, even in skilled subjects in exercises with weights. Thus, the objective of this study was to investigate the impact of the familiarization process on the muscular strength assessment in 1-RM tests. To do so, 21 men (24.5 ± 3.8 years of age), apparently healthy and with previous experience of at least six months on weight training, were submitted to repetitive tests of 1-RM in bench press, squat, and arm curl exercises. The tests were performed in four sessions with intervals every 48-72 hours. A maximum number of three attempts with 3-5 minutes interval for recovery was used in each exercise in the four testing sessions. The analysis of variance ANOVA for repeated measures followed by the post hoc Tukey test when p &lt; 0.05 were used for the data treatment. Significant increases on the muscular strength (p &lt; 0.01) were found in the three exercises analyzed between the first and the fourth familiarization session (2.4% in bench press, 3.4% in squat, and 5.4% in the arm curl). However, no statistically significant difference was found between the second and fourth familiarization sessions in the arm curl (p &gt; 0.05) as well as between the third and fourth sessions in the bench press and squat (p &gt; 0.05). The results indicate that the lack of previous familiarization with 1-RM tests may impair the muscular strength evaluation. Therefore, the performance of two to three familiarization sessions in adult men with previous experience with weightlifting is suggested for a more accurate muscular strength assessment by means of the 1-RM tests.","container-title":"Revista Brasileira de Medicina do Esporte","DOI":"10.1590/s1517-86922005000100004","issue":"1","title":"Influência do processo de familiarização para avaliação da força muscular em testes de 1-RM","volume":"11","author":[{"family":"Dias","given":"Raphael Mendes Ritti"},{"family":"Cyrino","given":"Edilson Serpeloni"},{"family":"Salvador","given":"Emanuel Péricles"},{"family":"Caldeira","given":"Lúcio Flávio Soares"},{"family":"Nakamura","given":"Fábio Yuzo"},{"family":"Papst","given":"Rafael Raul"},{"family":"Bruna","given":"Nelson"},{"family":"Gurjão","given":"André Luiz Demantova"}],"issued":{"date-parts":[["2005"]]}}}],"schema":"https://github.com/citation-style-language/schema/raw/master/csl-citation.json"} </w:instrText>
      </w:r>
      <w:r>
        <w:rPr>
          <w:rFonts w:hint="default" w:ascii="Times New Roman" w:hAnsi="Times New Roman" w:eastAsia="Times New Roman" w:cs="Times New Roman"/>
          <w:highlight w:val="none"/>
        </w:rPr>
        <w:fldChar w:fldCharType="separate"/>
      </w:r>
      <w:r>
        <w:rPr>
          <w:rFonts w:hint="default" w:ascii="Times New Roman" w:hAnsi="Times New Roman" w:eastAsia="Times New Roman" w:cs="Times New Roman"/>
          <w:highlight w:val="none"/>
          <w:lang w:val="pt-BR"/>
        </w:rPr>
        <w:t>[57]</w:t>
      </w:r>
      <w:r>
        <w:rPr>
          <w:rFonts w:hint="default" w:ascii="Times New Roman" w:hAnsi="Times New Roman" w:eastAsia="Times New Roman" w:cs="Times New Roman"/>
          <w:highlight w:val="none"/>
        </w:rPr>
        <w:fldChar w:fldCharType="end"/>
      </w:r>
      <w:r>
        <w:rPr>
          <w:rFonts w:hint="default" w:ascii="Times New Roman" w:hAnsi="Times New Roman" w:eastAsia="Times New Roman" w:cs="Times New Roman"/>
          <w:highlight w:val="none"/>
        </w:rPr>
        <w:t>. Para a validação do movimento estrito, o participante deverá manter pés na largura do quadril, glúteos e abdômen ativados, sendo desconsiderada a repetição que apresentar auxílio de impulsão de membros inferiores, elevação dos calcanhares do solo ou hiperextensão lombar excessiva. A conclusão válida da repetição exige a extensão completa dos cotovelos com a barra estabilizada acima da cabeça no plano vertical.</w:t>
      </w:r>
      <w:r>
        <w:rPr>
          <w:rFonts w:hint="default" w:ascii="Times New Roman" w:hAnsi="Times New Roman" w:eastAsia="Times New Roman" w:cs="Times New Roman"/>
          <w:highlight w:val="none"/>
          <w:lang w:val="pt-BR"/>
        </w:rPr>
        <w:t xml:space="preserve"> </w:t>
      </w:r>
      <w:r>
        <w:rPr>
          <w:rFonts w:hint="default" w:ascii="Times New Roman" w:hAnsi="Times New Roman" w:eastAsia="Times New Roman" w:cs="Times New Roman"/>
          <w:highlight w:val="none"/>
        </w:rPr>
        <w:t xml:space="preserve">Caso uma tentativa não seja completada com técnica estrita no último estágio, uma segunda tentativa será realizada após 3 minutos de repouso com redução de 5% da carga em relação à tentativa anterior. Havendo sucesso fácil na carga estimada de 100%, o participante terá a opção de realizar novas tentativas com incrementos de 5% até a determinação exata da carga de 1-RM. A força máxima no SP será expressa pela carga absoluta em quilogramas (kg) e pela força relativa à massa corporal total (kg/kg) </w:t>
      </w:r>
      <w:r>
        <w:rPr>
          <w:rFonts w:hint="default" w:ascii="Times New Roman" w:hAnsi="Times New Roman" w:eastAsia="Times New Roman" w:cs="Times New Roman"/>
          <w:highlight w:val="none"/>
        </w:rPr>
        <w:fldChar w:fldCharType="begin"/>
      </w:r>
      <w:r>
        <w:rPr>
          <w:rFonts w:hint="default" w:ascii="Times New Roman" w:hAnsi="Times New Roman" w:eastAsia="Times New Roman" w:cs="Times New Roman"/>
          <w:highlight w:val="none"/>
          <w:lang w:val="pt-BR"/>
        </w:rPr>
        <w:instrText xml:space="preserve"> ADDIN ZOTERO_ITEM CSL_CITATION {"citationID":"KwvKTcbj","properties":{"unsorted":false,"formattedCitation":"[53], [59]","plainCitation":"[53], [59]","noteIndex":0},"citationItems":[{"id":332,"uris":["http://zotero.org/users/17274952/items/3G6MAY8K"],"itemData":{"id":332,"type":"thesis","language":"pt","source":"Zotero","title":"A força máxima no shoulder press relativa à massa corporal é uma medida preditiva do  desempenho no strict handstand push-up dentro da modalidade CrossFit®?","author":[{"family":"Lemos","given":"Guilherme De Paula"}],"issued":{"date-parts":[["2024"]]}}},{"id":9,"uris":["http://zotero.org/users/17274952/items/PRWFRTC3"],"itemData":{"id":9,"type":"article-journal","container-title":"Sports Medicine","DOI":"10.2165/00007256-200232100-00002","ISSN":"0112-1642","issue":"10","journalAbbreviation":"Sports Medicine","language":"en","page":"615-631","source":"DOI.org (Crossref)","title":"Muscle Strength Testing: Use of Normalisation for Body Size","title-short":"Muscle Strength Testing","volume":"32","author":[{"family":"Jaric","given":"Slobodan"}],"issued":{"date-parts":[["2002"]]}}}],"schema":"https://github.com/citation-style-language/schema/raw/master/csl-citation.json"} </w:instrText>
      </w:r>
      <w:r>
        <w:rPr>
          <w:rFonts w:hint="default" w:ascii="Times New Roman" w:hAnsi="Times New Roman" w:eastAsia="Times New Roman" w:cs="Times New Roman"/>
          <w:highlight w:val="none"/>
        </w:rPr>
        <w:fldChar w:fldCharType="separate"/>
      </w:r>
      <w:r>
        <w:rPr>
          <w:rFonts w:hint="default" w:ascii="Times New Roman" w:hAnsi="Times New Roman" w:eastAsia="Times New Roman" w:cs="Times New Roman"/>
          <w:highlight w:val="none"/>
          <w:lang w:val="pt-BR"/>
        </w:rPr>
        <w:t>[53], [59]</w:t>
      </w:r>
      <w:r>
        <w:rPr>
          <w:rFonts w:hint="default" w:ascii="Times New Roman" w:hAnsi="Times New Roman" w:eastAsia="Times New Roman" w:cs="Times New Roman"/>
          <w:highlight w:val="none"/>
        </w:rPr>
        <w:fldChar w:fldCharType="end"/>
      </w:r>
      <w:r>
        <w:rPr>
          <w:rFonts w:hint="default" w:ascii="Times New Roman" w:hAnsi="Times New Roman" w:eastAsia="Times New Roman" w:cs="Times New Roman"/>
          <w:highlight w:val="none"/>
        </w:rPr>
        <w:t>. Após a conclusão do teste de 1-RM, será concedido um período de repouso passivo de 8 minutos para a ressíntese dos estoques energéticos antes do teste final de resistência isométrica.</w:t>
      </w:r>
    </w:p>
    <w:p w14:paraId="1F86B586">
      <w:pPr>
        <w:pStyle w:val="11"/>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textAlignment w:val="auto"/>
        <w:rPr>
          <w:rFonts w:hint="default" w:ascii="Times New Roman" w:hAnsi="Times New Roman" w:cs="Times New Roman"/>
        </w:rPr>
      </w:pPr>
      <w:r>
        <w:rPr>
          <w:rFonts w:hint="default" w:ascii="Times New Roman" w:hAnsi="Times New Roman" w:cs="Times New Roman"/>
        </w:rPr>
        <w:t>e) Teste de Resistência em Posição Invertida (</w:t>
      </w:r>
      <w:r>
        <w:rPr>
          <w:rFonts w:hint="default" w:ascii="Times New Roman" w:hAnsi="Times New Roman" w:cs="Times New Roman"/>
          <w:i/>
          <w:iCs/>
        </w:rPr>
        <w:t>wall-supported HS</w:t>
      </w:r>
      <w:r>
        <w:rPr>
          <w:rFonts w:hint="default" w:ascii="Times New Roman" w:hAnsi="Times New Roman" w:cs="Times New Roman"/>
        </w:rPr>
        <w:t>)</w:t>
      </w:r>
    </w:p>
    <w:p w14:paraId="294A95D0">
      <w:pPr>
        <w:keepNext w:val="0"/>
        <w:keepLines w:val="0"/>
        <w:pageBreakBefore w:val="0"/>
        <w:widowControl/>
        <w:suppressAutoHyphens w:val="0"/>
        <w:kinsoku/>
        <w:wordWrap/>
        <w:overflowPunct/>
        <w:topLinePunct w:val="0"/>
        <w:autoSpaceDE/>
        <w:autoSpaceDN/>
        <w:bidi w:val="0"/>
        <w:adjustRightInd/>
        <w:snapToGrid/>
        <w:spacing w:beforeAutospacing="0" w:after="0" w:afterAutospacing="0" w:line="360" w:lineRule="auto"/>
        <w:ind w:firstLine="708" w:firstLineChars="0"/>
        <w:jc w:val="both"/>
        <w:textAlignment w:val="auto"/>
        <w:rPr>
          <w:rFonts w:hint="default" w:ascii="Times New Roman" w:hAnsi="Times New Roman" w:eastAsia="Times New Roman" w:cs="Times New Roman"/>
        </w:rPr>
      </w:pPr>
      <w:r>
        <w:rPr>
          <w:rFonts w:hint="default" w:ascii="Times New Roman" w:hAnsi="Times New Roman" w:eastAsia="Times New Roman" w:cs="Times New Roman"/>
        </w:rPr>
        <w:t xml:space="preserve">A resistência muscular isométrica dos membros superiores em posição invertida será avaliada por meio do tempo máximo de sustentação (em segundos) no HS com o ventre voltado para a parede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{"citationID":"iSLUpIZV","properties":{"unsorted":false,"formattedCitation":"[19], [27]","plainCitation":"[19], [27]","noteIndex":0},"citationItems":[{"id":319,"uris":["http://zotero.org/users/17274952/items/PUS5K2KW"],"itemData":{"id":319,"type":"article-journal","issue":"10","language":"en","source":"Zotero","title":"Influence of Strength Abilities on Quality of the Handstand","volume":"7","author":[{"family":"Hedbávný","given":"P"},{"family":"Bago","given":"G"},{"family":"Kalichová","given":"M"}],"issued":{"date-parts":[["2013"]]}}},{"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[19], [27]</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Para padronização da base de sustentação, será fixada uma fita adesiva no solo demarcando o limite de posicionamento das mãos a 20 cm da parede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{"citationID":"M2NMI0ab","properties":{"unsorted":false,"formattedCitation":"[60]","plainCitation":"[60]","noteIndex":0},"citationItems":[{"id":37,"uris":["http://zotero.org/users/17274952/items/QWZYMZ6N"],"itemData":{"id":37,"type":"book","collection-title":"Medicine and Sport Science","DOI":"10.1159/isbn.978-3-318-00894-4","ISBN":"978-3-8055-7476-1","language":"en","publisher":"S. Karger AG","source":"DOI.org (Crossref)","title":"Scientific Aspects of Women's Gymnastics","URL":"https://karger.com/book/doi/10.1159/isbn.978-3-318-00894-4","volume":"45","author":[{"family":"Sands","given":"W.A."},{"family":"Caine","given":"D.J."},{"family":"Borms","given":"J."}],"accessed":{"date-parts":[["2026",4,15]]},"issued":{"date-parts":[["2002",10,31]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[60]</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O participante assumirá a postura invertida por meio de escalada pela parede (</w:t>
      </w:r>
      <w:r>
        <w:rPr>
          <w:rFonts w:hint="default" w:ascii="Times New Roman" w:hAnsi="Times New Roman" w:eastAsia="Times New Roman" w:cs="Times New Roman"/>
          <w:i/>
          <w:iCs/>
        </w:rPr>
        <w:t>wall</w:t>
      </w:r>
      <w:r>
        <w:rPr>
          <w:rFonts w:hint="default" w:ascii="Times New Roman" w:hAnsi="Times New Roman" w:eastAsia="Times New Roman" w:cs="Times New Roman"/>
        </w:rPr>
        <w:t>-</w:t>
      </w:r>
      <w:r>
        <w:rPr>
          <w:rFonts w:hint="default" w:ascii="Times New Roman" w:hAnsi="Times New Roman" w:eastAsia="Times New Roman" w:cs="Times New Roman"/>
          <w:i/>
          <w:iCs/>
        </w:rPr>
        <w:t>walk</w:t>
      </w:r>
      <w:r>
        <w:rPr>
          <w:rFonts w:hint="default" w:ascii="Times New Roman" w:hAnsi="Times New Roman" w:eastAsia="Times New Roman" w:cs="Times New Roman"/>
        </w:rPr>
        <w:t xml:space="preserve">), alinhando as mãos na largura dos ombros com as pontas dos dedos sobre a demarcação e mantendo apenas o dorso dos pés e a ponta dos dedos em contato com a estrutura vertical, com o corpo posicionado no maior alinhamento vertical possível. O participante será instruído a sustentar a postura até a exaustão voluntária máxima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{"citationID":"MzlS9Q6b","properties":{"unsorted":false,"formattedCitation":"[46], [47]","plainCitation":"[46], [47]","noteIndex":0},"citationItems":[{"id":311,"uris":["http://zotero.org/users/17274952/items/JSG8TTN4"],"itemData":{"id":311,"type":"book","abstract":"\"ACSM's Guidelines for Exercise Testing and prescription delivers best-practice instructions on how to administer exercise tests across both healthy and clinical populations; and how to prescribe exercise to those populations after completing and interpreting those tests. It serves as the basis for practice for health and fitness professionals; allied health practitioners; researchers; and sports medicine practitioners teams physicians. Even other health and fitness organizations turn to ACSM for guidance on best practices\"--","call-number":"RC684.E9","edition":"Twelfth edition","ISBN":"978-1-9752-1920-8","publisher":"Wolters Kluwer","publisher-place":"Philadelphia, PA","source":"Library of Congress ISBN","title":"ACSM's guidelines for exercise testing and prescription","editor":[{"literal":"American College of Sports Medicine"},{"family":"Ozemek","given":"Cemal"},{"family":"Bonikowske","given":"Amanda R."},{"family":"Christle","given":"Jeffrey W."},{"family":"Gallo","given":"Paul M."}],"issued":{"date-parts":[["2026"]]}}},{"id":1,"uris":["http://zotero.org/users/17274952/items/XDV7JVW7"],"itemData":{"id":1,"type":"book","edition":"Fifth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[46], [47]</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Os critérios para interrupção do teste e registro do tempo final serão: incapacidade mecânica de manter a extensão dos cotovelos (flexão visível superior a 15°), perda do contato dos pés com a parede, colapso escapular com toque do tronco na parede ou término voluntário do esforço por fadiga</w:t>
      </w:r>
      <w:r>
        <w:rPr>
          <w:rFonts w:hint="default" w:ascii="Times New Roman" w:hAnsi="Times New Roman" w:eastAsia="Times New Roman" w:cs="Times New Roman"/>
          <w:lang w:val="pt-BR"/>
        </w:rPr>
        <w:t xml:space="preserve"> </w:t>
      </w:r>
      <w:r>
        <w:rPr>
          <w:rFonts w:hint="default" w:ascii="Times New Roman" w:hAnsi="Times New Roman" w:eastAsia="Times New Roman" w:cs="Times New Roman"/>
          <w:lang w:val="pt-BR"/>
        </w:rPr>
        <w:fldChar w:fldCharType="begin"/>
      </w:r>
      <w:r>
        <w:rPr>
          <w:rFonts w:hint="default" w:ascii="Times New Roman" w:hAnsi="Times New Roman" w:eastAsia="Times New Roman" w:cs="Times New Roman"/>
          <w:lang w:val="pt-BR"/>
        </w:rPr>
        <w:instrText xml:space="preserve"> ADDIN ZOTERO_ITEM CSL_CITATION {"citationID":"DEWyouRY","properties":{"unsorted":false,"formattedCitation":"[19], [27]","plainCitation":"[19], [27]","noteIndex":0},"citationItems":[{"id":319,"uris":["http://zotero.org/users/17274952/items/PUS5K2KW"],"itemData":{"id":319,"type":"article-journal","issue":"10","language":"en","source":"Zotero","title":"Influence of Strength Abilities on Quality of the Handstand","volume":"7","author":[{"family":"Hedbávný","given":"P"},{"family":"Bago","given":"G"},{"family":"Kalichová","given":"M"}],"issued":{"date-parts":[["2013"]]}}},{"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w:instrText>
      </w:r>
      <w:r>
        <w:rPr>
          <w:rFonts w:hint="default" w:ascii="Times New Roman" w:hAnsi="Times New Roman" w:eastAsia="Times New Roman" w:cs="Times New Roman"/>
          <w:lang w:val="pt-BR"/>
        </w:rPr>
        <w:fldChar w:fldCharType="separate"/>
      </w:r>
      <w:r>
        <w:rPr>
          <w:rFonts w:hint="default" w:ascii="Times New Roman" w:hAnsi="Times New Roman" w:eastAsia="Times New Roman" w:cs="Times New Roman"/>
          <w:lang w:val="pt-BR"/>
        </w:rPr>
        <w:t>[19], [27]</w:t>
      </w:r>
      <w:r>
        <w:rPr>
          <w:rFonts w:hint="default" w:ascii="Times New Roman" w:hAnsi="Times New Roman" w:eastAsia="Times New Roman" w:cs="Times New Roman"/>
          <w:lang w:val="pt-BR"/>
        </w:rPr>
        <w:fldChar w:fldCharType="end"/>
      </w:r>
      <w:r>
        <w:rPr>
          <w:rFonts w:hint="default" w:ascii="Times New Roman" w:hAnsi="Times New Roman" w:eastAsia="Times New Roman" w:cs="Times New Roman"/>
        </w:rPr>
        <w:t>. O tempo de sustentação será cronometrado com precisão de centésimos de segundo utilizando um cronômetro digital (Casio®, modelo HS-80TW-BU, Tóquio, Japão). Serão realizadas duas tentativas máximas, intercaladas por um intervalo de recuperação passiva de 5 minutos, sendo o maior tempo retido para as análises estatísticas.</w:t>
      </w:r>
    </w:p>
    <w:p w14:paraId="30BED911">
      <w:pPr>
        <w:widowControl w:val="0"/>
        <w:spacing w:line="360" w:lineRule="auto"/>
        <w:rPr>
          <w:rFonts w:hint="default" w:ascii="Times New Roman" w:hAnsi="Times New Roman" w:cs="Times New Roman"/>
          <w:u w:val="none"/>
        </w:rPr>
      </w:pPr>
      <w:r>
        <w:rPr>
          <w:rFonts w:hint="default" w:ascii="Times New Roman" w:hAnsi="Times New Roman" w:eastAsia="Times New Roman" w:cs="Times New Roman"/>
          <w:u w:val="none"/>
          <w:lang w:val="pt-BR"/>
        </w:rPr>
        <w:t xml:space="preserve">3.4.2 </w:t>
      </w:r>
      <w:r>
        <w:rPr>
          <w:rFonts w:hint="default" w:ascii="Times New Roman" w:hAnsi="Times New Roman" w:eastAsia="Times New Roman" w:cs="Times New Roman"/>
          <w:u w:val="none"/>
        </w:rPr>
        <w:t xml:space="preserve">Sessão 2 - Avaliação de desempenho </w:t>
      </w:r>
      <w:r>
        <w:rPr>
          <w:rFonts w:hint="default" w:ascii="Times New Roman" w:hAnsi="Times New Roman" w:eastAsia="Times New Roman" w:cs="Times New Roman"/>
          <w:i/>
          <w:u w:val="none"/>
        </w:rPr>
        <w:t xml:space="preserve">do </w:t>
      </w:r>
      <w:r>
        <w:rPr>
          <w:rFonts w:hint="default" w:ascii="Times New Roman" w:hAnsi="Times New Roman" w:eastAsia="Times New Roman" w:cs="Times New Roman"/>
          <w:i/>
          <w:iCs/>
          <w:u w:val="none"/>
        </w:rPr>
        <w:t>HS</w:t>
      </w:r>
      <w:r>
        <w:rPr>
          <w:rFonts w:hint="default" w:ascii="Times New Roman" w:hAnsi="Times New Roman" w:eastAsia="Times New Roman" w:cs="Times New Roman"/>
          <w:i/>
          <w:u w:val="none"/>
        </w:rPr>
        <w:t xml:space="preserve"> </w:t>
      </w:r>
      <w:r>
        <w:rPr>
          <w:rFonts w:hint="default" w:ascii="Times New Roman" w:hAnsi="Times New Roman" w:eastAsia="Times New Roman" w:cs="Times New Roman"/>
          <w:u w:val="none"/>
        </w:rPr>
        <w:t xml:space="preserve">e </w:t>
      </w:r>
      <w:r>
        <w:rPr>
          <w:rFonts w:hint="default" w:ascii="Times New Roman" w:hAnsi="Times New Roman" w:eastAsia="Times New Roman" w:cs="Times New Roman"/>
          <w:i/>
          <w:iCs/>
          <w:u w:val="none"/>
        </w:rPr>
        <w:t>HSW</w:t>
      </w:r>
    </w:p>
    <w:p w14:paraId="3AB26515">
      <w:pPr>
        <w:widowControl w:val="0"/>
        <w:spacing w:line="360" w:lineRule="auto"/>
        <w:ind w:firstLine="720"/>
        <w:rPr>
          <w:rFonts w:hint="default" w:ascii="Times New Roman" w:hAnsi="Times New Roman" w:cs="Times New Roman"/>
        </w:rPr>
      </w:pPr>
      <w:r>
        <w:rPr>
          <w:rFonts w:hint="default" w:ascii="Times New Roman" w:hAnsi="Times New Roman" w:cs="Times New Roman"/>
        </w:rPr>
        <w:t xml:space="preserve">Para a captura da cinemática tridimensional, serão fixados 39 marcadores esféricos retrorrefletivos sobre pontos anatômicos através de todo o corpo, seguindo o protocolo padronizado Plug-in Gait Full Body (Vicon®, Oxford, Reino Unido), fundamentado no modelo biomecânico de Davis et al. (1991) e Kadaba et al. (1990)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{"citationID":"y3Pevodv","properties":{"unsorted":false,"formattedCitation":"[61], [62]","plainCitation":"[61], [62]","noteIndex":0},"citationItems":[{"id":19,"uris":["http://zotero.org/users/17274952/items/9YDQ4XD5"],"itemData":{"id":19,"type":"article-journal","container-title":"Human Movement Science","DOI":"10.1016/0167-9457(91)90046-Z","ISSN":"01679457","issue":"5","journalAbbreviation":"Human Movement Science","language":"en","license":"https://www.elsevier.com/tdm/userlicense/1.0/","page":"575-587","source":"DOI.org (Crossref)","title":"A gait analysis data collection and reduction technique","volume":"10","author":[{"family":"Davis","given":"Roy B."},{"family":"Õunpuu","given":"Sylvia"},{"family":"Tyburski","given":"Dennis"},{"family":"Gage","given":"James R."}],"issued":{"date-parts":[["1991",10]]}}},{"id":20,"uris":["http://zotero.org/users/17274952/items/QUJ85GYE"],"itemData":{"id":20,"type":"article-journal","abstract":"Abstract\n            A simple external marker system and algorithms for computing lower extremity joint angle motion during level walking were developed and implemented on a computer‐aided video motion analysis system (VICON). The concept of embedded axes and Euler rotation angles was used to define the three‐dimensional joint angle motion based on a set of body surface markers. Gait analysis was peformed on 40 normal young adults three times on three different test days at least 1 Week apart using the marker system. Angular motion of the hip, knee, and ankle joints and of the pelvis were obtained throughout a gait cycle utilizing the three‐dimensional trajectories of markers. The effect of uncertainties in defining the embedded axis on joint angles was demonstrated using sensitivity analysis. The errors in the estimation of joint angle motion were quantified with respect to the degree of error in the construction of embedded axes. The limitations of the model and the marker system in evaluating pathologic gait are discussed. The relatively small number of body surface markers used in the system render it easy to implement for use in routine clinical gait evaluations. Additionally, data presented in this paper should be a useful reference for describing and comparing pathologic gait patterns.","container-title":"Journal of Orthopaedic Research","DOI":"10.1002/jor.1100080310","ISSN":"0736-0266, 1554-527X","issue":"3","journalAbbreviation":"Journal Orthopaedic Research","language":"en","page":"383-392","source":"DOI.org (Crossref)","title":"Measurement of lower extremity kinematics during level walking","volume":"8","author":[{"family":"Kadaba","given":"M. P."},{"family":"Ramakrishnan","given":"H. K."},{"family":"Wootten","given":"M. E."}],"issued":{"date-parts":[["1990",5]]}}}],"schema":"https://github.com/citation-style-language/schema/raw/master/csl-citation.json"}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[61], [62]</w:t>
      </w:r>
      <w:r>
        <w:rPr>
          <w:rFonts w:hint="default" w:ascii="Times New Roman" w:hAnsi="Times New Roman" w:cs="Times New Roman"/>
        </w:rPr>
        <w:fldChar w:fldCharType="end"/>
      </w:r>
      <w:r>
        <w:rPr>
          <w:rFonts w:hint="default" w:ascii="Times New Roman" w:hAnsi="Times New Roman" w:cs="Times New Roman"/>
        </w:rPr>
        <w:t xml:space="preserve">. Adicionalmente a este protocolo padrão, e de forma específica para solucionar o desafio de oclusão óptica impostos pela tarefa de locomoção invertida (HSW), sobretudo nos marcadores dos ombros (LSHO e RSHO), serão fixados dois marcadores retrorrefletivos extras na região dorsal do participante, alinhados lateralmente ao marcador T10. Esta adaptação metodológica permitiu que estes dois marcadores extras operassem em conjunto com o C7 e o T10, formando um cluster de corpo rígido estável nas costas. Esta estrutura fixa fornece a base topográfica ininterrupta para que o algoritmo de reconstrução matemática (SVD) projete e recupere com precisão as coordenadas espaciais dos marcadores dos ombros em caso de falha de rastreamento pelas câmeras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{"citationID":"xn7f3MF5","properties":{"unsorted":false,"formattedCitation":"[63], [64]","plainCitation":"[63], [64]","noteIndex":0},"citationItems":[{"id":29,"uris":["http://zotero.org/users/17274952/items/39QW84UC"],"itemData":{"id":29,"type":"article-journal","container-title":"Journal of Biomechanics","DOI":"10.1016/0021-9290(94)00116-L","ISSN":"00219290","issue":"6","journalAbbreviation":"Journal of Biomechanics","language":"en","license":"https://www.elsevier.com/tdm/userlicense/1.0/","page":"733-737","source":"DOI.org (Crossref)","title":"A procedure for determining rigid body transformation parameters","volume":"28","author":[{"family":"Challis","given":"John H."}],"issued":{"date-parts":[["1995",6]]}}},{"id":30,"uris":["http://zotero.org/users/17274952/items/TNKF22X7"],"itemData":{"id":30,"type":"article-journal","container-title":"Acta Crystallographica Section A","DOI":"10.1107/S0567739476001873","ISSN":"0567-7394","issue":"5","journalAbbreviation":"Acta Cryst A","license":"http://journals.iucr.org/services/copyrightpolicy.html","page":"922-923","source":"DOI.org (Crossref)","title":"A solution for the best rotation to relate two sets of vectors","volume":"32","author":[{"family":"Kabsch","given":"W."}],"issued":{"date-parts":[["1976",9,1]]}}}],"schema":"https://github.com/citation-style-language/schema/raw/master/csl-citation.json"}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[63], [64]</w:t>
      </w:r>
      <w:r>
        <w:rPr>
          <w:rFonts w:hint="default" w:ascii="Times New Roman" w:hAnsi="Times New Roman" w:cs="Times New Roman"/>
        </w:rPr>
        <w:fldChar w:fldCharType="end"/>
      </w:r>
      <w:r>
        <w:rPr>
          <w:rFonts w:hint="default" w:ascii="Times New Roman" w:hAnsi="Times New Roman" w:cs="Times New Roman"/>
          <w:lang w:val="pt-BR"/>
        </w:rPr>
        <w:t xml:space="preserve">. </w:t>
      </w:r>
      <w:r>
        <w:rPr>
          <w:rFonts w:hint="default" w:ascii="Times New Roman" w:hAnsi="Times New Roman" w:cs="Times New Roman"/>
        </w:rPr>
        <w:t>Ressalta-se que o marcador clavicular (CLAV), classicamente utilizado em modelos eretos, foi intencionalmente suprimido da malha de reconstrução por ser metodologicamente irrelevante para as variáveis de centro de massa e articulares do presente estudo, mitigando assim a introdução de ruídos mecânicos no bloco rígido torácico. </w:t>
      </w:r>
    </w:p>
    <w:p w14:paraId="249A322D">
      <w:pPr>
        <w:widowControl w:val="0"/>
        <w:spacing w:line="360" w:lineRule="auto"/>
        <w:ind w:firstLine="720"/>
        <w:rPr>
          <w:rFonts w:hint="default" w:ascii="Times New Roman" w:hAnsi="Times New Roman" w:eastAsia="Times New Roman" w:cs="Times New Roman"/>
        </w:rPr>
      </w:pPr>
      <w:r>
        <w:rPr>
          <w:rFonts w:ascii="Times New Roman" w:hAnsi="Times New Roman"/>
          <w:b w:val="0"/>
          <w:i w:val="0"/>
        </w:rPr>
        <w:t>Com o participante já instrumentado com os marcadores retrorreflexivos, será executado um protocolo padronizado de aquecimento e preparação neuromuscular específico. O protocolo compreenderá: a) mobilidade dinâmica em pé com circundução de punhos e abertura torácica na parede (</w:t>
      </w:r>
      <w:r>
        <w:rPr>
          <w:rFonts w:ascii="Times New Roman" w:hAnsi="Times New Roman"/>
          <w:b w:val="0"/>
          <w:i/>
        </w:rPr>
        <w:t>wall opener</w:t>
      </w:r>
      <w:r>
        <w:rPr>
          <w:rFonts w:ascii="Times New Roman" w:hAnsi="Times New Roman"/>
          <w:b w:val="0"/>
          <w:i w:val="0"/>
        </w:rPr>
        <w:t>, cinco respirações profundas), além de sobrecarga axial palmar em quatro apoios sem tocar o tronco no solo; b) ativação da cintura escapular e estabilidade unimanual por meio de flexões escapulares em prancha alta (</w:t>
      </w:r>
      <w:r>
        <w:rPr>
          <w:rFonts w:ascii="Times New Roman" w:hAnsi="Times New Roman"/>
          <w:b w:val="0"/>
          <w:i/>
        </w:rPr>
        <w:t>scapular push-ups</w:t>
      </w:r>
      <w:r>
        <w:rPr>
          <w:rFonts w:ascii="Times New Roman" w:hAnsi="Times New Roman"/>
          <w:b w:val="0"/>
          <w:i w:val="0"/>
        </w:rPr>
        <w:t>, oito a dez repetições) e toques alternados nos ombros em posição de V invertido (</w:t>
      </w:r>
      <w:r>
        <w:rPr>
          <w:rFonts w:ascii="Times New Roman" w:hAnsi="Times New Roman"/>
          <w:b w:val="0"/>
          <w:i/>
        </w:rPr>
        <w:t>shoulder taps</w:t>
      </w:r>
      <w:r>
        <w:rPr>
          <w:rFonts w:ascii="Times New Roman" w:hAnsi="Times New Roman"/>
          <w:b w:val="0"/>
          <w:i w:val="0"/>
        </w:rPr>
        <w:t xml:space="preserve"> em </w:t>
      </w:r>
      <w:r>
        <w:rPr>
          <w:rFonts w:ascii="Times New Roman" w:hAnsi="Times New Roman"/>
          <w:b w:val="0"/>
          <w:i/>
        </w:rPr>
        <w:t>pike</w:t>
      </w:r>
      <w:r>
        <w:rPr>
          <w:rFonts w:ascii="Times New Roman" w:hAnsi="Times New Roman"/>
          <w:b w:val="0"/>
          <w:i w:val="0"/>
        </w:rPr>
        <w:t xml:space="preserve">, dez repetições); e c) acomodação vestibular e calibração proprioceptiva da estratégia de </w:t>
      </w:r>
      <w:r>
        <w:rPr>
          <w:rFonts w:hint="default" w:ascii="Times New Roman" w:hAnsi="Times New Roman"/>
          <w:b w:val="0"/>
          <w:i w:val="0"/>
          <w:lang w:val="pt-BR"/>
        </w:rPr>
        <w:t>equilíbrio</w:t>
      </w:r>
      <w:r>
        <w:rPr>
          <w:rFonts w:ascii="Times New Roman" w:hAnsi="Times New Roman"/>
          <w:b w:val="0"/>
          <w:i w:val="0"/>
        </w:rPr>
        <w:t>, mediante uma subida rápida de frente para a parede (</w:t>
      </w:r>
      <w:r>
        <w:rPr>
          <w:rFonts w:ascii="Times New Roman" w:hAnsi="Times New Roman"/>
          <w:b w:val="0"/>
          <w:i/>
        </w:rPr>
        <w:t>belly-to-wall</w:t>
      </w:r>
      <w:r>
        <w:rPr>
          <w:rFonts w:ascii="Times New Roman" w:hAnsi="Times New Roman"/>
          <w:b w:val="0"/>
          <w:i w:val="0"/>
        </w:rPr>
        <w:t>, cinco a oito segundos) e uma subida de costas para a parede (</w:t>
      </w:r>
      <w:r>
        <w:rPr>
          <w:rFonts w:ascii="Times New Roman" w:hAnsi="Times New Roman"/>
          <w:b w:val="0"/>
          <w:i/>
        </w:rPr>
        <w:t>back-to-wall</w:t>
      </w:r>
      <w:r>
        <w:rPr>
          <w:rFonts w:ascii="Times New Roman" w:hAnsi="Times New Roman"/>
          <w:b w:val="0"/>
          <w:i w:val="0"/>
        </w:rPr>
        <w:t xml:space="preserve">) em que o pesquisador auxiliará três micro-descolamentos dos pés </w:t>
      </w:r>
      <w:r>
        <w:rPr>
          <w:rFonts w:hint="default" w:ascii="Times New Roman" w:hAnsi="Times New Roman"/>
          <w:b w:val="0"/>
          <w:i w:val="0"/>
          <w:lang w:val="pt-BR"/>
        </w:rPr>
        <w:t>para fora da parede</w:t>
      </w:r>
      <w:r>
        <w:rPr>
          <w:rFonts w:ascii="Times New Roman" w:hAnsi="Times New Roman"/>
          <w:b w:val="0"/>
          <w:i w:val="0"/>
        </w:rPr>
        <w:t xml:space="preserve">. A seguir, a coleta começará com as tentativas no </w:t>
      </w:r>
      <w:r>
        <w:rPr>
          <w:rFonts w:ascii="Times New Roman" w:hAnsi="Times New Roman"/>
          <w:b w:val="0"/>
          <w:i/>
        </w:rPr>
        <w:t>HS</w:t>
      </w:r>
      <w:r>
        <w:rPr>
          <w:rFonts w:ascii="Times New Roman" w:hAnsi="Times New Roman"/>
          <w:b w:val="0"/>
          <w:i w:val="0"/>
        </w:rPr>
        <w:t xml:space="preserve">, que servirão também como preparação específica para as passadas dinâmicas no </w:t>
      </w:r>
      <w:r>
        <w:rPr>
          <w:rFonts w:ascii="Times New Roman" w:hAnsi="Times New Roman"/>
          <w:b w:val="0"/>
          <w:i/>
        </w:rPr>
        <w:t>HSW</w:t>
      </w:r>
      <w:r>
        <w:rPr>
          <w:rFonts w:ascii="Times New Roman" w:hAnsi="Times New Roman"/>
          <w:b w:val="0"/>
          <w:i w:val="0"/>
        </w:rPr>
        <w:t>.</w:t>
      </w:r>
    </w:p>
    <w:p w14:paraId="4A83A963">
      <w:pPr>
        <w:widowControl w:val="0"/>
        <w:shd w:val="clear" w:color="auto" w:fill="FFFFFF"/>
        <w:spacing w:line="360" w:lineRule="auto"/>
        <w:rPr>
          <w:rFonts w:hint="default" w:ascii="Times New Roman" w:hAnsi="Times New Roman" w:cs="Times New Roman"/>
        </w:rPr>
      </w:pPr>
      <w:r>
        <w:rPr>
          <w:rFonts w:hint="default" w:ascii="Times New Roman" w:hAnsi="Times New Roman" w:eastAsia="Times New Roman" w:cs="Times New Roman"/>
        </w:rPr>
        <w:t xml:space="preserve">a) Teste de desempenho no </w:t>
      </w:r>
      <w:r>
        <w:rPr>
          <w:rFonts w:hint="default" w:ascii="Times New Roman" w:hAnsi="Times New Roman" w:eastAsia="Times New Roman" w:cs="Times New Roman"/>
          <w:i/>
          <w:iCs/>
        </w:rPr>
        <w:t>HS</w:t>
      </w:r>
    </w:p>
    <w:p w14:paraId="6275B03C">
      <w:pPr>
        <w:widowControl w:val="0"/>
        <w:shd w:val="clear" w:color="auto" w:fill="FFFFFF"/>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Para a avaliação do equilíbrio estático, os participantes irão realizar a </w:t>
      </w:r>
      <w:r>
        <w:rPr>
          <w:rFonts w:hint="default" w:ascii="Times New Roman" w:hAnsi="Times New Roman" w:eastAsia="Times New Roman" w:cs="Times New Roman"/>
          <w:i/>
          <w:iCs/>
        </w:rPr>
        <w:t>HS</w:t>
      </w:r>
      <w:r>
        <w:rPr>
          <w:rFonts w:hint="default" w:ascii="Times New Roman" w:hAnsi="Times New Roman" w:eastAsia="Times New Roman" w:cs="Times New Roman"/>
        </w:rPr>
        <w:t xml:space="preserve"> sobre uma plataforma de força (Bertec®, Columbus, OH, USA) integrada e sincronizada ao sistema de captura de movimento (Vicon®) que registrarão simultaneamente os parâmetros cinemáticos (ângulos articulares de punhos, ombros, quadril e cabeça, altura do centro de massa, base de apoio) e estabilométricos (oscilação entre CoM e CoP e ApEn).</w:t>
      </w:r>
    </w:p>
    <w:p w14:paraId="380607EB">
      <w:pPr>
        <w:pStyle w:val="11"/>
        <w:spacing w:before="0" w:beforeAutospacing="0" w:after="0" w:afterAutospacing="0" w:line="360" w:lineRule="auto"/>
        <w:ind w:firstLine="708"/>
        <w:jc w:val="both"/>
        <w:rPr>
          <w:rFonts w:hint="default" w:ascii="Times New Roman" w:hAnsi="Times New Roman" w:cs="Times New Roman"/>
        </w:rPr>
      </w:pPr>
      <w:r>
        <w:rPr>
          <w:rFonts w:ascii="Times New Roman" w:hAnsi="Times New Roman"/>
        </w:rPr>
        <w:t>O protocolo de coleta consistirá em seis tentativas totais, organizadas em dois blocos: até três tentativas com entrada assistida e três tentativas de entrada livre. Os participantes posicionarão as mãos sobre a plataforma utilizando a distância e rotação das mãos de sua preferência. O bloco de entradas assistidas será realizado primeiro para garantir que o participante estabilize a postura com menor esforço, servindo também como familiarização ao ambiente e condições de coleta. Neste bloco o pesquisador auxiliará o participante a atingir a posição invertida e o estabilizará pelo apoio nas pernas, liberando o contato manual assim que o sujeito sinalizar controle da posição. Para garantir a marcação precisa e objetiva do início equilíbrio, um marcador retrorrefletivo será fixado na mão do pesquisador. O início cronometrado da fase de estabilização do participante será delimitado algoritmicamente a partir do momento em que a distância espacial entre a mão do pesquisador e os membros inferiores do voluntário indicar perda total de contato mecânico. Para a avaliação do desempenho e composição dos modelos estatísticos do HS, será retido o melhor tempo de sustentação (em segundos) obtido entre as tentativas válidas.</w:t>
      </w:r>
      <w:r>
        <w:rPr>
          <w:rFonts w:ascii="Times New Roman" w:hAnsi="Times New Roman"/>
          <w:highlight w:val="yellow"/>
        </w:rPr>
        <w:t xml:space="preserve"> Adicionalmente, será registrado em qual tentativa ocorreu o tempo máximo de sustentação (tentativa de pico: T1, T2 ou T3), permitindo investigar padrões de calibração proprioceptiva ou fadiga aguda.</w:t>
      </w:r>
      <w:r>
        <w:rPr>
          <w:rFonts w:ascii="Times New Roman" w:hAnsi="Times New Roman"/>
        </w:rPr>
        <w:t xml:space="preserve"> Com o intuito de prevenir a indução de fadiga neuromuscular acumulada nos membros superiores e na cintura escapular antes do teste subsequente de locomoção dinâmica (HSW), adotar-se-á uma regra de parada por desempenho satisfatório: caso o participante atinja uma sustentação igual ou superior a 30 segundos (≥ 30 s) e relate voluntariamente ter alcançado sua marca representativa máxima em uma tentativa válida, ele será liberado das tentativas subsequentes deste bloco para descansar e se poupar para o HSW. Ressalta-se que não haverá estipulação de teto de tempo de corte durante a execução da tentativa (sendo facultado ao voluntário sustentar a posição pelo tempo máximo que for capaz durante a sua execução). Tentativas adicionais (até o limite de três) serão realizadas unicamente em caso de queda prematura por desajuste na ascensão/soltura ou caso o sujeito reporte plenas condições de superar a marca precedente. Uma pausa de 3 minutos será feita após esse bloco, antes das tentativas livres.  Neste bloco o participante utilizará a técnica de entrada (kick-up) que lhe for mais natural e eficiente. Entre cada tentativa realizada, será respeitado um intervalo de repouso de 90 segundos, visando minimizar os efeitos da fadiga muscular acumulada nos membros superiores e estabilizadores do tronco.</w:t>
      </w:r>
      <w:r>
        <w:rPr>
          <w:rFonts w:ascii="Times New Roman" w:hAnsi="Times New Roman"/>
          <w:highlight w:val="yellow"/>
        </w:rPr>
        <w:t xml:space="preserve"> No bloco livre, o participante realizará obrigatoriamente as três tentativas de entrada, de modo a possibilitar a mensuração da consistência e da taxa de sucesso motor (proporção de êxito entre as tentativas). Com o intuito de poupar a musculatura para o HSW subsequente, o atleta poderá expressar sua marca máxima de sustentação em uma das tentativas; nas demais, caso já tenha atingido seu tempo representativo máximo, ele só precisará sustentar por no mínimo 3 segundos contínuos (critério de validação técnica) e descer de forma voluntária e controlada, sem a necessidade de buscar a exaustão em todas as três. Da mesma forma que no bloco assistido, será mapeada a tentativa em que ocorreu o tempo máximo nas entradas livres (T1, T2 ou T3).</w:t>
      </w:r>
    </w:p>
    <w:p w14:paraId="5A6A8AC0">
      <w:pPr>
        <w:widowControl w:val="0"/>
        <w:shd w:val="clear" w:color="auto" w:fill="FFFFFF"/>
        <w:spacing w:line="360" w:lineRule="auto"/>
        <w:rPr>
          <w:rFonts w:hint="default" w:ascii="Times New Roman" w:hAnsi="Times New Roman" w:cs="Times New Roman"/>
        </w:rPr>
      </w:pPr>
      <w:r>
        <w:rPr>
          <w:rFonts w:hint="default" w:ascii="Times New Roman" w:hAnsi="Times New Roman" w:eastAsia="Times New Roman" w:cs="Times New Roman"/>
        </w:rPr>
        <w:t xml:space="preserve">b) Teste de desempenho no </w:t>
      </w:r>
      <w:r>
        <w:rPr>
          <w:rFonts w:hint="default" w:ascii="Times New Roman" w:hAnsi="Times New Roman" w:eastAsia="Times New Roman" w:cs="Times New Roman"/>
          <w:i/>
          <w:iCs/>
        </w:rPr>
        <w:t>HSW</w:t>
      </w:r>
    </w:p>
    <w:p w14:paraId="2B19B528">
      <w:pPr>
        <w:pStyle w:val="11"/>
        <w:spacing w:before="0" w:beforeAutospacing="0" w:after="0" w:afterAutospacing="0" w:line="360" w:lineRule="auto"/>
        <w:ind w:firstLine="708"/>
        <w:jc w:val="both"/>
        <w:rPr>
          <w:rFonts w:hint="default" w:ascii="Times New Roman" w:hAnsi="Times New Roman" w:cs="Times New Roman"/>
        </w:rPr>
      </w:pPr>
      <w:r>
        <w:rPr>
          <w:rFonts w:ascii="Times New Roman" w:hAnsi="Times New Roman"/>
        </w:rPr>
        <w:t xml:space="preserve">Após um intervalo de 10 minutos, para assegurar a recuperação plena dos sistemas neuromusculares após os testes estático da HS, será iniciada a avaliação DO HSW. Para este teste, os participantes deverão realizar o deslocamento em linha reta, tendo como requisito obrigatório o posicionamento inicial das mãos dentro de uma área retangular delimitada no solo, correspondente à zona de calibração e captura inicial do sistema de captura de movimento (Vicon®, Oxford, Reino Unido). A técnica de entrada será de livre escolha do praticante, permitindo o início a partir da posição em pé (através de um kick-up) ou já com as mãos posicionadas sobre a área demarcada antes do impulso inicial. </w:t>
      </w:r>
      <w:r>
        <w:rPr>
          <w:rFonts w:ascii="Times New Roman" w:hAnsi="Times New Roman"/>
          <w:highlight w:val="yellow"/>
        </w:rPr>
        <w:t>O protocolo consistirá em três tentativas válidas totais (em vez de cinco, prevenindo a degradação mecânica por fadiga periférica aguda nos ombros e punhos), intercaladas por 90 segundos de recuperação passiva. Para cada uma dessas três tentativas, o participante terá direito a até três entradas (tentativas de subida/chute) caso ocorra erro no ajuste inicial da ascensão antes do início dos passos. A distância linear percorrida só será validada e computada caso o participante atinja o critério mínimo de três passos manuais alternados; tentativas interrompidas por queda com apenas um ou dois passos não caracterizam locomoção contínua e serão consideradas nulas (distância zero). Como desfecho primário representativo do HSW, será mantida a mediana da distância percorrida entre as tentativas válidas, mitigando o impacto de valores atípicos.</w:t>
      </w:r>
      <w:r>
        <w:rPr>
          <w:rFonts w:ascii="Times New Roman" w:hAnsi="Times New Roman"/>
        </w:rPr>
        <w:t xml:space="preserve"> O objetivo será percorrer a maior distância possível, havendo limite de 5 metros por tentativa que corresponde ao limite de detecção do sistema de captura de movimento. O critério de falha para a interrupção da tentativa será definido pelo contato de qualquer parte do corpo com exceção das mãos. </w:t>
      </w:r>
    </w:p>
    <w:p w14:paraId="7C5A71C2">
      <w:pPr>
        <w:pStyle w:val="11"/>
        <w:spacing w:before="0" w:beforeAutospacing="0" w:after="0" w:afterAutospacing="0" w:line="360" w:lineRule="auto"/>
        <w:ind w:firstLine="708"/>
        <w:jc w:val="both"/>
        <w:rPr>
          <w:rFonts w:hint="default" w:ascii="Times New Roman" w:hAnsi="Times New Roman" w:cs="Times New Roman"/>
        </w:rPr>
      </w:pPr>
      <w:r>
        <w:rPr>
          <w:rFonts w:ascii="Times New Roman" w:hAnsi="Times New Roman"/>
        </w:rPr>
        <w:t xml:space="preserve">A restrição do volume total movimentos (três tentativas para cada condição estática e </w:t>
      </w:r>
      <w:r>
        <w:rPr>
          <w:rFonts w:ascii="Times New Roman" w:hAnsi="Times New Roman"/>
          <w:highlight w:val="yellow"/>
        </w:rPr>
        <w:t>três para o deslocamento dinâmico</w:t>
      </w:r>
      <w:r>
        <w:rPr>
          <w:rFonts w:ascii="Times New Roman" w:hAnsi="Times New Roman"/>
        </w:rPr>
        <w:t>) foi estabelecida metodologicamente para evitar o viés da fadiga neuromuscular localizada aguda e a sobrecarga do sistema vestibular, preservando assim a integridade cinemática do desempenho ótimo [19].</w:t>
      </w:r>
    </w:p>
    <w:p w14:paraId="3B354366">
      <w:pPr>
        <w:shd w:val="clear" w:color="auto" w:fill="FFFFFF" w:themeFill="background1"/>
        <w:suppressAutoHyphens w:val="0"/>
        <w:spacing w:line="360" w:lineRule="auto"/>
        <w:jc w:val="left"/>
        <w:rPr>
          <w:rFonts w:hint="default" w:ascii="Times New Roman" w:hAnsi="Times New Roman" w:eastAsia="Times New Roman" w:cs="Times New Roman"/>
          <w:u w:val="none"/>
        </w:rPr>
      </w:pPr>
      <w:r>
        <w:rPr>
          <w:rFonts w:hint="default" w:ascii="Times New Roman" w:hAnsi="Times New Roman" w:eastAsia="Times New Roman" w:cs="Times New Roman"/>
          <w:u w:val="none"/>
          <w:lang w:val="pt-BR"/>
        </w:rPr>
        <w:t xml:space="preserve">c) </w:t>
      </w:r>
      <w:r>
        <w:rPr>
          <w:rFonts w:hint="default" w:ascii="Times New Roman" w:hAnsi="Times New Roman" w:eastAsia="Times New Roman" w:cs="Times New Roman"/>
          <w:u w:val="none"/>
        </w:rPr>
        <w:t>Processamento e Tratamento de Dados</w:t>
      </w:r>
    </w:p>
    <w:p w14:paraId="0567637E">
      <w:pPr>
        <w:shd w:val="clear" w:color="auto" w:fill="FFFFFF" w:themeFill="background1"/>
        <w:suppressAutoHyphens w:val="0"/>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Os dados brutos de cinemática tridimensional e da plataforma de força, exportados no formato padrão C3D a partir do sistema Vicon Nexus, serão processados offline utilizando rotinas computacionais customizadas desenvolvidas na linguagem Python (versão 3.10+). A extração dos vetores de marcadores e dos canais analógicos será realizada através da biblioteca ezc3d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{"citationID":"Rk7a6vfA","properties":{"unsorted":false,"formattedCitation":"[65]","plainCitation":"[65]","noteIndex":0},"citationItems":[{"id":31,"uris":["http://zotero.org/users/17274952/items/6GX672J6"],"itemData":{"id":31,"type":"article-journal","abstract":"This work introduces the open source ezc3d library which provides a light and comprehensive API to easily read and write c3d files. The C++ core provides a fast file I/O library, and convenient MATLAB and Python3 interfaces are also provided so researchers can smoothly implement ezc3d in their current workflow. It supports c3d files from the main biomechanics software, namely: Vicon, Qualisys, Optotrak, BTS and XSens. In addition, since the c3d standard allows for multiple ways to store force platform data, a force platform analysis module is provided. The main feature of this module is to express forces and moments in more common reference frames—that is, expressed in the global reference frame calculated at either the origin or at the centre of pressure—so they can be directly interpreted by the user.","container-title":"Journal of Open Source Software","DOI":"10.21105/joss.02911","ISSN":"2475-9066","issue":"58","journalAbbreviation":"JOSS","language":"en","license":"http://creativecommons.org/licenses/by/4.0/","page":"2911","source":"DOI.org (Crossref)","title":"ezc3d: An easy C3D file I/O cross-platform solution for C++, Python and MATLAB","title-short":"ezc3d","volume":"6","author":[{"family":"Michaud","given":"Benjamin"},{"family":"Begon","given":"Mickaël"}],"issued":{"date-parts":[["2021",2,21]]}}}],"schema":"https://github.com/citation-style-language/schema/raw/master/csl-citation.json"}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[65]</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w:t>
      </w:r>
    </w:p>
    <w:p w14:paraId="17AEA55E">
      <w:pPr>
        <w:shd w:val="clear" w:color="auto" w:fill="FFFFFF" w:themeFill="background1"/>
        <w:suppressAutoHyphens w:val="0"/>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Devido à natureza da locomoção invertida do </w:t>
      </w:r>
      <w:r>
        <w:rPr>
          <w:rFonts w:hint="default" w:ascii="Times New Roman" w:hAnsi="Times New Roman" w:eastAsia="Times New Roman" w:cs="Times New Roman"/>
          <w:i/>
          <w:iCs/>
        </w:rPr>
        <w:t>HSW</w:t>
      </w:r>
      <w:r>
        <w:rPr>
          <w:rFonts w:hint="default" w:ascii="Times New Roman" w:hAnsi="Times New Roman" w:eastAsia="Times New Roman" w:cs="Times New Roman"/>
        </w:rPr>
        <w:t>, na qual os braços assumem a função de suporte, ocorre a oclusão inevitável dos marcadores dos ombros impostos pelos limites do volume de captura e pela própria cabeça do participante. Para solucionar falhas de rastreamento (</w:t>
      </w:r>
      <w:r>
        <w:rPr>
          <w:rFonts w:hint="default" w:ascii="Times New Roman" w:hAnsi="Times New Roman" w:eastAsia="Times New Roman" w:cs="Times New Roman"/>
          <w:i/>
          <w:iCs/>
        </w:rPr>
        <w:t>gaps</w:t>
      </w:r>
      <w:r>
        <w:rPr>
          <w:rFonts w:hint="default" w:ascii="Times New Roman" w:hAnsi="Times New Roman" w:eastAsia="Times New Roman" w:cs="Times New Roman"/>
        </w:rPr>
        <w:t xml:space="preserve">) sem recorrer a métodos de interpolação não lineares que deformam a geometria anatômica, será empregado um algoritmo de projeção de corpo rígido fundamentado na Decomposição em Valores Singulares (SVD), também conhecido como Algoritmo de Kabsch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{"citationID":"JlkSMm5o","properties":{"unsorted":false,"formattedCitation":"[63], [64]","plainCitation":"[63], [64]","noteIndex":0},"citationItems":[{"id":29,"uris":["http://zotero.org/users/17274952/items/39QW84UC"],"itemData":{"id":29,"type":"article-journal","container-title":"Journal of Biomechanics","DOI":"10.1016/0021-9290(94)00116-L","ISSN":"00219290","issue":"6","journalAbbreviation":"Journal of Biomechanics","language":"en","license":"https://www.elsevier.com/tdm/userlicense/1.0/","page":"733-737","source":"DOI.org (Crossref)","title":"A procedure for determining rigid body transformation parameters","volume":"28","author":[{"family":"Challis","given":"John H."}],"issued":{"date-parts":[["1995",6]]}}},{"id":30,"uris":["http://zotero.org/users/17274952/items/TNKF22X7"],"itemData":{"id":30,"type":"article-journal","container-title":"Acta Crystallographica Section A","DOI":"10.1107/S0567739476001873","ISSN":"0567-7394","issue":"5","journalAbbreviation":"Acta Cryst A","license":"http://journals.iucr.org/services/copyrightpolicy.html","page":"922-923","source":"DOI.org (Crossref)","title":"A solution for the best rotation to relate two sets of vectors","volume":"32","author":[{"family":"Kabsch","given":"W."}],"issued":{"date-parts":[["1976",9,1]]}}}],"schema":"https://github.com/citation-style-language/schema/raw/master/csl-citation.json"}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[63], [64]</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O algoritmo utilizará os marcadores fixos dorsais do tronco superior (ex: C7, T10 e dois referências extras) como um cluster de ancoragem para calcular a matriz de rotação e translação otimizada a cada frame, reconstruindo a posição fidedigna dos ombros com precisão submilimétrica durante toda a execução dinâmica. Diferentemente dos ombros, a reconstrução matemática de membros distais altamente independentes (mãos e pernas) via extrapolação de matrizes de rotação rígidas induz a severos artefatos cinemáticos, devido à amplificação do erro espacial ao longo da alavanca anatômica e à suscetibilidade aos artefatos de tecidos moles (</w:t>
      </w:r>
      <w:r>
        <w:rPr>
          <w:rFonts w:hint="default" w:ascii="Times New Roman" w:hAnsi="Times New Roman" w:eastAsia="Times New Roman" w:cs="Times New Roman"/>
          <w:i/>
          <w:iCs/>
        </w:rPr>
        <w:t>Soft Tissue Artifacts</w:t>
      </w:r>
      <w:r>
        <w:rPr>
          <w:rFonts w:hint="default" w:ascii="Times New Roman" w:hAnsi="Times New Roman" w:eastAsia="Times New Roman" w:cs="Times New Roman"/>
        </w:rPr>
        <w:t>)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{"citationID":"XlTHn7jV","properties":{"unsorted":false,"formattedCitation":"[66]","plainCitation":"[66]","noteIndex":0},"citationItems":[{"id":17,"uris":["http://zotero.org/users/17274952/items/8HMANWYC"],"itemData":{"id":17,"type":"article-journal","abstract":"This systematic review critically evaluates the quantiﬁcation of soft tissue artifact (STA) in lower limb human motion analysis. It has a speciﬁc focus on assessing the quality of previous studies and comparing quantitative results. A speciﬁc search strategy identiﬁed 20 published articles or abstracts that fulﬁlled the selection criteria. The quality of the articles was evaluated using a customised critical appraisal tool. Data extraction tools were used to identify key aspects reported in the articles. Most studies had small sample sizes of mostly young, slim participants. Eleven of the reviewed articles used physically invasive techniques to assess STA. STA was found to reach magnitudes of greater than 30 mm on the thigh segment, and up to 15 mm on the tibia. The range of soft tissue artifact reached greater than 25 mm in some cases when comparing the results of reviewed studies.","container-title":"Gait &amp; Posture","DOI":"10.1016/j.gaitpost.2009.09.004","ISSN":"09666362","issue":"1","journalAbbreviation":"Gait &amp; Posture","language":"en","license":"https://www.elsevier.com/tdm/userlicense/1.0/","page":"1-8","source":"DOI.org (Crossref)","title":"Quantification of soft tissue artifact in lower limb human motion analysis: A systematic review","title-short":"Quantification of soft tissue artifact in lower limb human motion analysis","volume":"31","author":[{"family":"Peters","given":"Alana"},{"family":"Galna","given":"Brook"},{"family":"Sangeux","given":"Morgan"},{"family":"Morris","given":"Meg"},{"family":"Baker","given":"Richard"}],"issued":{"date-parts":[["2010",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[66]</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Portanto, para solucionar as falhas de rastreamento de forma fidedigna nestes marcadores, o pipeline aplicará primariamente um filtro não-linear de mediana móvel para a exclusão de ruídos instantâneos e valores atípicos (picos artificiais / </w:t>
      </w:r>
      <w:r>
        <w:rPr>
          <w:rFonts w:hint="default" w:ascii="Times New Roman" w:hAnsi="Times New Roman" w:eastAsia="Times New Roman" w:cs="Times New Roman"/>
          <w:i/>
          <w:iCs/>
        </w:rPr>
        <w:t>spikes </w:t>
      </w:r>
      <w:r>
        <w:rPr>
          <w:rFonts w:hint="default" w:ascii="Times New Roman" w:hAnsi="Times New Roman" w:eastAsia="Times New Roman" w:cs="Times New Roman"/>
        </w:rPr>
        <w:t xml:space="preserve">&gt; 60 mm), preservando os limites reais do sinal cinemático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{"citationID":"H27JlAWq","properties":{"unsorted":false,"formattedCitation":"[67]","plainCitation":"[67]","noteIndex":0},"citationItems":[{"id":23,"uris":["http://zotero.org/users/17274952/items/SA7M78A3"],"itemData":{"id":23,"type":"book","abstract":"Research Methods in Biomechanics, Second Edition, demonstrates the range of available research techniques and how to best apply this knowledge to ensure valid data collection. In the highly technical field of biomechanics, research methods are frequently upgraded as the speed and sophistication of software and hardware technologies increase. With this in mind, the second edition includes up-to-date research methods and presents new information detailing advanced analytical tools for investigating human movement. Expanded into 14 chapters and reorganized into four parts, the improved second edition features more than 100 new pieces of art and illustrations and new chapters introducing the latest techniques and up-and-coming areas of research.\n            Research Methods in Biomechanics, Second Edition, assists readers in developing a comprehensive understanding of methods for quantifying human movement. Parts I and II of the text examine planar and three-dimensional kinematics and kinetics in research, issues of body segment parameters and forces, and energy, work, and power as they relate to analysis of two- and three-dimensional inverse dynamics. Two of the chapters have been extensively revised to reflect current research practices in biomechanics, in particular the widespread use of Visual3D software. Calculations from these two chapters are now located online with the supplemental software resource, making it easier for readers to grasp the progression of steps in the analysis. In part III, readers can explore the use of musculoskeletal models in analyzing human movement. This part also discusses electromyography, computer simulation, muscle modeling, and musculoskeletal modeling; it presents new information on MRI and ultrasound use in calculating muscle parameters. Part IV offers a revised chapter on additional analytical procedures, including signal processing techniques. Also included is a new chapter on movement analysis and dynamical systems, which focuses on how to assess and measure coordination and stability in changing movement patterns and the role of movement variability in health and disease. In addition, readers will find discussion of statistical tools useful for identifying the essential characteristics of any human movement.","DOI":"10.5040/9781492595809","edition":"2","ISBN":"978-1-4925-9580-9","language":"en","publisher":"Human Kinetics","source":"DOI.org (Crossref)","title":"Research Methods in Biomechanics","URL":"https://www.humankineticslibrary.com/encyclopedia?docid=b-9781492595809","author":[{"family":"Robertson","given":"D. Gordon E."},{"family":"Caldwell","given":"Graham E."},{"family":"Hamill","given":"Joseph"},{"family":"Kamen","given":"Gary"},{"family":"Whittlesey","given":"Saunders N."}],"accessed":{"date-parts":[["2026",7,21]]},"issued":{"date-parts":[["2014"]]}}}],"schema":"https://github.com/citation-style-language/schema/raw/master/csl-citation.json"}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[67]</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Sequencialmente, será realizado o preenchimento temporal das lacunas </w:t>
      </w:r>
      <w:r>
        <w:rPr>
          <w:rFonts w:hint="default" w:ascii="Times New Roman" w:hAnsi="Times New Roman" w:eastAsia="Times New Roman" w:cs="Times New Roman"/>
          <w:i/>
          <w:iCs/>
        </w:rPr>
        <w:t>(gap filling</w:t>
      </w:r>
      <w:r>
        <w:rPr>
          <w:rFonts w:hint="default" w:ascii="Times New Roman" w:hAnsi="Times New Roman" w:eastAsia="Times New Roman" w:cs="Times New Roman"/>
        </w:rPr>
        <w:t>) via interpolação matemática (</w:t>
      </w:r>
      <w:r>
        <w:rPr>
          <w:rFonts w:hint="default" w:ascii="Times New Roman" w:hAnsi="Times New Roman" w:eastAsia="Times New Roman" w:cs="Times New Roman"/>
          <w:i/>
          <w:iCs/>
        </w:rPr>
        <w:t>Spline</w:t>
      </w:r>
      <w:r>
        <w:rPr>
          <w:rFonts w:hint="default" w:ascii="Times New Roman" w:hAnsi="Times New Roman" w:eastAsia="Times New Roman" w:cs="Times New Roman"/>
        </w:rPr>
        <w:t xml:space="preserve">/PCHIP), um método validado para restaurar trajetórias de marcadores ocluídos garantindo a integridade e suavidade do sinal biomecânico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{"citationID":"HZVPDEWW","properties":{"unsorted":false,"formattedCitation":"[68]","plainCitation":"[68]","noteIndex":0},"citationItems":[{"id":16,"uris":["http://zotero.org/users/17274952/items/8ZV983QB"],"itemData":{"id":16,"type":"article-journal","container-title":"Computer Methods in Biomechanics and Biomedical Engineering","DOI":"10.1080/10255841003664701","ISSN":"1025-5842, 1476-8259","issue":"6","journalAbbreviation":"Computer Methods in Biomechanics and Biomedical Engineering","language":"en","page":"847-855","source":"DOI.org (Crossref)","title":"Quantitative assessment of the accuracy for three interpolation techniques in kinematic analysis of human movement","volume":"13","author":[{"family":"Howarth","given":"Samuel J."},{"family":"Callaghan","given":"Jack P."}],"issued":{"date-parts":[["2010",12]]}}}],"schema":"https://github.com/citation-style-language/schema/raw/master/csl-citation.json"}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eastAsia="Times New Roman" w:cs="Times New Roman"/>
          <w:lang w:val="pt-BR"/>
        </w:rPr>
        <w:t>[68]</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Adicionalmente, foi implementada uma rotina de auditoria visual rigorosa através de um gráfico, a qual sobrepõe instantaneamente as trajetórias verticais de todos os marcadores, permitindo a validação da continuidade do sinal e atestando a ausência de anomalias invisíveis na nuvem de pontos 3D pós-reconstrução</w:t>
      </w:r>
      <w:r>
        <w:rPr>
          <w:rFonts w:hint="default" w:ascii="Times New Roman" w:hAnsi="Times New Roman" w:eastAsia="Times New Roman" w:cs="Times New Roman"/>
          <w:b/>
          <w:bCs/>
        </w:rPr>
        <w:t xml:space="preserve">. </w:t>
      </w:r>
      <w:r>
        <w:rPr>
          <w:rFonts w:hint="default" w:ascii="Times New Roman" w:hAnsi="Times New Roman" w:eastAsia="Times New Roman" w:cs="Times New Roman"/>
        </w:rPr>
        <w:t>Para a extração das métricas, os sinais brutos passarão por pré-processamento para eliminação de ruídos experimentais e vibrações inerentes aos equipamentos sem que ocorra atraso de fase (</w:t>
      </w:r>
      <w:r>
        <w:rPr>
          <w:rFonts w:hint="default" w:ascii="Times New Roman" w:hAnsi="Times New Roman" w:eastAsia="Times New Roman" w:cs="Times New Roman"/>
          <w:i/>
          <w:iCs/>
        </w:rPr>
        <w:t>phase</w:t>
      </w:r>
      <w:r>
        <w:rPr>
          <w:rFonts w:hint="default" w:ascii="Times New Roman" w:hAnsi="Times New Roman" w:eastAsia="Times New Roman" w:cs="Times New Roman"/>
        </w:rPr>
        <w:t xml:space="preserve"> </w:t>
      </w:r>
      <w:r>
        <w:rPr>
          <w:rFonts w:hint="default" w:ascii="Times New Roman" w:hAnsi="Times New Roman" w:eastAsia="Times New Roman" w:cs="Times New Roman"/>
          <w:i/>
          <w:iCs/>
        </w:rPr>
        <w:t>shift</w:t>
      </w:r>
      <w:r>
        <w:rPr>
          <w:rFonts w:hint="default" w:ascii="Times New Roman" w:hAnsi="Times New Roman" w:eastAsia="Times New Roman" w:cs="Times New Roman"/>
        </w:rPr>
        <w:t xml:space="preserve">). Será aplicado um filtro digital passa-baixa Butterworth de 4ª ordem bidirecional (função filtfilt da biblioteca SciPy). A frequência de corte adotada será de 6 Hz para as trajetórias cinemáticas dos marcadores, respeitando o espectro do movimento humano macroscópico, e de 20 Hz para os sinais cinéticos da plataforma de força, a fim de preservar o conteúdo de alta frequência inerente às correções posturais rápidas realizadas pelos punhos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{"citationID":"cjK2Zkcu","properties":{"unsorted":false,"formattedCitation":"[9], [22]","plainCitation":"[9], [22]","noteIndex":0},"citationItems":[{"id":299,"uris":["http://zotero.org/users/17274952/items/EJ28IYIX"],"itemData":{"id":299,"type":"article-journal","abstract":"In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[9], [22]</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w:t>
      </w:r>
    </w:p>
    <w:p w14:paraId="05A40BD4">
      <w:pPr>
        <w:pStyle w:val="11"/>
        <w:spacing w:before="0" w:beforeAutospacing="0" w:after="0" w:afterAutospacing="0" w:line="360" w:lineRule="auto"/>
        <w:ind w:firstLine="708"/>
        <w:jc w:val="both"/>
        <w:rPr>
          <w:rFonts w:hint="default" w:ascii="Times New Roman" w:hAnsi="Times New Roman" w:cs="Times New Roman"/>
        </w:rPr>
      </w:pPr>
      <w:r>
        <w:rPr>
          <w:rFonts w:ascii="Times New Roman" w:hAnsi="Times New Roman"/>
        </w:rPr>
        <w:t>A separação da fase de estabilização no HS nas tentativas assistidas será determinada de forma autônoma pelo algoritmo cinemático, delimitando o início cronometrado do equilíbrio pelo distanciamento espacial entre um marcador fixado na mão do pesquisador (M_PESQ) e o membro inferior do voluntário, assegurando o isolamento do controle postural não assistido. Para as tentativas livres o início do equilíbrio estático será categorizado algoritmicamente quando a coordenada vertical (eixo Z) do marcador distal mais alto do membro inferior (rastreado de forma dinâmica e ambidestra entre calcanhares, tornozelos ou hálux) superar a altura do centro pélvico em no mínimo 300 mm. De forma global, para ambas as condições (livre e assistida), o término da tentativa será assinalado pela queda abrupta do marcador distal mais alto do membro inferior, ultrapassando de forma descendente o referido limiar de tolerância vertical (descida das pernas abaixo de 300 mm em relação ao centro pélvico). Em relação ao HSW, a delimitação temporal do percurso válido será estabelecida pela ciclicidade do contato palmar</w:t>
      </w:r>
      <w:r>
        <w:rPr>
          <w:rFonts w:ascii="Times New Roman" w:hAnsi="Times New Roman"/>
          <w:highlight w:val="yellow"/>
        </w:rPr>
        <w:t>, exigindo-se um mínimo de três passos manuais consecutivos para a validação da locomoção e cômputo da distância linear.</w:t>
      </w:r>
      <w:r>
        <w:rPr>
          <w:rFonts w:ascii="Times New Roman" w:hAnsi="Times New Roman"/>
        </w:rPr>
        <w:t xml:space="preserve"> O início da locomoção será identificado algoritmicamente pelo instante do primeiro evento de quebra de contato com o solo (lift-off) de uma das mãos. Consecutivamente, o término da marcha válida será demarcado pelo último evento de toque (touchdown) registrado antes da interrupção da tentativa (configurada pela falha de sustentação e queda abrupta do centro pélvico e membros inferiores no eixo vertical).</w:t>
      </w:r>
    </w:p>
    <w:p w14:paraId="67C8548D">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 xml:space="preserve">No escopo das variáveis estabilométricas, a ineficiência do controle postural será quantificada primariamente através da distância contínua entre o CoP e a projeção vertical do CoM, métrica estritamente ancorada no modelo mecânico do pêndulo invertido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{"citationID":"FkHxMEFZ","properties":{"unsorted":false,"formattedCitation":"[34], [35]","plainCitation":"[34], [35]","noteIndex":0},"citationItems":[{"id":298,"uris":["http://zotero.org/users/17274952/items/VIE3FHTV"],"itemData":{"id":298,"type":"article-journal","container-title":"Gait &amp; Posture","DOI":"10.1016/0966-6362(96)82849-9","ISSN":"09666362","issue":"4","journalAbbreviation":"Gait &amp; Posture","language":"en","license":"https://www.elsevier.com/tdm/userlicense/1.0/","page":"193-214","source":"DOI.org (Crossref)","title":"Human balance and posture control during standing and walking","volume":"3","author":[{"family":"Winter","given":"Da"}],"issued":{"date-parts":[["1995",12]]}}},{"id":25,"uris":["http://zotero.org/users/17274952/items/BI58LU3J"],"itemData":{"id":25,"type":"article-journal","abstract":"Movements of the whole-body center of mass during quiet standing have been estimated from measurements of body segment movements. These whole-body center of mass movements have been compared with movements of the center of mass as predicted from a simple inverted-pendulum model of standing. However, the total body center of mass is a weighted average of the center of mass of all individual body segments. The question arises as to how well the total body center of mass represents the individual segments and lower limb joint angles. This study focuses on the validity of how well the individual segments and lower limb angles temporally and spatially synchronize with the total body center of mass. Eleven healthy university students volunteered to participate. Kinematic data were collected using a 3D optoelectronic camera system; kinetic data were collected using a 3D force plate. Participants stood quietly, with eyes open, for 120 s. Segment and whole body centers of mass were calculated from a 14 segment, 3D bilateral model. Segment and joint angles were calculated for the lower limbs, bilaterally, and the trunk. Segment center of mass root-mean-square displacements were strongly correlated with center of mass height relative to the ankle joint and were synchronized, or temporally locked, to the movement of the whole body center of mass. Sagittal plane ankle angular displacements were highly correlated to sagittal plane center of mass movement; stronger correlations between body center of mass and lower limb angular displacement were observed, the result of compensatory knee joint angular displacements. These data support and extend the use of an inverted pendulum model to represent quiet standing postural control.","container-title":"Gait &amp; Posture","DOI":"10.1016/S0966-6362(03)00037-7","ISSN":"09666362","issue":"2","journalAbbreviation":"Gait &amp; Posture","language":"en","license":"https://www.elsevier.com/tdm/userlicense/1.0/","page":"124-132","source":"DOI.org (Crossref)","title":"Kinematic and kinetic validity of the inverted pendulum model in quiet standing","volume":"19","author":[{"family":"Gage","given":"William H."},{"family":"Winter","given":"David A."},{"family":"Frank","given":"James S."},{"family":"Adkin","given":"Allan L."}],"issued":{"date-parts":[["2004",4]]}}}],"schema":"https://github.com/citation-style-language/schema/raw/master/csl-citation.json"}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[34], [35]</w:t>
      </w:r>
      <w:r>
        <w:rPr>
          <w:rFonts w:hint="default" w:ascii="Times New Roman" w:hAnsi="Times New Roman" w:cs="Times New Roman"/>
        </w:rPr>
        <w:fldChar w:fldCharType="end"/>
      </w:r>
      <w:r>
        <w:rPr>
          <w:rFonts w:hint="default" w:ascii="Times New Roman" w:hAnsi="Times New Roman" w:cs="Times New Roman"/>
        </w:rPr>
        <w:t>. Concomitantemente, a velocidade média do CoP e a ApEn extraída do sinal da plataforma avaliarão, respectivamente, o esforço das reações neuromusculares e a rigidez sistêmica das correções. O alinhamento corporal (Índice de Verticalidade) não será reduzido a projeções bidimensionais padrão ou Ângulos de Euler, suscetíveis ao artefato de </w:t>
      </w:r>
      <w:r>
        <w:rPr>
          <w:rFonts w:hint="default" w:ascii="Times New Roman" w:hAnsi="Times New Roman" w:cs="Times New Roman"/>
          <w:i/>
          <w:iCs/>
        </w:rPr>
        <w:t>Gimbal Lock</w:t>
      </w:r>
      <w:r>
        <w:rPr>
          <w:rFonts w:hint="default" w:ascii="Times New Roman" w:hAnsi="Times New Roman" w:cs="Times New Roman"/>
        </w:rPr>
        <w:t> durante a inversão, mas calculado rigorosamente por meio do produto escalar (</w:t>
      </w:r>
      <w:r>
        <w:rPr>
          <w:rFonts w:hint="default" w:ascii="Times New Roman" w:hAnsi="Times New Roman" w:cs="Times New Roman"/>
          <w:i/>
          <w:iCs/>
        </w:rPr>
        <w:t>Dot Product</w:t>
      </w:r>
      <w:r>
        <w:rPr>
          <w:rFonts w:hint="default" w:ascii="Times New Roman" w:hAnsi="Times New Roman" w:cs="Times New Roman"/>
        </w:rPr>
        <w:t xml:space="preserve">) de vetores 3D absolutos no espaço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{"citationID":"4oRlvAoS","properties":{"unsorted":false,"formattedCitation":"[67], [69]","plainCitation":"[67], [69]","noteIndex":0},"citationItems":[{"id":24,"uris":["http://zotero.org/users/17274952/items/MST5B4NY"],"itemData":{"id":24,"type":"article-journal","abstract":"Background. The International Society of Biomechanics has proposed a standardization recommendation for motion recordings of the upper extremity deﬁning the set of bony landmarks, local coordinate systems and joint coordinate systems. The aim of our study was to verify the clinical interpretation of the proposed rotation sequence for the glenohumeral joint and to compare it with other sequences.","container-title":"Clinical Biomechanics","DOI":"10.1016/j.clinbiomech.2005.09.007","ISSN":"02680033","journalAbbreviation":"Clinical Biomechanics","language":"en","license":"https://www.elsevier.com/tdm/userlicense/1.0/","page":"S3-S8","source":"DOI.org (Crossref)","title":"Rotation sequence as an important factor in shoulder kinematics","volume":"21","author":[{"family":"Šenk","given":"Miroslav"},{"family":"Chèze","given":"Laurence"}],"issued":{"date-parts":[["2006",1]]}}},{"id":23,"uris":["http://zotero.org/users/17274952/items/SA7M78A3"],"itemData":{"id":23,"type":"book","abstract":"Research Methods in Biomechanics, Second Edition, demonstrates the range of available research techniques and how to best apply this knowledge to ensure valid data collection. In the highly technical field of biomechanics, research methods are frequently upgraded as the speed and sophistication of software and hardware technologies increase. With this in mind, the second edition includes up-to-date research methods and presents new information detailing advanced analytical tools for investigating human movement. Expanded into 14 chapters and reorganized into four parts, the improved second edition features more than 100 new pieces of art and illustrations and new chapters introducing the latest techniques and up-and-coming areas of research.\n            Research Methods in Biomechanics, Second Edition, assists readers in developing a comprehensive understanding of methods for quantifying human movement. Parts I and II of the text examine planar and three-dimensional kinematics and kinetics in research, issues of body segment parameters and forces, and energy, work, and power as they relate to analysis of two- and three-dimensional inverse dynamics. Two of the chapters have been extensively revised to reflect current research practices in biomechanics, in particular the widespread use of Visual3D software. Calculations from these two chapters are now located online with the supplemental software resource, making it easier for readers to grasp the progression of steps in the analysis. In part III, readers can explore the use of musculoskeletal models in analyzing human movement. This part also discusses electromyography, computer simulation, muscle modeling, and musculoskeletal modeling; it presents new information on MRI and ultrasound use in calculating muscle parameters. Part IV offers a revised chapter on additional analytical procedures, including signal processing techniques. Also included is a new chapter on movement analysis and dynamical systems, which focuses on how to assess and measure coordination and stability in changing movement patterns and the role of movement variability in health and disease. In addition, readers will find discussion of statistical tools useful for identifying the essential characteristics of any human movement.","DOI":"10.5040/9781492595809","edition":"2","ISBN":"978-1-4925-9580-9","language":"en","publisher":"Human Kinetics","source":"DOI.org (Crossref)","title":"Research Methods in Biomechanics","URL":"https://www.humankineticslibrary.com/encyclopedia?docid=b-9781492595809","author":[{"family":"Robertson","given":"D. Gordon E."},{"family":"Caldwell","given":"Graham E."},{"family":"Hamill","given":"Joseph"},{"family":"Kamen","given":"Gary"},{"family":"Whittlesey","given":"Saunders N."}],"accessed":{"date-parts":[["2026",7,21]]},"issued":{"date-parts":[["2014"]]}}}],"schema":"https://github.com/citation-style-language/schema/raw/master/csl-citation.json"}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[67], [69]</w:t>
      </w:r>
      <w:r>
        <w:rPr>
          <w:rFonts w:hint="default" w:ascii="Times New Roman" w:hAnsi="Times New Roman" w:cs="Times New Roman"/>
        </w:rPr>
        <w:fldChar w:fldCharType="end"/>
      </w:r>
      <w:r>
        <w:rPr>
          <w:rFonts w:hint="default" w:ascii="Times New Roman" w:hAnsi="Times New Roman" w:cs="Times New Roman"/>
        </w:rPr>
        <w:t>. Para a tarefa dinâmica (</w:t>
      </w:r>
      <w:r>
        <w:rPr>
          <w:rFonts w:hint="default" w:ascii="Times New Roman" w:hAnsi="Times New Roman" w:cs="Times New Roman"/>
          <w:i/>
          <w:iCs/>
        </w:rPr>
        <w:t>HSW</w:t>
      </w:r>
      <w:r>
        <w:rPr>
          <w:rFonts w:hint="default" w:ascii="Times New Roman" w:hAnsi="Times New Roman" w:cs="Times New Roman"/>
        </w:rPr>
        <w:t>), as métricas espaço-temporais primárias (cadência, variabilidade espacial e temporal) e as descritivas (velocidade média de deslocamento, tempo de contato palmar e duração da fase de duplo suporte) serão extraídas pela identificação matemática automatizada de mínimos globais na derivada da posição dos marcadores dos punhos, garantindo a delimitação precisa dos eventos de toque (touchdown) e de propulsão (</w:t>
      </w:r>
      <w:r>
        <w:rPr>
          <w:rFonts w:hint="default" w:ascii="Times New Roman" w:hAnsi="Times New Roman" w:cs="Times New Roman"/>
          <w:i/>
          <w:iCs/>
        </w:rPr>
        <w:t>lift</w:t>
      </w:r>
      <w:r>
        <w:rPr>
          <w:rFonts w:hint="default" w:ascii="Times New Roman" w:hAnsi="Times New Roman" w:cs="Times New Roman"/>
        </w:rPr>
        <w:t>-</w:t>
      </w:r>
      <w:r>
        <w:rPr>
          <w:rFonts w:hint="default" w:ascii="Times New Roman" w:hAnsi="Times New Roman" w:cs="Times New Roman"/>
          <w:i/>
          <w:iCs/>
        </w:rPr>
        <w:t>off</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lang w:val="pt-BR"/>
        </w:rPr>
        <w:instrText xml:space="preserve"> ADDIN ZOTERO_ITEM CSL_CITATION {"citationID":"n2rlyteM","properties":{"unsorted":false,"formattedCitation":"[70], [71]","plainCitation":"[70], [71]","noteIndex":0},"citationItems":[{"id":22,"uris":["http://zotero.org/users/17274952/items/HD7T2KXH"],"itemData":{"id":22,"type":"article-journal","abstract":"When analysing gait, the identification of the period of stance is often needed. Forceplates are typically used, but in their absence kinematic data can be employed. Five kinematic methods have been previously described in the literature. However, these methods have not been compared to each other for overground or treadmill running. Therefore, the purpose of this study was to compare these five kinematic methods of identifying the stance phase with vertical ground reaction force data both during overground and treadmill running. We recruited forty recreational runners (20 males) for this study. Twenty runners underwent an instrumented gait analysis during overground running, and twenty were tested during instrumented treadmill running. All runners ran at 3.35 m·s−1. Each kinematic method was compared with stance identified from the vertical ground reaction force (gold standard) for overground running. This method was then repeated for treadmill running. Two methods were found to be valid and reliable for determining footstrike. These were the time when the distal heel marker reached a minimum vertical position, and when the vertical velocity of this same marker changed from negative to positive. These methods had absolute errors that ranged from 22.4 ms to 24.6 ms for both modes of running. Toe-off was best identified using peak knee extension, with absolute errors of 4.9 ms for overground running and 5.2 ms for treadmill running. Utilising automated kinematic methods of determining stance will aid researchers studying running when forceplates are unavailable.","container-title":"Journal of Science and Medicine in Sport","DOI":"10.1016/j.jsams.2010.03.006","ISSN":"14402440","issue":"6","journalAbbreviation":"Journal of Science and Medicine in Sport","language":"en","license":"https://www.elsevier.com/tdm/userlicense/1.0/","page":"646-650","source":"DOI.org (Crossref)","title":"Comparison of methods for kinematic identification of footstrike and toe-off during overground and treadmill running","volume":"13","author":[{"family":"Fellin","given":"Rebecca E."},{"family":"Rose","given":"William C."},{"family":"Royer","given":"Todd D."},{"family":"Davis","given":"Irene S."}],"issued":{"date-parts":[["2010",11]]}}},{"id":21,"uris":["http://zotero.org/users/17274952/items/ZFR4H3AZ"],"itemData":{"id":21,"type":"article-journal","container-title":"Gait &amp; Posture","DOI":"10.1016/j.gaitpost.2007.07.007","ISSN":"09666362","issue":"4","journalAbbreviation":"Gait &amp; Posture","language":"en","license":"https://www.elsevier.com/tdm/userlicense/1.0/","page":"710-714","source":"DOI.org (Crossref)","title":"Two simple methods for determining gait events during treadmill and overground walking using kinematic data","volume":"27","author":[{"family":"Zeni","given":"J.A."},{"family":"Richards","given":"J.G."},{"family":"Higginson","given":"J.S."}],"issued":{"date-parts":[["2008",5]]}}}],"schema":"https://github.com/citation-style-language/schema/raw/master/csl-citation.json"} </w:instrText>
      </w:r>
      <w:r>
        <w:rPr>
          <w:rFonts w:hint="default" w:ascii="Times New Roman" w:hAnsi="Times New Roman" w:cs="Times New Roman"/>
        </w:rPr>
        <w:fldChar w:fldCharType="separate"/>
      </w:r>
      <w:r>
        <w:rPr>
          <w:rFonts w:hint="default" w:ascii="Times New Roman" w:hAnsi="Times New Roman" w:cs="Times New Roman"/>
          <w:lang w:val="pt-BR"/>
        </w:rPr>
        <w:t>[70], [71]</w:t>
      </w:r>
      <w:r>
        <w:rPr>
          <w:rFonts w:hint="default" w:ascii="Times New Roman" w:hAnsi="Times New Roman" w:cs="Times New Roman"/>
        </w:rPr>
        <w:fldChar w:fldCharType="end"/>
      </w:r>
      <w:r>
        <w:rPr>
          <w:rFonts w:hint="default" w:ascii="Times New Roman" w:hAnsi="Times New Roman" w:cs="Times New Roman"/>
        </w:rPr>
        <w:t>. Para mitigar de forma automatizada a perda de dados decorrente de oclusões críticas, o algoritmo incorpora salvaguardas anatômicas dinâmicas (</w:t>
      </w:r>
      <w:r>
        <w:rPr>
          <w:rFonts w:hint="default" w:ascii="Times New Roman" w:hAnsi="Times New Roman" w:cs="Times New Roman"/>
          <w:i/>
          <w:iCs/>
        </w:rPr>
        <w:t>failsafes</w:t>
      </w:r>
      <w:r>
        <w:rPr>
          <w:rFonts w:hint="default" w:ascii="Times New Roman" w:hAnsi="Times New Roman" w:cs="Times New Roman"/>
        </w:rPr>
        <w:t>). Por exemplo, na ocorrência de oclusão severa dos marcadores dos punhos durante a locomoção invertida, o sistema transita automaticamente o rastreamento e detecção do evento de toque para os marcadores dos dedos (LFIN/RFIN), os quais apresentam perfil cinemático análogo na fase de apoio, sem prejuízo ao cálculo cadencial. A matriz final de variáveis será exportada nativamente pela rotina computacional estruturada, alimentando diretamente os modelos de regressão linear e logística do delineamento estatístico proposto.</w:t>
      </w:r>
    </w:p>
    <w:p w14:paraId="4510B0BF">
      <w:pPr>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3.</w:t>
      </w:r>
      <w:r>
        <w:rPr>
          <w:rFonts w:hint="default" w:ascii="Times New Roman" w:hAnsi="Times New Roman" w:eastAsia="Times New Roman" w:cs="Times New Roman"/>
          <w:lang w:val="pt-BR"/>
        </w:rPr>
        <w:t>5</w:t>
      </w:r>
      <w:r>
        <w:rPr>
          <w:rFonts w:hint="default" w:ascii="Times New Roman" w:hAnsi="Times New Roman" w:eastAsia="Times New Roman" w:cs="Times New Roman"/>
        </w:rPr>
        <w:t xml:space="preserve"> Análise Estatística</w:t>
      </w:r>
    </w:p>
    <w:p w14:paraId="36A10CE7">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 xml:space="preserve">A análise estatística será conduzida no </w:t>
      </w:r>
      <w:r>
        <w:rPr>
          <w:rFonts w:hint="default" w:ascii="Times New Roman" w:hAnsi="Times New Roman" w:cs="Times New Roman"/>
          <w:i/>
          <w:iCs/>
        </w:rPr>
        <w:t xml:space="preserve">software </w:t>
      </w:r>
      <w:r>
        <w:rPr>
          <w:rFonts w:hint="default" w:ascii="Times New Roman" w:hAnsi="Times New Roman" w:cs="Times New Roman"/>
        </w:rPr>
        <w:t xml:space="preserve">SPSS (versão 28.0 ou superior). Inicialmente, será realizada uma análise estatística descritiva abrangente para a caracterização do perfil da amostra. A normalidade da distribuição dos dados contínuos será verificada por meio do teste de Shapiro-Wilk. As variáveis contínuas com distribuição paramétrica serão expressas em média e desvio-padrão, enquanto as variáveis não paramétricas serão apresentadas como mediana </w:t>
      </w:r>
      <w:r>
        <w:rPr>
          <w:rFonts w:hint="default" w:ascii="Times New Roman" w:hAnsi="Times New Roman" w:cs="Times New Roman"/>
          <w:lang w:val="pt-BR"/>
        </w:rPr>
        <w:t>e</w:t>
      </w:r>
      <w:r>
        <w:rPr>
          <w:rFonts w:hint="default" w:ascii="Times New Roman" w:hAnsi="Times New Roman" w:cs="Times New Roman"/>
        </w:rPr>
        <w:t xml:space="preserve"> intervalo interquartil.</w:t>
      </w:r>
    </w:p>
    <w:p w14:paraId="10E4FBA1">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As variáveis categóricas</w:t>
      </w:r>
      <w:r>
        <w:rPr>
          <w:rFonts w:hint="default" w:ascii="Times New Roman" w:hAnsi="Times New Roman" w:cs="Times New Roman"/>
          <w:lang w:val="pt-BR"/>
        </w:rPr>
        <w:t xml:space="preserve">: </w:t>
      </w:r>
      <w:r>
        <w:rPr>
          <w:rFonts w:hint="default" w:ascii="Times New Roman" w:hAnsi="Times New Roman" w:cs="Times New Roman"/>
        </w:rPr>
        <w:t xml:space="preserve">distribuição das modalidades esportivas praticadas e </w:t>
      </w:r>
      <w:r>
        <w:rPr>
          <w:rFonts w:hint="default" w:ascii="Times New Roman" w:hAnsi="Times New Roman" w:cs="Times New Roman"/>
          <w:lang w:val="pt-BR"/>
        </w:rPr>
        <w:t>o</w:t>
      </w:r>
      <w:r>
        <w:rPr>
          <w:rFonts w:hint="default" w:ascii="Times New Roman" w:hAnsi="Times New Roman" w:cs="Times New Roman"/>
        </w:rPr>
        <w:t xml:space="preserve"> perfil de prática  modalidade </w:t>
      </w:r>
      <w:r>
        <w:rPr>
          <w:rFonts w:hint="default" w:ascii="Times New Roman" w:hAnsi="Times New Roman" w:cs="Times New Roman"/>
          <w:lang w:val="pt-BR"/>
        </w:rPr>
        <w:t>(</w:t>
      </w:r>
      <w:r>
        <w:rPr>
          <w:rFonts w:hint="default" w:ascii="Times New Roman" w:hAnsi="Times New Roman" w:cs="Times New Roman"/>
        </w:rPr>
        <w:t>exclusiva vs. praticantes multimodais de duas ou mais modalidades</w:t>
      </w:r>
      <w:r>
        <w:rPr>
          <w:rFonts w:hint="default" w:ascii="Times New Roman" w:hAnsi="Times New Roman" w:cs="Times New Roman"/>
          <w:lang w:val="pt-BR"/>
        </w:rPr>
        <w:t xml:space="preserve">) </w:t>
      </w:r>
      <w:r>
        <w:rPr>
          <w:rFonts w:hint="default" w:ascii="Times New Roman" w:hAnsi="Times New Roman" w:cs="Times New Roman"/>
        </w:rPr>
        <w:t>serão empregadas com finalidade estritamente descritiva para contextualizar a heterogeneidade da amostra, sendo expressas em frequências absolutas (n) e relativas (%), sem compor os modelos de regressão.</w:t>
      </w:r>
    </w:p>
    <w:p w14:paraId="5EEC2138">
      <w:pPr>
        <w:pStyle w:val="11"/>
        <w:spacing w:before="0" w:beforeAutospacing="0" w:after="0" w:afterAutospacing="0" w:line="360" w:lineRule="auto"/>
        <w:ind w:firstLine="708"/>
        <w:jc w:val="both"/>
        <w:rPr>
          <w:rFonts w:hint="default" w:ascii="Times New Roman" w:hAnsi="Times New Roman" w:eastAsia="Times New Roman" w:cs="Times New Roman"/>
        </w:rPr>
      </w:pPr>
      <w:r>
        <w:rPr>
          <w:rFonts w:hint="default" w:ascii="Times New Roman" w:hAnsi="Times New Roman" w:cs="Times New Roman"/>
        </w:rPr>
        <w:t>Subsequentemente, para testar as hipóteses</w:t>
      </w:r>
      <w:r>
        <w:rPr>
          <w:rFonts w:hint="default" w:ascii="Times New Roman" w:hAnsi="Times New Roman" w:cs="Times New Roman"/>
          <w:lang w:val="pt-BR"/>
        </w:rPr>
        <w:t xml:space="preserve"> </w:t>
      </w:r>
      <w:r>
        <w:rPr>
          <w:rFonts w:hint="default" w:ascii="Times New Roman" w:hAnsi="Times New Roman" w:cs="Times New Roman"/>
        </w:rPr>
        <w:t>preditivas do estudo, as variáveis quantitativas serão submetidas aos modelos temáticos de regressão linear múltipla e ao modelo de regressão logística binária descritos a seguir, adotando-se um nível de significância de α</w:t>
      </w:r>
      <w:r>
        <w:rPr>
          <w:rFonts w:hint="default" w:ascii="Times New Roman" w:hAnsi="Times New Roman" w:cs="Times New Roman"/>
          <w:lang w:val="pt-BR"/>
        </w:rPr>
        <w:t>=</w:t>
      </w:r>
      <w:r>
        <w:rPr>
          <w:rFonts w:hint="default" w:ascii="Times New Roman" w:hAnsi="Times New Roman" w:cs="Times New Roman"/>
        </w:rPr>
        <w:t>0,05</w:t>
      </w:r>
      <w:r>
        <w:rPr>
          <w:rFonts w:hint="default" w:ascii="Times New Roman" w:hAnsi="Times New Roman" w:cs="Times New Roman"/>
          <w:lang w:val="pt-BR"/>
        </w:rPr>
        <w:t xml:space="preserve">. </w:t>
      </w:r>
      <w:r>
        <w:rPr>
          <w:rFonts w:hint="default" w:ascii="Times New Roman" w:hAnsi="Times New Roman" w:eastAsia="Times New Roman" w:cs="Times New Roman"/>
        </w:rPr>
        <w:t>Esta abordagem permite testar hipóteses específicas com maior poder estatístico, evitando os desafios de um único grande modelo com excesso de preditores.</w:t>
      </w:r>
    </w:p>
    <w:p w14:paraId="39C09C0C">
      <w:pPr>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A estruturação dos modelos preditivos fundamenta-se na transposição dos princípios de controle postural e análise da marcha bípede para as tarefas de suporte invertido, seja no equilíbrio estático (</w:t>
      </w:r>
      <w:r>
        <w:rPr>
          <w:rFonts w:hint="default" w:ascii="Times New Roman" w:hAnsi="Times New Roman" w:eastAsia="Times New Roman" w:cs="Times New Roman"/>
          <w:i/>
          <w:iCs/>
        </w:rPr>
        <w:t>HS</w:t>
      </w:r>
      <w:r>
        <w:rPr>
          <w:rFonts w:hint="default" w:ascii="Times New Roman" w:hAnsi="Times New Roman" w:eastAsia="Times New Roman" w:cs="Times New Roman"/>
        </w:rPr>
        <w:t>) quanto a locomoção dinâmica (</w:t>
      </w:r>
      <w:r>
        <w:rPr>
          <w:rFonts w:hint="default" w:ascii="Times New Roman" w:hAnsi="Times New Roman" w:eastAsia="Times New Roman" w:cs="Times New Roman"/>
          <w:i/>
          <w:iCs/>
        </w:rPr>
        <w:t>HSW</w:t>
      </w:r>
      <w:r>
        <w:rPr>
          <w:rFonts w:hint="default" w:ascii="Times New Roman" w:hAnsi="Times New Roman" w:eastAsia="Times New Roman" w:cs="Times New Roman"/>
        </w:rPr>
        <w:t xml:space="preserve">) [45], [46]. Parte-se da premissa de que a gestão do CoM e a regulação da motora operam sob mecanismos análogos aos descritos na literatura clássica de estabilidade e marcha humana, adaptados às exigências mecânicas dos membros superiores [3], [24]. </w:t>
      </w:r>
    </w:p>
    <w:p w14:paraId="3A550F58">
      <w:pPr>
        <w:pStyle w:val="11"/>
        <w:spacing w:before="0" w:beforeAutospacing="0" w:after="0" w:afterAutospacing="0" w:line="360" w:lineRule="auto"/>
        <w:ind w:firstLine="708"/>
        <w:jc w:val="both"/>
        <w:rPr>
          <w:rFonts w:hint="default" w:ascii="Times New Roman" w:hAnsi="Times New Roman" w:cs="Times New Roman"/>
          <w:lang w:val="pt-BR"/>
        </w:rPr>
      </w:pPr>
      <w:r>
        <w:rPr>
          <w:rFonts w:hint="default" w:ascii="Times New Roman" w:hAnsi="Times New Roman" w:cs="Times New Roman"/>
        </w:rPr>
        <w:t>Referente à análise cinemática da técnica, optou-se pela decomposição das variáveis articulares em dois indicadores distintos: o índice de verticalidade e a extensão cervical. O índice de verticalidade será definido pelo alinhamento entre ombro e quadril, buscando a proximidade com o ângulo de 180°. Esta variável quantifica a eficiência mecânica do alinhamento articular como fator determinante ou não para a redução do torque muscular necessário ao equilíbrio. O ângulo de extensão cervical será analisado de forma independente, visto que a posição da cabeça exerce uma influência dupla no desempenho: mecânica, através do deslocamento de massa que pode induzir compensações na curvatura lombar; e sensorial, por determinar o campo visual e a orientação do sistema vestibular [13],[25],[42]. Esta separação permite identificar se eventuais desvios na verticalidade são estratégias deliberadas para otimização do feedback visual ou falhas na organização segmentar do tronco e membros.</w:t>
      </w:r>
      <w:r>
        <w:rPr>
          <w:rFonts w:hint="default" w:ascii="Times New Roman" w:hAnsi="Times New Roman" w:cs="Times New Roman"/>
          <w:lang w:val="pt-BR"/>
        </w:rPr>
        <w:t xml:space="preserve"> </w:t>
      </w:r>
      <w:r>
        <w:rPr>
          <w:rFonts w:hint="default" w:ascii="Times New Roman" w:hAnsi="Times New Roman" w:cs="Times New Roman"/>
        </w:rPr>
        <w:t>Ressalta-se que a articulação do punho não foi incluída no cálculo do índice de verticalidade porque atua em ~70° a 90° como a base de apoio que gera torques de correção no solo, função que já é avaliada pela plataforma de força e pelo dinamômetro isocinético</w:t>
      </w:r>
      <w:r>
        <w:rPr>
          <w:rFonts w:hint="default" w:ascii="Times New Roman" w:hAnsi="Times New Roman" w:cs="Times New Roman"/>
          <w:lang w:val="pt-BR"/>
        </w:rPr>
        <w:t xml:space="preserve"> </w:t>
      </w:r>
      <w:r>
        <w:rPr>
          <w:rFonts w:hint="default" w:ascii="Times New Roman" w:hAnsi="Times New Roman" w:cs="Times New Roman"/>
          <w:lang w:val="pt-BR"/>
        </w:rPr>
        <w:fldChar w:fldCharType="begin"/>
      </w:r>
      <w:r>
        <w:rPr>
          <w:rFonts w:hint="default" w:ascii="Times New Roman" w:hAnsi="Times New Roman" w:cs="Times New Roman"/>
          <w:lang w:val="pt-BR"/>
        </w:rPr>
        <w:instrText xml:space="preserve"> ADDIN ZOTERO_ITEM CSL_CITATION {"citationID":"Nzewntlg","properties":{"unsorted":false,"formattedCitation":"[3]","plainCitation":"[3]","noteIndex":0},"citationItems":[{"id":336,"uris":["http://zotero.org/users/17274952/items/P82NI7IB"],"itemData":{"id":336,"type":"article-journal","abstract":"KERWIN,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G."},{"family":"Trewartha","given":"Grant"}],"issued":{"date-parts":[["2001",7]]}}}],"schema":"https://github.com/citation-style-language/schema/raw/master/csl-citation.json"} </w:instrText>
      </w:r>
      <w:r>
        <w:rPr>
          <w:rFonts w:hint="default" w:ascii="Times New Roman" w:hAnsi="Times New Roman" w:cs="Times New Roman"/>
          <w:lang w:val="pt-BR"/>
        </w:rPr>
        <w:fldChar w:fldCharType="separate"/>
      </w:r>
      <w:r>
        <w:rPr>
          <w:rFonts w:hint="default" w:ascii="Times New Roman" w:hAnsi="Times New Roman" w:cs="Times New Roman"/>
          <w:lang w:val="pt-BR"/>
        </w:rPr>
        <w:t>[3]</w:t>
      </w:r>
      <w:r>
        <w:rPr>
          <w:rFonts w:hint="default" w:ascii="Times New Roman" w:hAnsi="Times New Roman" w:cs="Times New Roman"/>
          <w:lang w:val="pt-BR"/>
        </w:rPr>
        <w:fldChar w:fldCharType="end"/>
      </w:r>
      <w:r>
        <w:rPr>
          <w:rFonts w:hint="default" w:ascii="Times New Roman" w:hAnsi="Times New Roman" w:cs="Times New Roman"/>
        </w:rPr>
        <w:t xml:space="preserve">. Além disso, a flexão plantar do tornozelo ('ponta de pé') será extraída a partir dos marcadores dos pés do protocolo </w:t>
      </w:r>
      <w:r>
        <w:rPr>
          <w:rFonts w:hint="default" w:ascii="Times New Roman" w:hAnsi="Times New Roman" w:cs="Times New Roman"/>
          <w:i/>
          <w:iCs/>
        </w:rPr>
        <w:t xml:space="preserve">Plug-in Gait </w:t>
      </w:r>
      <w:r>
        <w:rPr>
          <w:rFonts w:hint="default" w:ascii="Times New Roman" w:hAnsi="Times New Roman" w:cs="Times New Roman"/>
          <w:i/>
          <w:iCs/>
        </w:rPr>
        <w:fldChar w:fldCharType="begin"/>
      </w:r>
      <w:r>
        <w:rPr>
          <w:rFonts w:hint="default" w:ascii="Times New Roman" w:hAnsi="Times New Roman" w:cs="Times New Roman"/>
          <w:i/>
          <w:iCs/>
          <w:lang w:val="pt-BR"/>
        </w:rPr>
        <w:instrText xml:space="preserve"> ADDIN ZOTERO_ITEM CSL_CITATION {"citationID":"hQAg8Mig","properties":{"unsorted":false,"formattedCitation":"[61]","plainCitation":"[61]","noteIndex":0},"citationItems":[{"id":19,"uris":["http://zotero.org/users/17274952/items/9YDQ4XD5"],"itemData":{"id":19,"type":"article-journal","container-title":"Human Movement Science","DOI":"10.1016/0167-9457(91)90046-Z","ISSN":"01679457","issue":"5","journalAbbreviation":"Human Movement Science","language":"en","license":"https://www.elsevier.com/tdm/userlicense/1.0/","page":"575-587","source":"DOI.org (Crossref)","title":"A gait analysis data collection and reduction technique","volume":"10","author":[{"family":"Davis","given":"Roy B."},{"family":"Õunpuu","given":"Sylvia"},{"family":"Tyburski","given":"Dennis"},{"family":"Gage","given":"James R."}],"issued":{"date-parts":[["1991",10]]}}}],"schema":"https://github.com/citation-style-language/schema/raw/master/csl-citation.json"} </w:instrText>
      </w:r>
      <w:r>
        <w:rPr>
          <w:rFonts w:hint="default" w:ascii="Times New Roman" w:hAnsi="Times New Roman" w:cs="Times New Roman"/>
          <w:i/>
          <w:iCs/>
        </w:rPr>
        <w:fldChar w:fldCharType="separate"/>
      </w:r>
      <w:r>
        <w:rPr>
          <w:rFonts w:hint="default" w:ascii="Times New Roman" w:hAnsi="Times New Roman" w:cs="Times New Roman"/>
          <w:i/>
          <w:iCs/>
          <w:lang w:val="pt-BR"/>
        </w:rPr>
        <w:t>[61]</w:t>
      </w:r>
      <w:r>
        <w:rPr>
          <w:rFonts w:hint="default" w:ascii="Times New Roman" w:hAnsi="Times New Roman" w:cs="Times New Roman"/>
          <w:i/>
          <w:iCs/>
        </w:rPr>
        <w:fldChar w:fldCharType="end"/>
      </w:r>
      <w:r>
        <w:rPr>
          <w:rFonts w:hint="default" w:ascii="Times New Roman" w:hAnsi="Times New Roman" w:cs="Times New Roman"/>
        </w:rPr>
        <w:t>, permitindo avaliar se a rigidez da cadeia dos membros inferiores contribui para a estabilidade na postura invertida</w:t>
      </w:r>
      <w:r>
        <w:rPr>
          <w:rFonts w:hint="default" w:ascii="Times New Roman" w:hAnsi="Times New Roman" w:cs="Times New Roman"/>
          <w:lang w:val="pt-BR"/>
        </w:rPr>
        <w:t xml:space="preserve"> </w:t>
      </w:r>
      <w:r>
        <w:rPr>
          <w:rFonts w:hint="default" w:ascii="Times New Roman" w:hAnsi="Times New Roman" w:cs="Times New Roman"/>
          <w:lang w:val="pt-BR"/>
        </w:rPr>
        <w:fldChar w:fldCharType="begin"/>
      </w:r>
      <w:r>
        <w:rPr>
          <w:rFonts w:hint="default" w:ascii="Times New Roman" w:hAnsi="Times New Roman" w:cs="Times New Roman"/>
          <w:lang w:val="pt-BR"/>
        </w:rPr>
        <w:instrText xml:space="preserve"> ADDIN ZOTERO_ITEM CSL_CITATION {"citationID":"Zt1YKou9","properties":{"unsorted":false,"formattedCitation":"[28], [31]","plainCitation":"[28], [31]","noteIndex":0},"citationItems":[{"id":46,"uris":["http://zotero.org/users/17274952/items/J9KKGBUR"],"itemData":{"id":46,"type":"article-journal","abstract":"The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444,"uris":["http://zotero.org/users/17274952/items/2IPKX4GW"],"itemData":{"id":444,"type":"book","DOI":"10.4324/9781315203805","edition":"2","ISBN":"978-1-315-20380-5","language":"en","publisher":"Routledge","source":"DOI.org (Crossref)","title":"The Science of Gymnastics: Advanced Concepts","title-short":"The Science of Gymnastics","URL":"https://www.taylorfrancis.com/books/9781351789127","editor":[{"family":"Jemni","given":"Monèm"}],"accessed":{"date-parts":[["2026",9,1]]},"issued":{"date-parts":[["2017",12,22]]}}}],"schema":"https://github.com/citation-style-language/schema/raw/master/csl-citation.json"} </w:instrText>
      </w:r>
      <w:r>
        <w:rPr>
          <w:rFonts w:hint="default" w:ascii="Times New Roman" w:hAnsi="Times New Roman" w:cs="Times New Roman"/>
          <w:lang w:val="pt-BR"/>
        </w:rPr>
        <w:fldChar w:fldCharType="separate"/>
      </w:r>
      <w:r>
        <w:rPr>
          <w:rFonts w:hint="default" w:ascii="Times New Roman" w:hAnsi="Times New Roman" w:cs="Times New Roman"/>
          <w:lang w:val="pt-BR"/>
        </w:rPr>
        <w:t>[28], [31]</w:t>
      </w:r>
      <w:r>
        <w:rPr>
          <w:rFonts w:hint="default" w:ascii="Times New Roman" w:hAnsi="Times New Roman" w:cs="Times New Roman"/>
          <w:lang w:val="pt-BR"/>
        </w:rPr>
        <w:fldChar w:fldCharType="end"/>
      </w:r>
      <w:r>
        <w:rPr>
          <w:rFonts w:hint="default" w:ascii="Times New Roman" w:hAnsi="Times New Roman" w:cs="Times New Roman"/>
          <w:lang w:val="pt-BR"/>
        </w:rPr>
        <w:t>.</w:t>
      </w:r>
    </w:p>
    <w:p w14:paraId="648B149D">
      <w:pPr>
        <w:pStyle w:val="11"/>
        <w:spacing w:before="0" w:beforeAutospacing="0" w:after="0" w:afterAutospacing="0" w:line="360" w:lineRule="auto"/>
        <w:jc w:val="both"/>
        <w:rPr>
          <w:rFonts w:hint="default" w:ascii="Times New Roman" w:hAnsi="Times New Roman" w:cs="Times New Roman"/>
          <w:lang w:val="pt-BR"/>
        </w:rPr>
      </w:pPr>
      <w:r>
        <w:rPr>
          <w:rFonts w:hint="default" w:ascii="Times New Roman" w:hAnsi="Times New Roman" w:eastAsia="SimSun" w:cs="Times New Roman"/>
          <w:sz w:val="24"/>
          <w:szCs w:val="24"/>
          <w:lang w:val="pt-BR"/>
        </w:rPr>
        <w:t xml:space="preserve">3.5.1 </w:t>
      </w:r>
      <w:r>
        <w:rPr>
          <w:rFonts w:hint="default" w:ascii="Times New Roman" w:hAnsi="Times New Roman" w:eastAsia="SimSun" w:cs="Times New Roman"/>
          <w:sz w:val="24"/>
          <w:szCs w:val="24"/>
        </w:rPr>
        <w:t xml:space="preserve">Modelos Preditivos para o </w:t>
      </w:r>
      <w:r>
        <w:rPr>
          <w:rFonts w:hint="default" w:ascii="Times New Roman" w:hAnsi="Times New Roman" w:eastAsia="SimSun" w:cs="Times New Roman"/>
          <w:sz w:val="24"/>
          <w:szCs w:val="24"/>
          <w:lang w:val="pt-BR"/>
        </w:rPr>
        <w:t>HS</w:t>
      </w:r>
    </w:p>
    <w:p w14:paraId="7B83C27E">
      <w:pPr>
        <w:suppressAutoHyphens w:val="0"/>
        <w:spacing w:line="360" w:lineRule="auto"/>
        <w:ind w:firstLine="708"/>
        <w:rPr>
          <w:rFonts w:hint="default" w:ascii="Times New Roman" w:hAnsi="Times New Roman" w:eastAsia="Times New Roman" w:cs="Times New Roman"/>
        </w:rPr>
      </w:pPr>
      <w:r>
        <w:rPr>
          <w:rFonts w:hint="default" w:ascii="Times New Roman" w:hAnsi="Times New Roman" w:eastAsia="Times New Roman" w:cs="Times New Roman"/>
        </w:rPr>
        <w:t xml:space="preserve">Para a análise de manutenção do equilíbrio no </w:t>
      </w:r>
      <w:r>
        <w:rPr>
          <w:rFonts w:hint="default" w:ascii="Times New Roman" w:hAnsi="Times New Roman" w:eastAsia="Times New Roman" w:cs="Times New Roman"/>
          <w:i/>
          <w:iCs/>
        </w:rPr>
        <w:t>HS</w:t>
      </w:r>
      <w:r>
        <w:rPr>
          <w:rFonts w:hint="default" w:ascii="Times New Roman" w:hAnsi="Times New Roman" w:eastAsia="Times New Roman" w:cs="Times New Roman"/>
        </w:rPr>
        <w:t>, os modelos preditivos 1 a 5 utilizarão como variável dependente o melhor tempo de sustentação extraído exclusivamente do bloco de tentativas com entrada assistida. Esta decisão metodológica tem o propósito de isolar o controle postural da habilidade coordenativa de ascensão (</w:t>
      </w:r>
      <w:r>
        <w:rPr>
          <w:rFonts w:hint="default" w:ascii="Times New Roman" w:hAnsi="Times New Roman" w:eastAsia="Times New Roman" w:cs="Times New Roman"/>
          <w:i/>
          <w:iCs/>
        </w:rPr>
        <w:t>kick-up</w:t>
      </w:r>
      <w:r>
        <w:rPr>
          <w:rFonts w:hint="default" w:ascii="Times New Roman" w:hAnsi="Times New Roman" w:eastAsia="Times New Roman" w:cs="Times New Roman"/>
        </w:rPr>
        <w:t>)</w:t>
      </w:r>
      <w:r>
        <w:rPr>
          <w:rFonts w:hint="default" w:ascii="Times New Roman" w:hAnsi="Times New Roman" w:eastAsia="Times New Roman" w:cs="Times New Roman"/>
          <w:lang w:val="pt-BR"/>
        </w:rPr>
        <w:t xml:space="preserve"> e busca autonoma pelo equilíbrio</w:t>
      </w:r>
      <w:r>
        <w:rPr>
          <w:rFonts w:hint="default" w:ascii="Times New Roman" w:hAnsi="Times New Roman" w:eastAsia="Times New Roman" w:cs="Times New Roman"/>
        </w:rPr>
        <w:t xml:space="preserve">. A habilidade de ascensão exige uma coordenação sensório-motora distinta da mera manutenção do equilíbrio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{"citationID":"8veXqB6P","properties":{"unsorted":false,"formattedCitation":"[31]","plainCitation":"[31]","noteIndex":0},"citationItems":[{"id":46,"uris":["http://zotero.org/users/17274952/items/J9KKGBUR"],"itemData":{"id":46,"type":"article-journal","abstract":"The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lang w:val="pt-BR"/>
        </w:rPr>
        <w:t>[31]</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xml:space="preserve">, sendo caracterizada pela necessidade de gerar momento angular suficiente para elevar o CoM, freando-o precisamente no ponto de instabilidade vertical </w:t>
      </w:r>
      <w:r>
        <w:rPr>
          <w:rFonts w:hint="default" w:ascii="Times New Roman" w:hAnsi="Times New Roman" w:eastAsia="Times New Roman" w:cs="Times New Roman"/>
        </w:rPr>
        <w:fldChar w:fldCharType="begin"/>
      </w:r>
      <w:r>
        <w:rPr>
          <w:rFonts w:hint="default" w:ascii="Times New Roman" w:hAnsi="Times New Roman" w:eastAsia="Times New Roman" w:cs="Times New Roman"/>
          <w:lang w:val="pt-BR"/>
        </w:rPr>
        <w:instrText xml:space="preserve"> ADDIN ZOTERO_ITEM CSL_CITATION {"citationID":"AX6y9Mv6","properties":{"unsorted":false,"formattedCitation":"[2], [23]","plainCitation":"[2], [23]","noteIndex":0},"citationItems":[{"id":327,"uris":["http://zotero.org/users/17274952/items/7HMEIQK4"],"itemData":{"id":327,"type":"article-journal","abstract":"Despite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344,"uris":["http://zotero.org/users/17274952/items/IA4SHZ82"],"itemData":{"id":344,"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w:instrText>
      </w:r>
      <w:r>
        <w:rPr>
          <w:rFonts w:hint="default" w:ascii="Times New Roman" w:hAnsi="Times New Roman" w:eastAsia="Times New Roman" w:cs="Times New Roman"/>
        </w:rPr>
        <w:fldChar w:fldCharType="separate"/>
      </w:r>
      <w:r>
        <w:rPr>
          <w:rFonts w:hint="default" w:ascii="Times New Roman" w:hAnsi="Times New Roman" w:cs="Times New Roman"/>
        </w:rPr>
        <w:t>[2], [23]</w:t>
      </w:r>
      <w:r>
        <w:rPr>
          <w:rFonts w:hint="default" w:ascii="Times New Roman" w:hAnsi="Times New Roman" w:eastAsia="Times New Roman" w:cs="Times New Roman"/>
        </w:rPr>
        <w:fldChar w:fldCharType="end"/>
      </w:r>
      <w:r>
        <w:rPr>
          <w:rFonts w:hint="default" w:ascii="Times New Roman" w:hAnsi="Times New Roman" w:eastAsia="Times New Roman" w:cs="Times New Roman"/>
        </w:rPr>
        <w:t>. Por sua vez, a autonomia na ascensão e os fatores determinantes para o êxito nas tentativas de entrada livre serão analisados de forma isolada em um modelo estatístico dedicado.</w:t>
      </w:r>
    </w:p>
    <w:p w14:paraId="7F938BCE">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cs="Times New Roman"/>
        </w:rPr>
        <w:t>Assim sendo, para o melhor tempo de sustentação</w:t>
      </w:r>
      <w:r>
        <w:rPr>
          <w:rFonts w:hint="default" w:ascii="Times New Roman" w:hAnsi="Times New Roman" w:cs="Times New Roman"/>
          <w:lang w:val="pt-BR"/>
        </w:rPr>
        <w:t xml:space="preserve"> (s)</w:t>
      </w:r>
      <w:r>
        <w:rPr>
          <w:rFonts w:hint="default" w:ascii="Times New Roman" w:hAnsi="Times New Roman" w:cs="Times New Roman"/>
        </w:rPr>
        <w:t xml:space="preserve"> no </w:t>
      </w:r>
      <w:r>
        <w:rPr>
          <w:rFonts w:hint="default" w:ascii="Times New Roman" w:hAnsi="Times New Roman" w:cs="Times New Roman"/>
          <w:i/>
          <w:iCs/>
        </w:rPr>
        <w:t>HS</w:t>
      </w:r>
      <w:r>
        <w:rPr>
          <w:rFonts w:hint="default" w:ascii="Times New Roman" w:hAnsi="Times New Roman" w:cs="Times New Roman"/>
        </w:rPr>
        <w:t xml:space="preserve"> como variável dependente, serão testados os modelos abaixo:</w:t>
      </w:r>
    </w:p>
    <w:p w14:paraId="736D671E">
      <w:pPr>
        <w:pStyle w:val="5"/>
        <w:spacing w:before="0" w:line="360" w:lineRule="auto"/>
        <w:rPr>
          <w:rFonts w:hint="default" w:ascii="Times New Roman" w:hAnsi="Times New Roman" w:eastAsia="Times New Roman" w:cs="Times New Roman"/>
          <w:i w:val="0"/>
          <w:iCs w:val="0"/>
          <w:color w:val="auto"/>
          <w:u w:val="single"/>
        </w:rPr>
      </w:pPr>
      <w:r>
        <w:rPr>
          <w:rFonts w:hint="default" w:ascii="Times New Roman" w:hAnsi="Times New Roman" w:cs="Times New Roman"/>
          <w:i w:val="0"/>
          <w:iCs w:val="0"/>
          <w:color w:val="auto"/>
          <w:u w:val="single"/>
        </w:rPr>
        <w:t xml:space="preserve">Modelo 1: Capacidade Física </w:t>
      </w:r>
    </w:p>
    <w:p w14:paraId="4719D92B">
      <w:pPr>
        <w:pStyle w:val="11"/>
        <w:spacing w:before="0" w:beforeAutospacing="0" w:after="0" w:afterAutospacing="0" w:line="360" w:lineRule="auto"/>
        <w:ind w:firstLine="708"/>
        <w:rPr>
          <w:rFonts w:hint="default" w:ascii="Times New Roman" w:hAnsi="Times New Roman" w:cs="Times New Roman"/>
        </w:rPr>
      </w:pPr>
      <w:r>
        <w:rPr>
          <w:rFonts w:hint="default" w:ascii="Times New Roman" w:hAnsi="Times New Roman" w:eastAsia="SimSun" w:cs="Times New Roman"/>
          <w:sz w:val="24"/>
          <w:szCs w:val="24"/>
        </w:rPr>
        <w:t>Avalia a contribuição da força máxima e da resistência muscular específica sobre a capacidade de gerar torques articulares de sustentação e correção postural contínua</w:t>
      </w:r>
      <w:r>
        <w:rPr>
          <w:rFonts w:hint="default" w:ascii="Times New Roman" w:hAnsi="Times New Roman" w:cs="Times New Roman"/>
        </w:rPr>
        <w:t xml:space="preserve">. </w:t>
      </w:r>
    </w:p>
    <w:p w14:paraId="45AD166B">
      <w:pPr>
        <w:pStyle w:val="11"/>
        <w:spacing w:before="0" w:beforeAutospacing="0" w:after="0" w:afterAutospacing="0" w:line="360" w:lineRule="auto"/>
        <w:ind w:firstLine="708"/>
        <w:rPr>
          <w:rFonts w:hint="default" w:ascii="Times New Roman" w:hAnsi="Times New Roman" w:cs="Times New Roman"/>
        </w:rPr>
      </w:pPr>
      <w:r>
        <w:rPr>
          <w:rFonts w:hint="default" w:ascii="Times New Roman" w:hAnsi="Times New Roman" w:cs="Times New Roman"/>
          <w:b/>
          <w:bCs/>
        </w:rPr>
        <w:t>Variáveis:</w:t>
      </w:r>
    </w:p>
    <w:p w14:paraId="1C41F1DF">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 xml:space="preserve">Força relativa no </w:t>
      </w:r>
      <w:r>
        <w:rPr>
          <w:rFonts w:hint="default" w:ascii="Times New Roman" w:hAnsi="Times New Roman" w:cs="Times New Roman"/>
          <w:i/>
          <w:iCs/>
        </w:rPr>
        <w:t>SP</w:t>
      </w:r>
      <w:r>
        <w:rPr>
          <w:rFonts w:hint="default" w:ascii="Times New Roman" w:hAnsi="Times New Roman" w:cs="Times New Roman"/>
        </w:rPr>
        <w:t xml:space="preserve"> (1-RM / massa corporal).</w:t>
      </w:r>
    </w:p>
    <w:p w14:paraId="28E8BA2D">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Resistência em wall-supported HS (segundos).</w:t>
      </w:r>
    </w:p>
    <w:p w14:paraId="05838490">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Média bilateral do pico de torque dos flexores de punho relativo (N·m/kg)</w:t>
      </w:r>
    </w:p>
    <w:p w14:paraId="033B12BD">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Média bilateral da força de preensão manual relativa (kgf/kg).</w:t>
      </w:r>
    </w:p>
    <w:p w14:paraId="2326A4CA">
      <w:pPr>
        <w:pStyle w:val="5"/>
        <w:spacing w:before="0" w:line="360" w:lineRule="auto"/>
        <w:rPr>
          <w:rFonts w:hint="default" w:ascii="Times New Roman" w:hAnsi="Times New Roman" w:cs="Times New Roman"/>
          <w:i w:val="0"/>
          <w:iCs w:val="0"/>
          <w:color w:val="auto"/>
          <w:u w:val="single"/>
        </w:rPr>
      </w:pPr>
      <w:r>
        <w:rPr>
          <w:rFonts w:hint="default" w:ascii="Times New Roman" w:hAnsi="Times New Roman" w:cs="Times New Roman"/>
          <w:i w:val="0"/>
          <w:iCs w:val="0"/>
          <w:color w:val="auto"/>
          <w:u w:val="single"/>
        </w:rPr>
        <w:t xml:space="preserve">Modelo 2: Eficiência do Controle Postural </w:t>
      </w:r>
    </w:p>
    <w:p w14:paraId="4513D0C4">
      <w:pPr>
        <w:pStyle w:val="11"/>
        <w:spacing w:before="0" w:beforeAutospacing="0" w:after="0" w:afterAutospacing="0" w:line="360" w:lineRule="auto"/>
        <w:ind w:firstLine="708" w:firstLineChars="0"/>
        <w:rPr>
          <w:rFonts w:hint="default" w:ascii="Times New Roman" w:hAnsi="Times New Roman" w:eastAsia="SimSun" w:cs="Times New Roman"/>
          <w:sz w:val="24"/>
          <w:szCs w:val="24"/>
          <w:lang w:val="pt-BR"/>
        </w:rPr>
      </w:pPr>
      <w:r>
        <w:rPr>
          <w:rFonts w:hint="default" w:ascii="Times New Roman" w:hAnsi="Times New Roman" w:eastAsia="SimSun" w:cs="Times New Roman"/>
          <w:sz w:val="24"/>
          <w:szCs w:val="24"/>
        </w:rPr>
        <w:t>Avalia a precisão e a qualidade das correções neuromusculares na base de sustentação frente ao erro real do pêndulo invertido</w:t>
      </w:r>
      <w:r>
        <w:rPr>
          <w:rFonts w:hint="default" w:ascii="Times New Roman" w:hAnsi="Times New Roman" w:eastAsia="SimSun" w:cs="Times New Roman"/>
          <w:sz w:val="24"/>
          <w:szCs w:val="24"/>
          <w:lang w:val="pt-BR"/>
        </w:rPr>
        <w:t>.</w:t>
      </w:r>
    </w:p>
    <w:p w14:paraId="5865D9B6">
      <w:pPr>
        <w:pStyle w:val="11"/>
        <w:spacing w:before="0" w:beforeAutospacing="0" w:after="0" w:afterAutospacing="0" w:line="360" w:lineRule="auto"/>
        <w:ind w:left="720"/>
        <w:rPr>
          <w:rFonts w:hint="default" w:ascii="Times New Roman" w:hAnsi="Times New Roman" w:cs="Times New Roman"/>
        </w:rPr>
      </w:pPr>
      <w:r>
        <w:rPr>
          <w:rFonts w:hint="default" w:ascii="Times New Roman" w:hAnsi="Times New Roman" w:cs="Times New Roman"/>
          <w:b/>
          <w:bCs/>
        </w:rPr>
        <w:t>Variáveis:</w:t>
      </w:r>
    </w:p>
    <w:p w14:paraId="565E00E8">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Distância média CoP-CoM (milímetros).</w:t>
      </w:r>
    </w:p>
    <w:p w14:paraId="151835B3">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Velocidade média do CoP (milímetros/segundo)</w:t>
      </w:r>
    </w:p>
    <w:p w14:paraId="6F55A815">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Entropia Aproximada (unidades arbitrárias).</w:t>
      </w:r>
    </w:p>
    <w:p w14:paraId="14274E51">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3: Técnica</w:t>
      </w:r>
    </w:p>
    <w:p w14:paraId="37BFFD7B">
      <w:pPr>
        <w:pStyle w:val="11"/>
        <w:spacing w:before="0" w:beforeAutospacing="0" w:after="0" w:afterAutospacing="0" w:line="360" w:lineRule="auto"/>
        <w:ind w:firstLine="708"/>
        <w:rPr>
          <w:rFonts w:hint="default" w:ascii="Times New Roman" w:hAnsi="Times New Roman" w:cs="Times New Roman"/>
          <w:lang w:val="pt-BR"/>
        </w:rPr>
      </w:pPr>
      <w:r>
        <w:rPr>
          <w:rFonts w:hint="default" w:ascii="Times New Roman" w:hAnsi="Times New Roman" w:cs="Times New Roman"/>
        </w:rPr>
        <w:t>Testa como a conformação segmentar e a geometria da base de apoio influenciam a estabilidade e a economia mecânica da postura</w:t>
      </w:r>
      <w:r>
        <w:rPr>
          <w:rFonts w:hint="default" w:ascii="Times New Roman" w:hAnsi="Times New Roman" w:cs="Times New Roman"/>
          <w:lang w:val="pt-BR"/>
        </w:rPr>
        <w:t>.</w:t>
      </w:r>
    </w:p>
    <w:p w14:paraId="30763D09">
      <w:pPr>
        <w:pStyle w:val="11"/>
        <w:spacing w:before="0" w:beforeAutospacing="0" w:after="0" w:afterAutospacing="0" w:line="360" w:lineRule="auto"/>
        <w:ind w:left="720"/>
        <w:rPr>
          <w:rFonts w:hint="default" w:ascii="Times New Roman" w:hAnsi="Times New Roman" w:cs="Times New Roman"/>
        </w:rPr>
      </w:pPr>
      <w:r>
        <w:rPr>
          <w:rFonts w:hint="default" w:ascii="Times New Roman" w:hAnsi="Times New Roman" w:cs="Times New Roman"/>
          <w:b/>
          <w:bCs/>
        </w:rPr>
        <w:t>Variáveis:</w:t>
      </w:r>
    </w:p>
    <w:p w14:paraId="431041E2">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Índice de verticalidade: alinhamento segmentar entre ombro e quadril (graus).</w:t>
      </w:r>
    </w:p>
    <w:p w14:paraId="61BC5D1B">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Ângulo de Extensão Cervical (graus).</w:t>
      </w:r>
    </w:p>
    <w:p w14:paraId="401A1899">
      <w:pPr>
        <w:pStyle w:val="11"/>
        <w:numPr>
          <w:ilvl w:val="1"/>
          <w:numId w:val="5"/>
        </w:numPr>
        <w:spacing w:before="0" w:beforeAutospacing="0" w:after="0" w:afterAutospacing="0" w:line="360" w:lineRule="auto"/>
        <w:rPr>
          <w:rFonts w:hint="default" w:ascii="Times New Roman" w:hAnsi="Times New Roman" w:cs="Times New Roman"/>
          <w:b w:val="0"/>
          <w:bCs w:val="0"/>
          <w:sz w:val="24"/>
          <w:szCs w:val="24"/>
        </w:rPr>
      </w:pPr>
      <w:r>
        <w:rPr>
          <w:rStyle w:val="8"/>
          <w:rFonts w:hint="default" w:ascii="Times New Roman" w:hAnsi="Times New Roman" w:eastAsia="Segoe UI" w:cs="Times New Roman"/>
          <w:b w:val="0"/>
          <w:bCs w:val="0"/>
          <w:i w:val="0"/>
          <w:iCs w:val="0"/>
          <w:caps w:val="0"/>
          <w:color w:val="101010"/>
          <w:spacing w:val="0"/>
          <w:sz w:val="24"/>
          <w:szCs w:val="24"/>
        </w:rPr>
        <w:t>Ângulo de flexão plantar do tornozelo</w:t>
      </w:r>
      <w:r>
        <w:rPr>
          <w:rStyle w:val="8"/>
          <w:rFonts w:hint="default" w:ascii="Times New Roman" w:hAnsi="Times New Roman" w:eastAsia="Segoe UI" w:cs="Times New Roman"/>
          <w:b w:val="0"/>
          <w:bCs w:val="0"/>
          <w:i w:val="0"/>
          <w:iCs w:val="0"/>
          <w:caps w:val="0"/>
          <w:color w:val="101010"/>
          <w:spacing w:val="0"/>
          <w:sz w:val="24"/>
          <w:szCs w:val="24"/>
          <w:lang w:val="pt-BR"/>
        </w:rPr>
        <w:t xml:space="preserve"> </w:t>
      </w:r>
      <w:r>
        <w:rPr>
          <w:rStyle w:val="8"/>
          <w:rFonts w:hint="default" w:ascii="Times New Roman" w:hAnsi="Times New Roman" w:eastAsia="Segoe UI" w:cs="Times New Roman"/>
          <w:b w:val="0"/>
          <w:bCs w:val="0"/>
          <w:i w:val="0"/>
          <w:iCs w:val="0"/>
          <w:caps w:val="0"/>
          <w:color w:val="101010"/>
          <w:spacing w:val="0"/>
          <w:sz w:val="24"/>
          <w:szCs w:val="24"/>
        </w:rPr>
        <w:t>(graus)</w:t>
      </w:r>
    </w:p>
    <w:p w14:paraId="124CC521">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Largura da base de apoio (milímetros).</w:t>
      </w:r>
    </w:p>
    <w:p w14:paraId="2633412E">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Orientação angular das mãos (graus).</w:t>
      </w:r>
    </w:p>
    <w:p w14:paraId="6497150B">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4: Fatores Antropométricos</w:t>
      </w:r>
    </w:p>
    <w:p w14:paraId="4B647757">
      <w:pPr>
        <w:pStyle w:val="11"/>
        <w:spacing w:before="0" w:beforeAutospacing="0" w:after="0" w:afterAutospacing="0" w:line="360" w:lineRule="auto"/>
        <w:ind w:firstLine="708"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Investiga como o comprimento das alavancas ósseas e a distribuição de massa inerte vs. ativa modulam as demandas de torque estabilizador.</w:t>
      </w:r>
    </w:p>
    <w:p w14:paraId="483D2E77">
      <w:pPr>
        <w:pStyle w:val="11"/>
        <w:spacing w:before="0" w:beforeAutospacing="0" w:after="0" w:afterAutospacing="0" w:line="360" w:lineRule="auto"/>
        <w:ind w:firstLine="708" w:firstLineChars="0"/>
        <w:rPr>
          <w:rFonts w:hint="default" w:ascii="Times New Roman" w:hAnsi="Times New Roman" w:cs="Times New Roman"/>
        </w:rPr>
      </w:pPr>
      <w:r>
        <w:rPr>
          <w:rFonts w:hint="default" w:ascii="Times New Roman" w:hAnsi="Times New Roman" w:cs="Times New Roman"/>
          <w:b/>
          <w:bCs/>
        </w:rPr>
        <w:t>Variáveis:</w:t>
      </w:r>
    </w:p>
    <w:p w14:paraId="6E2C552F">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Altura do CoM (milímetros).</w:t>
      </w:r>
    </w:p>
    <w:p w14:paraId="35CCD0A1">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Comprimento dos braços (milímetros).</w:t>
      </w:r>
    </w:p>
    <w:p w14:paraId="0D6C8157">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Quantidade de gordura corporal (percentual).</w:t>
      </w:r>
    </w:p>
    <w:p w14:paraId="06EF2A88">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Massa livre de gordura (quilogramas).</w:t>
      </w:r>
    </w:p>
    <w:p w14:paraId="2839BF4C">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5: Perfil e Experiência</w:t>
      </w:r>
    </w:p>
    <w:p w14:paraId="5AB8D5A5">
      <w:pPr>
        <w:pStyle w:val="11"/>
        <w:spacing w:before="0" w:beforeAutospacing="0" w:after="0" w:afterAutospacing="0" w:line="360" w:lineRule="auto"/>
        <w:ind w:firstLine="708"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Avalia se a idade cronológica atua como limitador funcional ou se o volume acumulado de prática se sobrepõe aos declínios biológicos.</w:t>
      </w:r>
    </w:p>
    <w:p w14:paraId="4A6C870C">
      <w:pPr>
        <w:pStyle w:val="11"/>
        <w:spacing w:before="0" w:beforeAutospacing="0" w:after="0" w:afterAutospacing="0" w:line="360" w:lineRule="auto"/>
        <w:ind w:firstLine="708" w:firstLineChars="0"/>
        <w:rPr>
          <w:rFonts w:hint="default" w:ascii="Times New Roman" w:hAnsi="Times New Roman" w:cs="Times New Roman"/>
        </w:rPr>
      </w:pPr>
      <w:r>
        <w:rPr>
          <w:rFonts w:hint="default" w:ascii="Times New Roman" w:hAnsi="Times New Roman" w:cs="Times New Roman"/>
          <w:b/>
          <w:bCs/>
        </w:rPr>
        <w:t>Variáveis:</w:t>
      </w:r>
    </w:p>
    <w:p w14:paraId="4085B94A">
      <w:pPr>
        <w:pStyle w:val="11"/>
        <w:numPr>
          <w:ilvl w:val="1"/>
          <w:numId w:val="6"/>
        </w:numPr>
        <w:spacing w:before="0" w:beforeAutospacing="0" w:after="0" w:afterAutospacing="0" w:line="360" w:lineRule="auto"/>
        <w:rPr>
          <w:rFonts w:hint="default" w:ascii="Times New Roman" w:hAnsi="Times New Roman" w:cs="Times New Roman"/>
        </w:rPr>
      </w:pPr>
      <w:r>
        <w:rPr>
          <w:rFonts w:hint="default" w:ascii="Times New Roman" w:hAnsi="Times New Roman" w:eastAsia="Times New Roman" w:cs="Times New Roman"/>
          <w:sz w:val="24"/>
          <w:szCs w:val="24"/>
          <w:lang w:val="pt-BR" w:eastAsia="pt-BR" w:bidi="ar-SA"/>
        </w:rPr>
        <w:t>Volume de Prática Acumulada</w:t>
      </w:r>
      <w:r>
        <w:rPr>
          <w:rFonts w:hint="default" w:ascii="Times New Roman" w:hAnsi="Times New Roman" w:cs="Times New Roman"/>
        </w:rPr>
        <w:t xml:space="preserve"> (</w:t>
      </w:r>
      <w:r>
        <w:rPr>
          <w:rFonts w:hint="default" w:ascii="Times New Roman" w:hAnsi="Times New Roman" w:cs="Times New Roman"/>
          <w:lang w:val="pt-BR"/>
        </w:rPr>
        <w:t>horas</w:t>
      </w:r>
      <w:r>
        <w:rPr>
          <w:rFonts w:hint="default" w:ascii="Times New Roman" w:hAnsi="Times New Roman" w:cs="Times New Roman"/>
        </w:rPr>
        <w:t>).</w:t>
      </w:r>
    </w:p>
    <w:p w14:paraId="6522353B">
      <w:pPr>
        <w:pStyle w:val="11"/>
        <w:numPr>
          <w:ilvl w:val="1"/>
          <w:numId w:val="6"/>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Idade cronológica (anos)</w:t>
      </w:r>
    </w:p>
    <w:p w14:paraId="50AA2C06">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6: Autonomia de Estabilização </w:t>
      </w:r>
    </w:p>
    <w:p w14:paraId="74371808">
      <w:pPr>
        <w:suppressAutoHyphens w:val="0"/>
        <w:spacing w:line="360" w:lineRule="auto"/>
        <w:ind w:firstLine="708"/>
        <w:rPr>
          <w:rFonts w:hint="default" w:ascii="Times New Roman" w:hAnsi="Times New Roman" w:eastAsia="Times New Roman" w:cs="Times New Roman"/>
        </w:rPr>
      </w:pPr>
      <w:r>
        <w:rPr>
          <w:rFonts w:ascii="Times New Roman" w:hAnsi="Times New Roman"/>
        </w:rPr>
        <w:t>Este modelo avalia os fatores determinantes para a capacidade do praticante de realizar a entrada no HS de forma autônoma e atingir a fase de estabilização sem auxílio externo, considerando nível de força de membros superiores, proficiência intrínseca no controle postural (medida previamente no bloco assistido) ou tempo de prática acumulada [9], [26]. Diferindo das abordagens anteriores baseadas em regressão linear, será realizada uma regressão logística binária, visto que a variável dependente possui natureza dicotômica: sucesso (conseguiu atingir a posição e manter o equilíbrio de forma independente por no mínimo 3 segundos no bloco de entradas livres) versus falha (incapacidade de estabilização da postura).</w:t>
      </w:r>
      <w:r>
        <w:rPr>
          <w:rFonts w:ascii="Times New Roman" w:hAnsi="Times New Roman"/>
          <w:highlight w:val="yellow"/>
        </w:rPr>
        <w:t xml:space="preserve"> Complementarmente, a consistência motora será quantificada pela taxa de sucesso individual (número de tentativas válidas de sustentação ≥ 3 s sobre o total de 3 tentativas livres executadas), bem como pelo mapeamento da tentativa de ocorrência da marca máxima (T1, T2 ou T3).</w:t>
      </w:r>
      <w:r>
        <w:rPr>
          <w:rFonts w:ascii="Times New Roman" w:hAnsi="Times New Roman"/>
        </w:rPr>
        <w:t xml:space="preserve"> </w:t>
      </w:r>
    </w:p>
    <w:p w14:paraId="098FC700">
      <w:pPr>
        <w:suppressAutoHyphens w:val="0"/>
        <w:spacing w:line="360" w:lineRule="auto"/>
        <w:ind w:firstLine="708"/>
        <w:jc w:val="left"/>
        <w:rPr>
          <w:rFonts w:hint="default" w:ascii="Times New Roman" w:hAnsi="Times New Roman" w:eastAsia="Times New Roman" w:cs="Times New Roman"/>
          <w:color w:val="101010"/>
        </w:rPr>
      </w:pPr>
      <w:r>
        <w:rPr>
          <w:rFonts w:hint="default" w:ascii="Times New Roman" w:hAnsi="Times New Roman" w:eastAsia="Times New Roman" w:cs="Times New Roman"/>
          <w:b/>
          <w:bCs/>
          <w:color w:val="101010"/>
        </w:rPr>
        <w:t>Variáveis:</w:t>
      </w:r>
    </w:p>
    <w:p w14:paraId="6BD1F3E9">
      <w:pPr>
        <w:numPr>
          <w:ilvl w:val="0"/>
          <w:numId w:val="7"/>
        </w:numPr>
        <w:suppressAutoHyphens w:val="0"/>
        <w:spacing w:line="360" w:lineRule="auto"/>
        <w:jc w:val="left"/>
        <w:rPr>
          <w:rFonts w:hint="default" w:ascii="Times New Roman" w:hAnsi="Times New Roman" w:eastAsia="Times New Roman" w:cs="Times New Roman"/>
        </w:rPr>
      </w:pPr>
      <w:r>
        <w:rPr>
          <w:rFonts w:hint="default" w:ascii="Times New Roman" w:hAnsi="Times New Roman" w:eastAsia="Times New Roman" w:cs="Times New Roman"/>
        </w:rPr>
        <w:t>Força relativa no SP (1-RM / massa corporal).</w:t>
      </w:r>
    </w:p>
    <w:p w14:paraId="70871239">
      <w:pPr>
        <w:numPr>
          <w:ilvl w:val="0"/>
          <w:numId w:val="7"/>
        </w:numPr>
        <w:suppressAutoHyphens w:val="0"/>
        <w:spacing w:line="360" w:lineRule="auto"/>
        <w:jc w:val="left"/>
        <w:rPr>
          <w:rFonts w:hint="default" w:ascii="Times New Roman" w:hAnsi="Times New Roman" w:eastAsia="Times New Roman" w:cs="Times New Roman"/>
          <w:highlight w:val="red"/>
        </w:rPr>
      </w:pPr>
      <w:r>
        <w:rPr>
          <w:rFonts w:hint="default" w:ascii="Times New Roman" w:hAnsi="Times New Roman" w:eastAsia="Times New Roman" w:cs="Times New Roman"/>
          <w:highlight w:val="red"/>
        </w:rPr>
        <w:t xml:space="preserve">Melhor tempo de sustentação no </w:t>
      </w:r>
      <w:r>
        <w:rPr>
          <w:rFonts w:hint="default" w:ascii="Times New Roman" w:hAnsi="Times New Roman" w:eastAsia="Times New Roman" w:cs="Times New Roman"/>
          <w:i/>
          <w:iCs/>
          <w:highlight w:val="red"/>
        </w:rPr>
        <w:t>HS</w:t>
      </w:r>
      <w:r>
        <w:rPr>
          <w:rFonts w:hint="default" w:ascii="Times New Roman" w:hAnsi="Times New Roman" w:eastAsia="Times New Roman" w:cs="Times New Roman"/>
          <w:highlight w:val="red"/>
        </w:rPr>
        <w:t xml:space="preserve"> Assistido (segundos).</w:t>
      </w:r>
    </w:p>
    <w:p w14:paraId="08D31A28">
      <w:pPr>
        <w:numPr>
          <w:ilvl w:val="0"/>
          <w:numId w:val="7"/>
        </w:numPr>
        <w:suppressAutoHyphens w:val="0"/>
        <w:spacing w:line="360" w:lineRule="auto"/>
        <w:jc w:val="left"/>
        <w:rPr>
          <w:rFonts w:hint="default" w:ascii="Times New Roman" w:hAnsi="Times New Roman" w:eastAsia="Times New Roman" w:cs="Times New Roman"/>
          <w:highlight w:val="red"/>
        </w:rPr>
      </w:pPr>
      <w:r>
        <w:rPr>
          <w:rFonts w:hint="default" w:ascii="Times New Roman" w:hAnsi="Times New Roman" w:eastAsia="Times New Roman" w:cs="Times New Roman"/>
          <w:highlight w:val="red"/>
        </w:rPr>
        <w:t>Tempo de prática (meses).</w:t>
      </w:r>
    </w:p>
    <w:p w14:paraId="49F82710">
      <w:pPr>
        <w:pStyle w:val="11"/>
        <w:spacing w:before="0" w:beforeAutospacing="0" w:after="0" w:afterAutospacing="0" w:line="360" w:lineRule="auto"/>
        <w:jc w:val="both"/>
        <w:rPr>
          <w:rFonts w:hint="default" w:ascii="Times New Roman" w:hAnsi="Times New Roman" w:cs="Times New Roman"/>
        </w:rPr>
      </w:pPr>
      <w:r>
        <w:rPr>
          <w:rFonts w:hint="default" w:ascii="Times New Roman" w:hAnsi="Times New Roman" w:eastAsia="SimSun" w:cs="Times New Roman"/>
          <w:sz w:val="24"/>
          <w:szCs w:val="24"/>
          <w:lang w:val="pt-BR"/>
        </w:rPr>
        <w:t xml:space="preserve">3.5.2 </w:t>
      </w:r>
      <w:r>
        <w:rPr>
          <w:rFonts w:hint="default" w:ascii="Times New Roman" w:hAnsi="Times New Roman" w:eastAsia="SimSun" w:cs="Times New Roman"/>
          <w:sz w:val="24"/>
          <w:szCs w:val="24"/>
        </w:rPr>
        <w:t xml:space="preserve">Modelos Preditivos para o </w:t>
      </w:r>
      <w:r>
        <w:rPr>
          <w:rFonts w:hint="default" w:ascii="Times New Roman" w:hAnsi="Times New Roman" w:eastAsia="SimSun" w:cs="Times New Roman"/>
          <w:i/>
          <w:iCs/>
          <w:sz w:val="24"/>
          <w:szCs w:val="24"/>
          <w:lang w:val="pt-BR"/>
        </w:rPr>
        <w:t>HSW</w:t>
      </w:r>
    </w:p>
    <w:p w14:paraId="18F4D991">
      <w:pPr>
        <w:spacing w:line="360" w:lineRule="auto"/>
        <w:ind w:firstLine="708" w:firstLineChars="0"/>
        <w:rPr>
          <w:rFonts w:hint="default" w:ascii="Times New Roman" w:hAnsi="Times New Roman" w:eastAsia="Times New Roman" w:cs="Times New Roman"/>
        </w:rPr>
      </w:pPr>
      <w:r>
        <w:rPr>
          <w:rFonts w:hint="default" w:ascii="Times New Roman" w:hAnsi="Times New Roman" w:eastAsia="SimSun" w:cs="Times New Roman"/>
          <w:sz w:val="24"/>
          <w:szCs w:val="24"/>
        </w:rPr>
        <w:t xml:space="preserve">Para os modelos de regressão do HSW, a variável dependente será a </w:t>
      </w:r>
      <w:r>
        <w:rPr>
          <w:rFonts w:hint="default" w:ascii="Times New Roman" w:hAnsi="Times New Roman" w:eastAsia="SimSun" w:cs="Times New Roman"/>
          <w:b w:val="0"/>
          <w:bCs w:val="0"/>
          <w:sz w:val="24"/>
          <w:szCs w:val="24"/>
        </w:rPr>
        <w:t>mediana da distância linear percorrida (m),</w:t>
      </w:r>
      <w:r>
        <w:rPr>
          <w:rFonts w:hint="default" w:ascii="Times New Roman" w:hAnsi="Times New Roman" w:eastAsia="SimSun" w:cs="Times New Roman"/>
          <w:sz w:val="24"/>
          <w:szCs w:val="24"/>
        </w:rPr>
        <w:t xml:space="preserve"> adotada por sua robustez frente a quedas prematuras ou tentativas extremas isoladas</w:t>
      </w:r>
      <w:r>
        <w:rPr>
          <w:rFonts w:hint="default" w:ascii="Times New Roman" w:hAnsi="Times New Roman" w:eastAsia="Times New Roman" w:cs="Times New Roman"/>
        </w:rPr>
        <w:t>:</w:t>
      </w:r>
    </w:p>
    <w:p w14:paraId="45C30B0E">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 xml:space="preserve">Modelo 1: Capacidade Física </w:t>
      </w:r>
    </w:p>
    <w:p w14:paraId="0CA4A517">
      <w:pPr>
        <w:pStyle w:val="11"/>
        <w:spacing w:before="0" w:beforeAutospacing="0" w:after="0" w:afterAutospacing="0" w:line="360" w:lineRule="auto"/>
        <w:ind w:firstLine="70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Avalia como a força máxima e a tolerância à fadiga muscular em inversão sustentam a locomoção contínua sobre membros superiores.</w:t>
      </w:r>
    </w:p>
    <w:p w14:paraId="4EE15F9D">
      <w:pPr>
        <w:pStyle w:val="11"/>
        <w:spacing w:before="0" w:beforeAutospacing="0" w:after="0" w:afterAutospacing="0" w:line="360" w:lineRule="auto"/>
        <w:ind w:firstLine="708"/>
        <w:rPr>
          <w:rFonts w:hint="default" w:ascii="Times New Roman" w:hAnsi="Times New Roman" w:cs="Times New Roman"/>
        </w:rPr>
      </w:pPr>
      <w:r>
        <w:rPr>
          <w:rFonts w:hint="default" w:ascii="Times New Roman" w:hAnsi="Times New Roman" w:cs="Times New Roman"/>
          <w:b/>
          <w:bCs/>
        </w:rPr>
        <w:t>Variáveis:</w:t>
      </w:r>
    </w:p>
    <w:p w14:paraId="371DEA52">
      <w:pPr>
        <w:pStyle w:val="11"/>
        <w:numPr>
          <w:ilvl w:val="1"/>
          <w:numId w:val="4"/>
        </w:numPr>
        <w:spacing w:before="0" w:beforeAutospacing="0" w:after="0" w:afterAutospacing="0" w:line="360" w:lineRule="auto"/>
        <w:rPr>
          <w:rFonts w:hint="default" w:ascii="Times New Roman" w:hAnsi="Times New Roman" w:cs="Times New Roman"/>
          <w:highlight w:val="red"/>
        </w:rPr>
      </w:pPr>
      <w:bookmarkStart w:id="5" w:name="_GoBack"/>
      <w:r>
        <w:rPr>
          <w:rFonts w:hint="default" w:ascii="Times New Roman" w:hAnsi="Times New Roman" w:cs="Times New Roman"/>
          <w:highlight w:val="red"/>
        </w:rPr>
        <w:t xml:space="preserve">Força relativa no </w:t>
      </w:r>
      <w:r>
        <w:rPr>
          <w:rFonts w:hint="default" w:ascii="Times New Roman" w:hAnsi="Times New Roman" w:cs="Times New Roman"/>
          <w:i/>
          <w:iCs/>
          <w:highlight w:val="red"/>
        </w:rPr>
        <w:t>SP</w:t>
      </w:r>
      <w:r>
        <w:rPr>
          <w:rFonts w:hint="default" w:ascii="Times New Roman" w:hAnsi="Times New Roman" w:cs="Times New Roman"/>
          <w:highlight w:val="red"/>
        </w:rPr>
        <w:t xml:space="preserve"> (1-RM / massa corporal).</w:t>
      </w:r>
    </w:p>
    <w:p w14:paraId="11B30EEE">
      <w:pPr>
        <w:pStyle w:val="11"/>
        <w:numPr>
          <w:ilvl w:val="1"/>
          <w:numId w:val="4"/>
        </w:numPr>
        <w:spacing w:before="0" w:beforeAutospacing="0" w:after="0" w:afterAutospacing="0" w:line="360" w:lineRule="auto"/>
        <w:rPr>
          <w:rFonts w:hint="default" w:ascii="Times New Roman" w:hAnsi="Times New Roman" w:cs="Times New Roman"/>
          <w:highlight w:val="red"/>
        </w:rPr>
      </w:pPr>
      <w:r>
        <w:rPr>
          <w:rFonts w:hint="default" w:ascii="Times New Roman" w:hAnsi="Times New Roman" w:cs="Times New Roman"/>
          <w:highlight w:val="red"/>
        </w:rPr>
        <w:t xml:space="preserve">Resistência em </w:t>
      </w:r>
      <w:r>
        <w:rPr>
          <w:rFonts w:hint="default" w:ascii="Times New Roman" w:hAnsi="Times New Roman" w:cs="Times New Roman"/>
          <w:i/>
          <w:iCs/>
          <w:highlight w:val="red"/>
        </w:rPr>
        <w:t>wall-supported HS</w:t>
      </w:r>
      <w:r>
        <w:rPr>
          <w:rFonts w:hint="default" w:ascii="Times New Roman" w:hAnsi="Times New Roman" w:cs="Times New Roman"/>
          <w:highlight w:val="red"/>
        </w:rPr>
        <w:t xml:space="preserve"> (segundos).</w:t>
      </w:r>
    </w:p>
    <w:p w14:paraId="053C7D61">
      <w:pPr>
        <w:pStyle w:val="11"/>
        <w:numPr>
          <w:ilvl w:val="1"/>
          <w:numId w:val="4"/>
        </w:numPr>
        <w:spacing w:before="0" w:beforeAutospacing="0" w:after="0" w:afterAutospacing="0" w:line="360" w:lineRule="auto"/>
        <w:rPr>
          <w:rFonts w:hint="default" w:ascii="Times New Roman" w:hAnsi="Times New Roman" w:cs="Times New Roman"/>
          <w:highlight w:val="red"/>
        </w:rPr>
      </w:pPr>
      <w:r>
        <w:rPr>
          <w:rFonts w:hint="default" w:ascii="Times New Roman" w:hAnsi="Times New Roman" w:eastAsia="SimSun" w:cs="Times New Roman"/>
          <w:sz w:val="24"/>
          <w:szCs w:val="24"/>
          <w:highlight w:val="red"/>
        </w:rPr>
        <w:t>Índice de Simetria de Membros nos flexores de punho (%)</w:t>
      </w:r>
    </w:p>
    <w:bookmarkEnd w:id="5"/>
    <w:p w14:paraId="10CEEFB5">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2: Eficiência da Locomoção</w:t>
      </w:r>
    </w:p>
    <w:p w14:paraId="2DBDA071">
      <w:pPr>
        <w:pStyle w:val="11"/>
        <w:spacing w:before="0" w:beforeAutospacing="0" w:after="0" w:afterAutospacing="0" w:line="360" w:lineRule="auto"/>
        <w:ind w:firstLine="708"/>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Verifica se a consistência espaço-temporal das passadas e o equilíbrio de força bilateral determinam o alcance da marcha invertida.</w:t>
      </w:r>
    </w:p>
    <w:p w14:paraId="2ED54148">
      <w:pPr>
        <w:pStyle w:val="11"/>
        <w:spacing w:before="0" w:beforeAutospacing="0" w:after="0" w:afterAutospacing="0" w:line="360" w:lineRule="auto"/>
        <w:ind w:firstLine="708"/>
        <w:jc w:val="both"/>
        <w:rPr>
          <w:rFonts w:hint="default" w:ascii="Times New Roman" w:hAnsi="Times New Roman" w:cs="Times New Roman"/>
        </w:rPr>
      </w:pPr>
      <w:r>
        <w:rPr>
          <w:rFonts w:hint="default" w:ascii="Times New Roman" w:hAnsi="Times New Roman" w:eastAsia="SimSun" w:cs="Times New Roman"/>
          <w:sz w:val="24"/>
          <w:szCs w:val="24"/>
        </w:rPr>
        <w:t xml:space="preserve"> </w:t>
      </w:r>
      <w:r>
        <w:rPr>
          <w:rFonts w:hint="default" w:ascii="Times New Roman" w:hAnsi="Times New Roman" w:cs="Times New Roman"/>
          <w:b/>
          <w:bCs/>
        </w:rPr>
        <w:t>Variáveis:</w:t>
      </w:r>
    </w:p>
    <w:p w14:paraId="03980F35">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Variabilidade Espacial: coeficiente de variação do comprimento das passadas (%).</w:t>
      </w:r>
    </w:p>
    <w:p w14:paraId="7B8C12C8">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Variabilidade Temporal: Coeficiente de variação do tempo entre passadas (%).</w:t>
      </w:r>
    </w:p>
    <w:p w14:paraId="47B97B24">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Comprimento médio das passadas (Milímetros).</w:t>
      </w:r>
    </w:p>
    <w:p w14:paraId="31B5F0EA">
      <w:pPr>
        <w:pStyle w:val="11"/>
        <w:numPr>
          <w:ilvl w:val="1"/>
          <w:numId w:val="4"/>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Cadência: passos por segundo (passos/s).</w:t>
      </w:r>
    </w:p>
    <w:p w14:paraId="2BE916B5">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 xml:space="preserve">Modelo 3: Técnica </w:t>
      </w:r>
    </w:p>
    <w:p w14:paraId="02A86504">
      <w:pPr>
        <w:pStyle w:val="11"/>
        <w:spacing w:before="0" w:beforeAutospacing="0" w:after="0" w:afterAutospacing="0" w:line="360" w:lineRule="auto"/>
        <w:ind w:firstLine="708" w:firstLineChars="0"/>
        <w:jc w:val="both"/>
        <w:rPr>
          <w:rFonts w:hint="default" w:ascii="Times New Roman" w:hAnsi="Times New Roman" w:cs="Times New Roman"/>
        </w:rPr>
      </w:pPr>
      <w:r>
        <w:rPr>
          <w:rFonts w:hint="default" w:ascii="Times New Roman" w:hAnsi="Times New Roman" w:eastAsia="SimSun" w:cs="Times New Roman"/>
          <w:sz w:val="24"/>
          <w:szCs w:val="24"/>
        </w:rPr>
        <w:t>Testa como o alinhamento corporal médio e a rotação das mãos modulam a progressão linear do centro de gravidade</w:t>
      </w:r>
      <w:r>
        <w:rPr>
          <w:rFonts w:hint="default" w:ascii="Times New Roman" w:hAnsi="Times New Roman" w:cs="Times New Roman"/>
        </w:rPr>
        <w:t>.</w:t>
      </w:r>
    </w:p>
    <w:p w14:paraId="50125B6D">
      <w:pPr>
        <w:pStyle w:val="11"/>
        <w:spacing w:before="0" w:beforeAutospacing="0" w:after="0" w:afterAutospacing="0" w:line="360" w:lineRule="auto"/>
        <w:ind w:left="720"/>
        <w:rPr>
          <w:rFonts w:hint="default" w:ascii="Times New Roman" w:hAnsi="Times New Roman" w:cs="Times New Roman"/>
        </w:rPr>
      </w:pPr>
      <w:r>
        <w:rPr>
          <w:rFonts w:hint="default" w:ascii="Times New Roman" w:hAnsi="Times New Roman" w:cs="Times New Roman"/>
          <w:b/>
          <w:bCs/>
        </w:rPr>
        <w:t>Variáveis:</w:t>
      </w:r>
    </w:p>
    <w:p w14:paraId="6B4A458D">
      <w:pPr>
        <w:pStyle w:val="11"/>
        <w:numPr>
          <w:ilvl w:val="1"/>
          <w:numId w:val="8"/>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Índice de verticalidade: alinhamento segmentar entre ombro e quadril (graus).</w:t>
      </w:r>
    </w:p>
    <w:p w14:paraId="1B5B3413">
      <w:pPr>
        <w:pStyle w:val="11"/>
        <w:numPr>
          <w:ilvl w:val="1"/>
          <w:numId w:val="8"/>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Ângulo de Extensão Cervical (graus).</w:t>
      </w:r>
    </w:p>
    <w:p w14:paraId="6C942D15">
      <w:pPr>
        <w:pStyle w:val="11"/>
        <w:numPr>
          <w:ilvl w:val="1"/>
          <w:numId w:val="5"/>
        </w:numPr>
        <w:spacing w:before="0" w:beforeAutospacing="0" w:after="0" w:afterAutospacing="0" w:line="360" w:lineRule="auto"/>
        <w:rPr>
          <w:rFonts w:hint="default" w:ascii="Times New Roman" w:hAnsi="Times New Roman" w:cs="Times New Roman"/>
          <w:b w:val="0"/>
          <w:bCs w:val="0"/>
          <w:sz w:val="24"/>
          <w:szCs w:val="24"/>
        </w:rPr>
      </w:pPr>
      <w:r>
        <w:rPr>
          <w:rStyle w:val="8"/>
          <w:rFonts w:hint="default" w:ascii="Times New Roman" w:hAnsi="Times New Roman" w:eastAsia="Segoe UI" w:cs="Times New Roman"/>
          <w:b w:val="0"/>
          <w:bCs w:val="0"/>
          <w:i w:val="0"/>
          <w:iCs w:val="0"/>
          <w:caps w:val="0"/>
          <w:color w:val="101010"/>
          <w:spacing w:val="0"/>
          <w:sz w:val="24"/>
          <w:szCs w:val="24"/>
        </w:rPr>
        <w:t>Ângulo de flexão plantar do tornozelo</w:t>
      </w:r>
      <w:r>
        <w:rPr>
          <w:rStyle w:val="8"/>
          <w:rFonts w:hint="default" w:ascii="Times New Roman" w:hAnsi="Times New Roman" w:eastAsia="Segoe UI" w:cs="Times New Roman"/>
          <w:b w:val="0"/>
          <w:bCs w:val="0"/>
          <w:i w:val="0"/>
          <w:iCs w:val="0"/>
          <w:caps w:val="0"/>
          <w:color w:val="101010"/>
          <w:spacing w:val="0"/>
          <w:sz w:val="24"/>
          <w:szCs w:val="24"/>
          <w:lang w:val="pt-BR"/>
        </w:rPr>
        <w:t xml:space="preserve"> </w:t>
      </w:r>
      <w:r>
        <w:rPr>
          <w:rStyle w:val="8"/>
          <w:rFonts w:hint="default" w:ascii="Times New Roman" w:hAnsi="Times New Roman" w:eastAsia="Segoe UI" w:cs="Times New Roman"/>
          <w:b w:val="0"/>
          <w:bCs w:val="0"/>
          <w:i w:val="0"/>
          <w:iCs w:val="0"/>
          <w:caps w:val="0"/>
          <w:color w:val="101010"/>
          <w:spacing w:val="0"/>
          <w:sz w:val="24"/>
          <w:szCs w:val="24"/>
        </w:rPr>
        <w:t>(graus)</w:t>
      </w:r>
    </w:p>
    <w:p w14:paraId="14E98E81">
      <w:pPr>
        <w:pStyle w:val="11"/>
        <w:numPr>
          <w:ilvl w:val="1"/>
          <w:numId w:val="8"/>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Largura da base de apoio (milímetros).</w:t>
      </w:r>
    </w:p>
    <w:p w14:paraId="5B8356CF">
      <w:pPr>
        <w:pStyle w:val="11"/>
        <w:numPr>
          <w:ilvl w:val="1"/>
          <w:numId w:val="8"/>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Orientação angular das mãos (graus).</w:t>
      </w:r>
    </w:p>
    <w:p w14:paraId="613A5004">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4: Transferência de Habilidade (Estático para Dinâmico)</w:t>
      </w:r>
    </w:p>
    <w:p w14:paraId="797EA2E6">
      <w:pPr>
        <w:pStyle w:val="11"/>
        <w:spacing w:before="0" w:beforeAutospacing="0" w:after="0" w:afterAutospacing="0" w:line="360" w:lineRule="auto"/>
        <w:ind w:firstLine="708" w:firstLineChars="0"/>
        <w:jc w:val="both"/>
        <w:rPr>
          <w:rFonts w:hint="default" w:ascii="Times New Roman" w:hAnsi="Times New Roman" w:eastAsia="SimSun" w:cs="Times New Roman"/>
          <w:sz w:val="24"/>
          <w:szCs w:val="24"/>
          <w:lang w:val="pt-BR"/>
        </w:rPr>
      </w:pPr>
      <w:r>
        <w:rPr>
          <w:rFonts w:hint="default" w:ascii="Times New Roman" w:hAnsi="Times New Roman" w:eastAsia="SimSun" w:cs="Times New Roman"/>
          <w:sz w:val="24"/>
          <w:szCs w:val="24"/>
        </w:rPr>
        <w:t>Investiga se a proficiência no equilíbrio estático e a regularidade do sinal estabilométrico transferem-se diretamente para a capacidade locomotora</w:t>
      </w:r>
      <w:r>
        <w:rPr>
          <w:rFonts w:hint="default" w:ascii="Times New Roman" w:hAnsi="Times New Roman" w:eastAsia="SimSun" w:cs="Times New Roman"/>
          <w:sz w:val="24"/>
          <w:szCs w:val="24"/>
          <w:lang w:val="pt-BR"/>
        </w:rPr>
        <w:t>.</w:t>
      </w:r>
    </w:p>
    <w:p w14:paraId="6FC56255">
      <w:pPr>
        <w:pStyle w:val="11"/>
        <w:spacing w:before="0" w:beforeAutospacing="0" w:after="0" w:afterAutospacing="0" w:line="360" w:lineRule="auto"/>
        <w:ind w:firstLine="708" w:firstLineChars="0"/>
        <w:rPr>
          <w:rFonts w:hint="default" w:ascii="Times New Roman" w:hAnsi="Times New Roman" w:cs="Times New Roman"/>
        </w:rPr>
      </w:pPr>
      <w:r>
        <w:rPr>
          <w:rFonts w:hint="default" w:ascii="Times New Roman" w:hAnsi="Times New Roman" w:cs="Times New Roman"/>
          <w:b/>
          <w:bCs/>
        </w:rPr>
        <w:t>Variáveis:</w:t>
      </w:r>
    </w:p>
    <w:p w14:paraId="038C32E9">
      <w:pPr>
        <w:pStyle w:val="11"/>
        <w:numPr>
          <w:ilvl w:val="1"/>
          <w:numId w:val="8"/>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 xml:space="preserve">Melhor tempo de sustentação no </w:t>
      </w:r>
      <w:r>
        <w:rPr>
          <w:rFonts w:hint="default" w:ascii="Times New Roman" w:hAnsi="Times New Roman" w:cs="Times New Roman"/>
          <w:i/>
          <w:iCs/>
        </w:rPr>
        <w:t>HS</w:t>
      </w:r>
      <w:r>
        <w:rPr>
          <w:rFonts w:hint="default" w:ascii="Times New Roman" w:hAnsi="Times New Roman" w:cs="Times New Roman"/>
        </w:rPr>
        <w:t xml:space="preserve"> (segundos).</w:t>
      </w:r>
    </w:p>
    <w:p w14:paraId="3489CFB0">
      <w:pPr>
        <w:pStyle w:val="11"/>
        <w:numPr>
          <w:ilvl w:val="1"/>
          <w:numId w:val="8"/>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 xml:space="preserve">ApEn no </w:t>
      </w:r>
      <w:r>
        <w:rPr>
          <w:rFonts w:hint="default" w:ascii="Times New Roman" w:hAnsi="Times New Roman" w:cs="Times New Roman"/>
          <w:i/>
          <w:iCs/>
        </w:rPr>
        <w:t>HS</w:t>
      </w:r>
      <w:r>
        <w:rPr>
          <w:rFonts w:hint="default" w:ascii="Times New Roman" w:hAnsi="Times New Roman" w:cs="Times New Roman"/>
        </w:rPr>
        <w:t xml:space="preserve"> (unidades arbitrárias).</w:t>
      </w:r>
    </w:p>
    <w:p w14:paraId="47B22A05">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5: Fatores Antropométricos</w:t>
      </w:r>
    </w:p>
    <w:p w14:paraId="103530F5">
      <w:pPr>
        <w:pStyle w:val="11"/>
        <w:spacing w:before="0" w:beforeAutospacing="0" w:after="0" w:afterAutospacing="0" w:line="360" w:lineRule="auto"/>
        <w:ind w:firstLine="708" w:firstLineChars="0"/>
        <w:jc w:val="both"/>
        <w:rPr>
          <w:rFonts w:hint="default" w:ascii="Times New Roman" w:hAnsi="Times New Roman" w:eastAsia="SimSun" w:cs="Times New Roman"/>
          <w:sz w:val="24"/>
          <w:szCs w:val="24"/>
          <w:lang w:val="pt-BR"/>
        </w:rPr>
      </w:pPr>
      <w:r>
        <w:rPr>
          <w:rFonts w:hint="default" w:ascii="Times New Roman" w:hAnsi="Times New Roman" w:eastAsia="SimSun" w:cs="Times New Roman"/>
          <w:sz w:val="24"/>
          <w:szCs w:val="24"/>
        </w:rPr>
        <w:t>Avalia a influência das proporções anatômicas e da composição corporal sobre o custo mecânico da locomoção</w:t>
      </w:r>
      <w:r>
        <w:rPr>
          <w:rFonts w:hint="default" w:ascii="Times New Roman" w:hAnsi="Times New Roman" w:eastAsia="SimSun" w:cs="Times New Roman"/>
          <w:sz w:val="24"/>
          <w:szCs w:val="24"/>
          <w:lang w:val="pt-BR"/>
        </w:rPr>
        <w:t>.</w:t>
      </w:r>
    </w:p>
    <w:p w14:paraId="1DB74D72">
      <w:pPr>
        <w:pStyle w:val="11"/>
        <w:spacing w:before="0" w:beforeAutospacing="0" w:after="0" w:afterAutospacing="0" w:line="360" w:lineRule="auto"/>
        <w:ind w:left="720"/>
        <w:rPr>
          <w:rFonts w:hint="default" w:ascii="Times New Roman" w:hAnsi="Times New Roman" w:cs="Times New Roman"/>
        </w:rPr>
      </w:pPr>
      <w:r>
        <w:rPr>
          <w:rFonts w:hint="default" w:ascii="Times New Roman" w:hAnsi="Times New Roman" w:cs="Times New Roman"/>
          <w:b/>
          <w:bCs/>
        </w:rPr>
        <w:t>Variáveis:</w:t>
      </w:r>
    </w:p>
    <w:p w14:paraId="1C22DF90">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Altura do CoM (milímetros).</w:t>
      </w:r>
    </w:p>
    <w:p w14:paraId="00E7664B">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Comprimento dos braços (milímetros).</w:t>
      </w:r>
    </w:p>
    <w:p w14:paraId="484BE998">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Quantidade de gordura corporal (percentual).</w:t>
      </w:r>
    </w:p>
    <w:p w14:paraId="234D355A">
      <w:pPr>
        <w:pStyle w:val="11"/>
        <w:numPr>
          <w:ilvl w:val="1"/>
          <w:numId w:val="5"/>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Massa livre de gordura (quilogramas).</w:t>
      </w:r>
    </w:p>
    <w:p w14:paraId="25F171E0">
      <w:pPr>
        <w:pStyle w:val="11"/>
        <w:spacing w:before="0" w:beforeAutospacing="0" w:after="0" w:afterAutospacing="0" w:line="360" w:lineRule="auto"/>
        <w:rPr>
          <w:rFonts w:hint="default" w:ascii="Times New Roman" w:hAnsi="Times New Roman" w:cs="Times New Roman"/>
          <w:u w:val="single"/>
        </w:rPr>
      </w:pPr>
      <w:r>
        <w:rPr>
          <w:rFonts w:hint="default" w:ascii="Times New Roman" w:hAnsi="Times New Roman" w:cs="Times New Roman"/>
          <w:u w:val="single"/>
        </w:rPr>
        <w:t>Modelo 6: Perfil e Experiência</w:t>
      </w:r>
    </w:p>
    <w:p w14:paraId="2E434C29">
      <w:pPr>
        <w:pStyle w:val="11"/>
        <w:spacing w:before="0" w:beforeAutospacing="0" w:after="0" w:afterAutospacing="0" w:line="360" w:lineRule="auto"/>
        <w:ind w:firstLine="708" w:firstLineChars="0"/>
        <w:rPr>
          <w:rFonts w:hint="default" w:ascii="Times New Roman" w:hAnsi="Times New Roman" w:eastAsia="SimSun" w:cs="Times New Roman"/>
          <w:sz w:val="24"/>
          <w:szCs w:val="24"/>
          <w:lang w:val="pt-BR"/>
        </w:rPr>
      </w:pPr>
      <w:r>
        <w:rPr>
          <w:rFonts w:hint="default" w:ascii="Times New Roman" w:hAnsi="Times New Roman" w:eastAsia="SimSun" w:cs="Times New Roman"/>
          <w:sz w:val="24"/>
          <w:szCs w:val="24"/>
        </w:rPr>
        <w:t>Determina a contribuição relativa da experiência prática acumulada em horas frente à idade cronológica no deslocamento dinâmico</w:t>
      </w:r>
      <w:r>
        <w:rPr>
          <w:rFonts w:hint="default" w:ascii="Times New Roman" w:hAnsi="Times New Roman" w:eastAsia="SimSun" w:cs="Times New Roman"/>
          <w:sz w:val="24"/>
          <w:szCs w:val="24"/>
          <w:lang w:val="pt-BR"/>
        </w:rPr>
        <w:t>.</w:t>
      </w:r>
    </w:p>
    <w:p w14:paraId="3BF79D29">
      <w:pPr>
        <w:pStyle w:val="11"/>
        <w:spacing w:before="0" w:beforeAutospacing="0" w:after="0" w:afterAutospacing="0" w:line="360" w:lineRule="auto"/>
        <w:ind w:firstLine="708" w:firstLineChars="0"/>
        <w:rPr>
          <w:rFonts w:hint="default" w:ascii="Times New Roman" w:hAnsi="Times New Roman" w:cs="Times New Roman"/>
        </w:rPr>
      </w:pPr>
      <w:r>
        <w:rPr>
          <w:rFonts w:hint="default" w:ascii="Times New Roman" w:hAnsi="Times New Roman" w:cs="Times New Roman"/>
          <w:b/>
          <w:bCs/>
        </w:rPr>
        <w:t>Variáveis:</w:t>
      </w:r>
    </w:p>
    <w:p w14:paraId="2554F71A">
      <w:pPr>
        <w:pStyle w:val="11"/>
        <w:numPr>
          <w:ilvl w:val="1"/>
          <w:numId w:val="6"/>
        </w:numPr>
        <w:spacing w:before="0" w:beforeAutospacing="0" w:after="0" w:afterAutospacing="0" w:line="360" w:lineRule="auto"/>
        <w:rPr>
          <w:rFonts w:hint="default" w:ascii="Times New Roman" w:hAnsi="Times New Roman" w:cs="Times New Roman"/>
        </w:rPr>
      </w:pPr>
      <w:r>
        <w:rPr>
          <w:rFonts w:hint="default" w:ascii="Times New Roman" w:hAnsi="Times New Roman" w:eastAsia="SimSun" w:cs="Times New Roman"/>
          <w:sz w:val="24"/>
          <w:szCs w:val="24"/>
        </w:rPr>
        <w:t>Volume de Prática Acumulada (horas totais estimadas)</w:t>
      </w:r>
      <w:r>
        <w:rPr>
          <w:rFonts w:hint="default" w:ascii="Times New Roman" w:hAnsi="Times New Roman" w:cs="Times New Roman"/>
        </w:rPr>
        <w:t>.</w:t>
      </w:r>
    </w:p>
    <w:p w14:paraId="479865AE">
      <w:pPr>
        <w:pStyle w:val="11"/>
        <w:numPr>
          <w:ilvl w:val="1"/>
          <w:numId w:val="6"/>
        </w:numPr>
        <w:spacing w:before="0" w:beforeAutospacing="0" w:after="0" w:afterAutospacing="0" w:line="360" w:lineRule="auto"/>
        <w:rPr>
          <w:rFonts w:hint="default" w:ascii="Times New Roman" w:hAnsi="Times New Roman" w:cs="Times New Roman"/>
        </w:rPr>
      </w:pPr>
      <w:r>
        <w:rPr>
          <w:rFonts w:hint="default" w:ascii="Times New Roman" w:hAnsi="Times New Roman" w:cs="Times New Roman"/>
        </w:rPr>
        <w:t>Idade cronológica (anos)</w:t>
      </w:r>
      <w:r>
        <w:rPr>
          <w:rFonts w:hint="default" w:ascii="Times New Roman" w:hAnsi="Times New Roman" w:cs="Times New Roman"/>
          <w:lang w:val="pt-BR"/>
        </w:rPr>
        <w:t>.</w:t>
      </w:r>
    </w:p>
    <w:p w14:paraId="68677DB7">
      <w:pPr>
        <w:pStyle w:val="11"/>
        <w:spacing w:before="0" w:beforeAutospacing="0" w:after="0" w:afterAutospacing="0" w:line="360" w:lineRule="auto"/>
        <w:ind w:firstLine="1064" w:firstLineChars="0"/>
        <w:jc w:val="both"/>
        <w:rPr>
          <w:rFonts w:hint="default" w:ascii="Times New Roman" w:hAnsi="Times New Roman" w:cs="Times New Roman"/>
          <w:i/>
          <w:iCs/>
        </w:rPr>
      </w:pPr>
      <w:r>
        <w:rPr>
          <w:rFonts w:hint="default" w:ascii="Times New Roman" w:hAnsi="Times New Roman" w:cs="Times New Roman"/>
        </w:rPr>
        <w:t xml:space="preserve">As variáveis velocidade média, tempo em duplo suporte e tempo de contato das mãos foram excluídas dos modelos preditivos para evitar o viés de multicolinearidade. Uma vez que a velocidade é o produto matemático do comprimento pela cadência, e os tempos de contato/suporte são componentes intrínsecos da cadência, a inclusão simultânea desses parâmetros poderia inflar artificialmente a variância do modelo, mascarando os reais preditores de proficiência. Contudo, estas variáveis serão mantidas para fins de análise descritiva e comparação entre grupos (ex: praticantes de </w:t>
      </w:r>
      <w:r>
        <w:rPr>
          <w:rFonts w:hint="default" w:ascii="Times New Roman" w:hAnsi="Times New Roman" w:cs="Times New Roman"/>
          <w:i/>
          <w:iCs/>
        </w:rPr>
        <w:t>CrossFit</w:t>
      </w:r>
      <w:r>
        <w:rPr>
          <w:rFonts w:hint="default" w:ascii="Times New Roman" w:hAnsi="Times New Roman" w:cs="Times New Roman"/>
        </w:rPr>
        <w:t xml:space="preserve"> vs. Ginástica). Esta abordagem permite caracterizar as estratégias adaptativas de cada modalidade, como o uso de um maior tempo de duplo suporte para ganho de estabilidade ou maiores velocidades de deslocamento como estratégia de compensação, sem comprometer identificar os fatores que determinam o desempenho no </w:t>
      </w:r>
      <w:r>
        <w:rPr>
          <w:rFonts w:hint="default" w:ascii="Times New Roman" w:hAnsi="Times New Roman" w:cs="Times New Roman"/>
          <w:i/>
          <w:iCs/>
        </w:rPr>
        <w:t>HSW.</w:t>
      </w:r>
    </w:p>
    <w:p w14:paraId="1608FB77">
      <w:pPr>
        <w:pStyle w:val="11"/>
        <w:spacing w:before="0" w:beforeAutospacing="0" w:after="0" w:afterAutospacing="0" w:line="360" w:lineRule="auto"/>
        <w:jc w:val="both"/>
        <w:rPr>
          <w:rFonts w:hint="default" w:ascii="Times New Roman" w:hAnsi="Times New Roman" w:cs="Times New Roman"/>
          <w:lang w:val="pt-BR"/>
        </w:rPr>
      </w:pPr>
      <w:r>
        <w:rPr>
          <w:rFonts w:hint="default" w:ascii="Times New Roman" w:hAnsi="Times New Roman" w:cs="Times New Roman"/>
          <w:lang w:val="pt-BR"/>
        </w:rPr>
        <w:t xml:space="preserve">3.5.3 </w:t>
      </w:r>
      <w:r>
        <w:rPr>
          <w:rFonts w:hint="default" w:ascii="Times New Roman" w:hAnsi="Times New Roman" w:eastAsia="SimSun" w:cs="Times New Roman"/>
          <w:sz w:val="24"/>
          <w:szCs w:val="24"/>
        </w:rPr>
        <w:t>Seleção de Preditores e Modelo Final Consolidado</w:t>
      </w:r>
    </w:p>
    <w:p w14:paraId="1BD00213">
      <w:pPr>
        <w:pStyle w:val="11"/>
        <w:spacing w:before="0" w:beforeAutospacing="0" w:after="0" w:afterAutospacing="0" w:line="360" w:lineRule="auto"/>
        <w:ind w:firstLine="708" w:firstLineChars="0"/>
        <w:jc w:val="both"/>
        <w:rPr>
          <w:rFonts w:hint="default" w:ascii="Times New Roman" w:hAnsi="Times New Roman" w:cs="Times New Roman"/>
        </w:rPr>
      </w:pPr>
      <w:r>
        <w:rPr>
          <w:rFonts w:hint="default" w:ascii="Times New Roman" w:hAnsi="Times New Roman" w:cs="Times New Roman"/>
        </w:rPr>
        <w:t xml:space="preserve">Após a análise dos modelos de regressão múltipla temáticos, o impacto individual de cada variável será avaliado por meio dos coeficientes padronizados (β) e de seus respectivos valores-p. Esses coeficientes permitem comparar diretamente a contribuição relativa de cada preditor para a variância do desempenho, independentemente da unidade de medida. Variáveis com maiores valores absolutos de β e significância estatística serão consideradas de maior relevância. Isso permitirá a realização de regressões lineares simples, para examinar as relações isoladas, e também na construção de modelos múltiplos refinados que combinem os preditores mais relevantes de diferentes modelos temáticos. O objetivo desta abordagem sequencial é consolidar a identificação dos preditores centrais do desempenho. </w:t>
      </w:r>
    </w:p>
    <w:p w14:paraId="05D4DDFD">
      <w:pPr>
        <w:widowControl w:val="0"/>
        <w:shd w:val="clear" w:color="auto" w:fill="FFFFFF"/>
        <w:spacing w:before="240" w:after="240" w:line="36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4    CRONOGRAMA DE ATIVIDADES</w:t>
      </w:r>
    </w:p>
    <w:p w14:paraId="5254D9CC">
      <w:pPr>
        <w:spacing w:line="360" w:lineRule="auto"/>
        <w:ind w:firstLine="720"/>
        <w:rPr>
          <w:rFonts w:hint="default" w:ascii="Times New Roman" w:hAnsi="Times New Roman" w:eastAsia="Times New Roman" w:cs="Times New Roman"/>
          <w:b/>
          <w:shd w:val="clear" w:color="auto" w:fill="FFFF00"/>
        </w:rPr>
      </w:pPr>
      <w:r>
        <w:rPr>
          <w:rFonts w:hint="default" w:ascii="Times New Roman" w:hAnsi="Times New Roman" w:eastAsia="Times New Roman" w:cs="Times New Roman"/>
        </w:rPr>
        <w:t>QUADRO 4 – Cronograma de atividades estimado</w:t>
      </w:r>
    </w:p>
    <w:tbl>
      <w:tblPr>
        <w:tblStyle w:val="7"/>
        <w:tblW w:w="9075" w:type="dxa"/>
        <w:tblInd w:w="-7" w:type="dxa"/>
        <w:tblLayout w:type="fixed"/>
        <w:tblCellMar>
          <w:top w:w="0" w:type="dxa"/>
          <w:left w:w="108" w:type="dxa"/>
          <w:bottom w:w="0" w:type="dxa"/>
          <w:right w:w="108" w:type="dxa"/>
        </w:tblCellMar>
      </w:tblPr>
      <w:tblGrid>
        <w:gridCol w:w="1755"/>
        <w:gridCol w:w="7320"/>
      </w:tblGrid>
      <w:tr w14:paraId="23577179">
        <w:tblPrEx>
          <w:tblCellMar>
            <w:top w:w="0" w:type="dxa"/>
            <w:left w:w="108" w:type="dxa"/>
            <w:bottom w:w="0" w:type="dxa"/>
            <w:right w:w="108" w:type="dxa"/>
          </w:tblCellMar>
        </w:tblPrEx>
        <w:tc>
          <w:tcPr>
            <w:tcW w:w="1755" w:type="dxa"/>
            <w:tcBorders>
              <w:top w:val="single" w:color="000000" w:sz="8" w:space="0"/>
              <w:left w:val="single" w:color="000000" w:sz="8" w:space="0"/>
              <w:bottom w:val="single" w:color="000000" w:sz="8" w:space="0"/>
              <w:right w:val="single" w:color="000000" w:sz="8" w:space="0"/>
            </w:tcBorders>
            <w:shd w:val="clear" w:color="auto" w:fill="CCCCCC"/>
            <w:vAlign w:val="center"/>
          </w:tcPr>
          <w:p w14:paraId="1C344B5E">
            <w:pPr>
              <w:spacing w:line="36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Período</w:t>
            </w:r>
          </w:p>
        </w:tc>
        <w:tc>
          <w:tcPr>
            <w:tcW w:w="7320" w:type="dxa"/>
            <w:tcBorders>
              <w:top w:val="single" w:color="000000" w:sz="8" w:space="0"/>
              <w:left w:val="single" w:color="000000" w:sz="8" w:space="0"/>
              <w:bottom w:val="single" w:color="000000" w:sz="12" w:space="0"/>
              <w:right w:val="single" w:color="000000" w:sz="8" w:space="0"/>
            </w:tcBorders>
            <w:shd w:val="clear" w:color="auto" w:fill="CCCCCC"/>
            <w:vAlign w:val="center"/>
          </w:tcPr>
          <w:p w14:paraId="1D3C09FA">
            <w:pPr>
              <w:spacing w:line="36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Atividades</w:t>
            </w:r>
          </w:p>
        </w:tc>
      </w:tr>
      <w:tr w14:paraId="4CD4366F">
        <w:tblPrEx>
          <w:tblCellMar>
            <w:top w:w="0" w:type="dxa"/>
            <w:left w:w="108" w:type="dxa"/>
            <w:bottom w:w="0" w:type="dxa"/>
            <w:right w:w="108" w:type="dxa"/>
          </w:tblCellMar>
        </w:tblPrEx>
        <w:trPr>
          <w:trHeight w:val="1209" w:hRule="atLeast"/>
        </w:trPr>
        <w:tc>
          <w:tcPr>
            <w:tcW w:w="1755" w:type="dxa"/>
            <w:tcBorders>
              <w:top w:val="single" w:color="000000" w:sz="12" w:space="0"/>
              <w:left w:val="single" w:color="000000" w:sz="8" w:space="0"/>
              <w:bottom w:val="single" w:color="000000" w:sz="8" w:space="0"/>
              <w:right w:val="single" w:color="000000" w:sz="8" w:space="0"/>
            </w:tcBorders>
            <w:vAlign w:val="center"/>
          </w:tcPr>
          <w:p w14:paraId="6CA8E487">
            <w:pPr>
              <w:spacing w:line="36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1º Semestre</w:t>
            </w:r>
          </w:p>
        </w:tc>
        <w:tc>
          <w:tcPr>
            <w:tcW w:w="7320" w:type="dxa"/>
            <w:tcBorders>
              <w:top w:val="single" w:color="000000" w:sz="12" w:space="0"/>
              <w:left w:val="single" w:color="000000" w:sz="8" w:space="0"/>
              <w:bottom w:val="single" w:color="000000" w:sz="8" w:space="0"/>
              <w:right w:val="single" w:color="000000" w:sz="8" w:space="0"/>
            </w:tcBorders>
          </w:tcPr>
          <w:p w14:paraId="26540A60">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Submissão ao Comitê de ética em Pesquisa</w:t>
            </w:r>
          </w:p>
          <w:p w14:paraId="011EDE1E">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Revisão de Literatura</w:t>
            </w:r>
          </w:p>
          <w:p w14:paraId="183BE531">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 xml:space="preserve">Aprendizado dos procedimentos de coleta </w:t>
            </w:r>
          </w:p>
        </w:tc>
      </w:tr>
      <w:tr w14:paraId="02007F14">
        <w:tblPrEx>
          <w:tblCellMar>
            <w:top w:w="0" w:type="dxa"/>
            <w:left w:w="108" w:type="dxa"/>
            <w:bottom w:w="0" w:type="dxa"/>
            <w:right w:w="108" w:type="dxa"/>
          </w:tblCellMar>
        </w:tblPrEx>
        <w:trPr>
          <w:trHeight w:val="1208" w:hRule="atLeast"/>
        </w:trPr>
        <w:tc>
          <w:tcPr>
            <w:tcW w:w="1755" w:type="dxa"/>
            <w:tcBorders>
              <w:top w:val="single" w:color="000000" w:sz="12" w:space="0"/>
              <w:left w:val="single" w:color="000000" w:sz="8" w:space="0"/>
              <w:bottom w:val="single" w:color="000000" w:sz="8" w:space="0"/>
              <w:right w:val="single" w:color="000000" w:sz="8" w:space="0"/>
            </w:tcBorders>
            <w:vAlign w:val="center"/>
          </w:tcPr>
          <w:p w14:paraId="0439170F">
            <w:pPr>
              <w:spacing w:line="36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2º Semestre</w:t>
            </w:r>
          </w:p>
        </w:tc>
        <w:tc>
          <w:tcPr>
            <w:tcW w:w="7320" w:type="dxa"/>
            <w:tcBorders>
              <w:top w:val="single" w:color="000000" w:sz="8" w:space="0"/>
              <w:left w:val="single" w:color="000000" w:sz="8" w:space="0"/>
              <w:bottom w:val="single" w:color="000000" w:sz="8" w:space="0"/>
              <w:right w:val="single" w:color="000000" w:sz="8" w:space="0"/>
            </w:tcBorders>
          </w:tcPr>
          <w:p w14:paraId="1D364443">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Revisão de Literatura</w:t>
            </w:r>
          </w:p>
          <w:p w14:paraId="45E57F74">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Testes piloto</w:t>
            </w:r>
          </w:p>
          <w:p w14:paraId="10575910">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Recrutamento das participantes</w:t>
            </w:r>
          </w:p>
        </w:tc>
      </w:tr>
      <w:tr w14:paraId="1D7D0A24">
        <w:tblPrEx>
          <w:tblCellMar>
            <w:top w:w="0" w:type="dxa"/>
            <w:left w:w="108" w:type="dxa"/>
            <w:bottom w:w="0" w:type="dxa"/>
            <w:right w:w="108" w:type="dxa"/>
          </w:tblCellMar>
        </w:tblPrEx>
        <w:trPr>
          <w:trHeight w:val="855" w:hRule="atLeast"/>
        </w:trPr>
        <w:tc>
          <w:tcPr>
            <w:tcW w:w="1755" w:type="dxa"/>
            <w:tcBorders>
              <w:top w:val="single" w:color="000000" w:sz="8" w:space="0"/>
              <w:left w:val="single" w:color="000000" w:sz="8" w:space="0"/>
              <w:bottom w:val="single" w:color="000000" w:sz="8" w:space="0"/>
              <w:right w:val="single" w:color="000000" w:sz="8" w:space="0"/>
            </w:tcBorders>
            <w:vAlign w:val="center"/>
          </w:tcPr>
          <w:p w14:paraId="6817C195">
            <w:pPr>
              <w:spacing w:line="36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3º Semestre</w:t>
            </w:r>
          </w:p>
        </w:tc>
        <w:tc>
          <w:tcPr>
            <w:tcW w:w="7320" w:type="dxa"/>
            <w:tcBorders>
              <w:top w:val="single" w:color="000000" w:sz="8" w:space="0"/>
              <w:left w:val="single" w:color="000000" w:sz="8" w:space="0"/>
              <w:bottom w:val="single" w:color="000000" w:sz="8" w:space="0"/>
              <w:right w:val="single" w:color="000000" w:sz="8" w:space="0"/>
            </w:tcBorders>
          </w:tcPr>
          <w:p w14:paraId="726A6E7C">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Realização das sessões de avaliação</w:t>
            </w:r>
          </w:p>
          <w:p w14:paraId="781D7777">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Processamento e análise dos dados</w:t>
            </w:r>
          </w:p>
        </w:tc>
      </w:tr>
      <w:tr w14:paraId="0DA60905">
        <w:tblPrEx>
          <w:tblCellMar>
            <w:top w:w="0" w:type="dxa"/>
            <w:left w:w="108" w:type="dxa"/>
            <w:bottom w:w="0" w:type="dxa"/>
            <w:right w:w="108" w:type="dxa"/>
          </w:tblCellMar>
        </w:tblPrEx>
        <w:trPr>
          <w:trHeight w:val="1039" w:hRule="atLeast"/>
        </w:trPr>
        <w:tc>
          <w:tcPr>
            <w:tcW w:w="1755" w:type="dxa"/>
            <w:tcBorders>
              <w:top w:val="single" w:color="000000" w:sz="8" w:space="0"/>
              <w:left w:val="single" w:color="000000" w:sz="8" w:space="0"/>
              <w:bottom w:val="single" w:color="000000" w:sz="8" w:space="0"/>
              <w:right w:val="single" w:color="000000" w:sz="8" w:space="0"/>
            </w:tcBorders>
            <w:vAlign w:val="center"/>
          </w:tcPr>
          <w:p w14:paraId="60FACEEF">
            <w:pPr>
              <w:spacing w:line="360" w:lineRule="auto"/>
              <w:jc w:val="center"/>
              <w:rPr>
                <w:rFonts w:hint="default" w:ascii="Times New Roman" w:hAnsi="Times New Roman" w:eastAsia="Times New Roman" w:cs="Times New Roman"/>
                <w:b/>
              </w:rPr>
            </w:pPr>
            <w:r>
              <w:rPr>
                <w:rFonts w:hint="default" w:ascii="Times New Roman" w:hAnsi="Times New Roman" w:eastAsia="Times New Roman" w:cs="Times New Roman"/>
                <w:b/>
              </w:rPr>
              <w:t>4º Semestre</w:t>
            </w:r>
          </w:p>
        </w:tc>
        <w:tc>
          <w:tcPr>
            <w:tcW w:w="7320" w:type="dxa"/>
            <w:tcBorders>
              <w:top w:val="single" w:color="000000" w:sz="8" w:space="0"/>
              <w:left w:val="single" w:color="000000" w:sz="8" w:space="0"/>
              <w:bottom w:val="single" w:color="000000" w:sz="8" w:space="0"/>
              <w:right w:val="single" w:color="000000" w:sz="8" w:space="0"/>
            </w:tcBorders>
          </w:tcPr>
          <w:p w14:paraId="10E18816">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Revisão de Literatura</w:t>
            </w:r>
          </w:p>
          <w:p w14:paraId="372E5EA1">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Elaboração da dissertação</w:t>
            </w:r>
          </w:p>
          <w:p w14:paraId="08F10788">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Elaboração de artigos científicos</w:t>
            </w:r>
          </w:p>
          <w:p w14:paraId="21BA92FF">
            <w:pPr>
              <w:spacing w:line="360" w:lineRule="auto"/>
              <w:ind w:left="252" w:hanging="120"/>
              <w:rPr>
                <w:rFonts w:hint="default" w:ascii="Times New Roman" w:hAnsi="Times New Roman" w:eastAsia="Times New Roman" w:cs="Times New Roman"/>
              </w:rPr>
            </w:pPr>
            <w:r>
              <w:rPr>
                <w:rFonts w:hint="default" w:ascii="Times New Roman" w:hAnsi="Times New Roman" w:eastAsia="Times New Roman" w:cs="Times New Roman"/>
              </w:rPr>
              <w:t>Submissão de trabalhos científicos</w:t>
            </w:r>
          </w:p>
        </w:tc>
      </w:tr>
    </w:tbl>
    <w:p w14:paraId="51D39C2F">
      <w:pPr>
        <w:pStyle w:val="18"/>
        <w:spacing w:line="360" w:lineRule="auto"/>
        <w:rPr>
          <w:rFonts w:hint="default" w:ascii="Times New Roman" w:hAnsi="Times New Roman" w:eastAsia="Times New Roman" w:cs="Times New Roman"/>
          <w:lang w:val="en-US"/>
        </w:rPr>
      </w:pPr>
    </w:p>
    <w:p w14:paraId="29248428">
      <w:pPr>
        <w:widowControl w:val="0"/>
        <w:shd w:val="clear" w:color="auto" w:fill="FFFFFF"/>
        <w:spacing w:before="240" w:after="240" w:line="360" w:lineRule="auto"/>
        <w:rPr>
          <w:rFonts w:hint="default" w:ascii="Times New Roman" w:hAnsi="Times New Roman" w:eastAsia="Times New Roman" w:cs="Times New Roman"/>
          <w:b/>
          <w:bCs/>
        </w:rPr>
      </w:pPr>
      <w:r>
        <w:rPr>
          <w:rFonts w:hint="default" w:ascii="Times New Roman" w:hAnsi="Times New Roman" w:eastAsia="Times New Roman" w:cs="Times New Roman"/>
          <w:b/>
          <w:bCs/>
        </w:rPr>
        <w:t>5   REFERÊNCIAS BIBLIOGRÁFICAS</w:t>
      </w:r>
    </w:p>
    <w:p w14:paraId="7AF837A1">
      <w:pPr>
        <w:pStyle w:val="18"/>
        <w:spacing w:line="360" w:lineRule="auto"/>
        <w:rPr>
          <w:rFonts w:hint="default" w:ascii="Times New Roman" w:hAnsi="Times New Roman" w:eastAsia="Times New Roman" w:cs="Times New Roman"/>
          <w:lang w:val="en-US"/>
        </w:rPr>
      </w:pPr>
    </w:p>
    <w:p w14:paraId="60D825FE">
      <w:pPr>
        <w:tabs>
          <w:tab w:val="left" w:pos="0"/>
        </w:tabs>
        <w:spacing w:after="0" w:line="240" w:lineRule="auto"/>
        <w:ind w:left="504" w:hanging="504"/>
        <w:rPr>
          <w:rFonts w:hint="default" w:ascii="Times New Roman" w:hAnsi="Times New Roman" w:cs="Times New Roman"/>
          <w:lang w:val="pt-BR"/>
        </w:rPr>
      </w:pPr>
      <w:r>
        <w:rPr>
          <w:rFonts w:hint="default" w:ascii="Times New Roman" w:hAnsi="Times New Roman" w:eastAsia="Times New Roman" w:cs="Times New Roman"/>
          <w:szCs w:val="23"/>
          <w:lang w:val="en-US"/>
        </w:rPr>
        <w:fldChar w:fldCharType="begin"/>
      </w:r>
      <w:r>
        <w:rPr>
          <w:rFonts w:hint="default" w:ascii="Times New Roman" w:hAnsi="Times New Roman" w:eastAsia="Times New Roman" w:cs="Times New Roman"/>
          <w:szCs w:val="23"/>
          <w:lang w:val="en-US"/>
        </w:rPr>
        <w:instrText xml:space="preserve"> ADDIN ZOTERO_BIBL {"uncited":[],"omitted":[],"custom":[]} CSL_BIBLIOGRAPHY </w:instrText>
      </w:r>
      <w:r>
        <w:rPr>
          <w:rFonts w:hint="default" w:ascii="Times New Roman" w:hAnsi="Times New Roman" w:eastAsia="Times New Roman" w:cs="Times New Roman"/>
          <w:szCs w:val="23"/>
          <w:lang w:val="en-US"/>
        </w:rPr>
        <w:fldChar w:fldCharType="separate"/>
      </w:r>
      <w:r>
        <w:rPr>
          <w:rFonts w:hint="default" w:ascii="Times New Roman" w:hAnsi="Times New Roman" w:cs="Times New Roman"/>
          <w:lang w:val="pt-BR"/>
        </w:rPr>
        <w:t>[1]</w:t>
      </w:r>
      <w:r>
        <w:rPr>
          <w:rFonts w:hint="default" w:ascii="Times New Roman" w:hAnsi="Times New Roman" w:cs="Times New Roman"/>
          <w:lang w:val="pt-BR"/>
        </w:rPr>
        <w:tab/>
      </w:r>
      <w:r>
        <w:rPr>
          <w:rFonts w:hint="default" w:ascii="Times New Roman" w:hAnsi="Times New Roman" w:cs="Times New Roman"/>
          <w:lang w:val="pt-BR"/>
        </w:rPr>
        <w:t xml:space="preserve">R. Malíř, J. Chrudimský, A. Provazník, e V. Třebický, “Are the shoulder joint function, stability, and mobility tests predictive of handstand execution?”, </w:t>
      </w:r>
      <w:r>
        <w:rPr>
          <w:rFonts w:hint="default" w:ascii="Times New Roman" w:hAnsi="Times New Roman" w:cs="Times New Roman"/>
          <w:i/>
          <w:lang w:val="pt-BR"/>
        </w:rPr>
        <w:t>PLOS ONE</w:t>
      </w:r>
      <w:r>
        <w:rPr>
          <w:rFonts w:hint="default" w:ascii="Times New Roman" w:hAnsi="Times New Roman" w:cs="Times New Roman"/>
          <w:lang w:val="pt-BR"/>
        </w:rPr>
        <w:t>, v. 19, n. 5, p. e0302922, maio 2024, doi: 10.1371/journal.pone.0302922.</w:t>
      </w:r>
    </w:p>
    <w:p w14:paraId="3996DF2A">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J. Rohleder e T. Vogt, “Performance control in handstands: challenging entrenched coaching strategies for young gymnasts”, </w:t>
      </w:r>
      <w:r>
        <w:rPr>
          <w:rFonts w:hint="default" w:ascii="Times New Roman" w:hAnsi="Times New Roman" w:eastAsia="Times New Roman" w:cs="Times New Roman"/>
          <w:i/>
          <w:sz w:val="23"/>
          <w:szCs w:val="23"/>
          <w:lang w:val="pt-BR"/>
        </w:rPr>
        <w:t>Int. J. Perform. Anal. Sport</w:t>
      </w:r>
      <w:r>
        <w:rPr>
          <w:rFonts w:hint="default" w:ascii="Times New Roman" w:hAnsi="Times New Roman" w:eastAsia="Times New Roman" w:cs="Times New Roman"/>
          <w:sz w:val="23"/>
          <w:szCs w:val="23"/>
          <w:lang w:val="pt-BR"/>
        </w:rPr>
        <w:t>, v. 18, n. 1, p. 17–31, jan. 2018, doi: 10.1080/24748668.2018.1440459.</w:t>
      </w:r>
    </w:p>
    <w:p w14:paraId="27E02AA5">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D. G. Kerwin e G. Trewartha, “Strategies for maintaining a handstand in the anterior-posterior direction”:, </w:t>
      </w:r>
      <w:r>
        <w:rPr>
          <w:rFonts w:hint="default" w:ascii="Times New Roman" w:hAnsi="Times New Roman" w:eastAsia="Times New Roman" w:cs="Times New Roman"/>
          <w:i/>
          <w:sz w:val="23"/>
          <w:szCs w:val="23"/>
          <w:lang w:val="pt-BR"/>
        </w:rPr>
        <w:t>Med. Sci. Sports Exerc.</w:t>
      </w:r>
      <w:r>
        <w:rPr>
          <w:rFonts w:hint="default" w:ascii="Times New Roman" w:hAnsi="Times New Roman" w:eastAsia="Times New Roman" w:cs="Times New Roman"/>
          <w:sz w:val="23"/>
          <w:szCs w:val="23"/>
          <w:lang w:val="pt-BR"/>
        </w:rPr>
        <w:t>, v. 33, n. 7, p. 1182–1188, jul. 2001, doi: 10.1097/00005768-200107000-00016.</w:t>
      </w:r>
    </w:p>
    <w:p w14:paraId="1C3A5FFD">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H. E. Wyatt, D. Vicinanza, K. M. Newell, G. Irwin, e G. K. R. Williams, “Bidirectional causal control in the dynamics of handstand balance”, </w:t>
      </w:r>
      <w:r>
        <w:rPr>
          <w:rFonts w:hint="default" w:ascii="Times New Roman" w:hAnsi="Times New Roman" w:eastAsia="Times New Roman" w:cs="Times New Roman"/>
          <w:i/>
          <w:sz w:val="23"/>
          <w:szCs w:val="23"/>
          <w:lang w:val="pt-BR"/>
        </w:rPr>
        <w:t>Sci. Rep.</w:t>
      </w:r>
      <w:r>
        <w:rPr>
          <w:rFonts w:hint="default" w:ascii="Times New Roman" w:hAnsi="Times New Roman" w:eastAsia="Times New Roman" w:cs="Times New Roman"/>
          <w:sz w:val="23"/>
          <w:szCs w:val="23"/>
          <w:lang w:val="pt-BR"/>
        </w:rPr>
        <w:t>, v. 11, n. 1, p. 405, jan. 2021, doi: 10.1038/s41598-020-79730-z.</w:t>
      </w:r>
    </w:p>
    <w:p w14:paraId="43AB0998">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Pryhoda, K. M. Newell, C. Wilson, e G. Irwin, “Task Specific and General Patterns of Joint Motion Variability in Upright- and Hand-Standing Postures”, </w:t>
      </w:r>
      <w:r>
        <w:rPr>
          <w:rFonts w:hint="default" w:ascii="Times New Roman" w:hAnsi="Times New Roman" w:eastAsia="Times New Roman" w:cs="Times New Roman"/>
          <w:i/>
          <w:sz w:val="23"/>
          <w:szCs w:val="23"/>
          <w:lang w:val="pt-BR"/>
        </w:rPr>
        <w:t>Entropy</w:t>
      </w:r>
      <w:r>
        <w:rPr>
          <w:rFonts w:hint="default" w:ascii="Times New Roman" w:hAnsi="Times New Roman" w:eastAsia="Times New Roman" w:cs="Times New Roman"/>
          <w:sz w:val="23"/>
          <w:szCs w:val="23"/>
          <w:lang w:val="pt-BR"/>
        </w:rPr>
        <w:t>, v. 24, n. 7, p. 909, jun. 2022, doi: 10.3390/e24070909.</w:t>
      </w:r>
    </w:p>
    <w:p w14:paraId="7ADEA190">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A. Kochanowicz, B. Niespodziński, J. Mieszkowski, M. Marina, K. Kochanowicz, e M. Zasada, “Changes in the Muscle Activity of Gymnasts During a Handstand on Various Apparatus”, </w:t>
      </w:r>
      <w:r>
        <w:rPr>
          <w:rFonts w:hint="default" w:ascii="Times New Roman" w:hAnsi="Times New Roman" w:eastAsia="Times New Roman" w:cs="Times New Roman"/>
          <w:i/>
          <w:sz w:val="23"/>
          <w:szCs w:val="23"/>
          <w:lang w:val="pt-BR"/>
        </w:rPr>
        <w:t>J. Strength Cond. Res.</w:t>
      </w:r>
      <w:r>
        <w:rPr>
          <w:rFonts w:hint="default" w:ascii="Times New Roman" w:hAnsi="Times New Roman" w:eastAsia="Times New Roman" w:cs="Times New Roman"/>
          <w:sz w:val="23"/>
          <w:szCs w:val="23"/>
          <w:lang w:val="pt-BR"/>
        </w:rPr>
        <w:t>, v. 33, n. 6, p. 1609–1618, jun. 2019, doi: 10.1519/JSC.0000000000002124.</w:t>
      </w:r>
    </w:p>
    <w:p w14:paraId="6610A429">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[7]</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G. M. Blenkinsop, M. T. G. Pain, e M. J. Hiley, “Balance control strategies during perturbed and unperturbed balance in standing and handstand”, </w:t>
      </w:r>
      <w:r>
        <w:rPr>
          <w:rFonts w:hint="default" w:ascii="Times New Roman" w:hAnsi="Times New Roman" w:eastAsia="Times New Roman" w:cs="Times New Roman"/>
          <w:i/>
          <w:sz w:val="23"/>
          <w:szCs w:val="23"/>
          <w:lang w:val="pt-BR"/>
        </w:rPr>
        <w:t>R. Soc. Open Sci.</w:t>
      </w:r>
      <w:r>
        <w:rPr>
          <w:rFonts w:hint="default" w:ascii="Times New Roman" w:hAnsi="Times New Roman" w:eastAsia="Times New Roman" w:cs="Times New Roman"/>
          <w:sz w:val="23"/>
          <w:szCs w:val="23"/>
          <w:lang w:val="pt-BR"/>
        </w:rPr>
        <w:t>, v. 4, n. 7, p. 161018, jul. 2017, doi: 10.1098/rsos.161018.</w:t>
      </w:r>
    </w:p>
    <w:p w14:paraId="66A0D00D">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[8]</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M. K. Pryhoda, K. M. Newell, e G. Irwin, “HANDSTAND BALANCE MOTOR CONTROL MECHANISMS”, 2021.</w:t>
      </w:r>
    </w:p>
    <w:p w14:paraId="6C6AAD70">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[9]</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J. Rohleder e T. Vogt, “EFFICACY OF WRIST STRATEGY COACHING ON HANDSTAND PERFORMANCES IN NOVICES: INVERTING EXPLICIT AND IMPLICIT LEARNING OF SKILL-RELATED MOTOR TASKS”, </w:t>
      </w:r>
      <w:r>
        <w:rPr>
          <w:rFonts w:hint="default" w:ascii="Times New Roman" w:hAnsi="Times New Roman" w:eastAsia="Times New Roman" w:cs="Times New Roman"/>
          <w:i/>
          <w:sz w:val="23"/>
          <w:szCs w:val="23"/>
          <w:lang w:val="pt-BR"/>
        </w:rPr>
        <w:t>Sci. Gymnast. J.</w:t>
      </w:r>
      <w:r>
        <w:rPr>
          <w:rFonts w:hint="default" w:ascii="Times New Roman" w:hAnsi="Times New Roman" w:eastAsia="Times New Roman" w:cs="Times New Roman"/>
          <w:sz w:val="23"/>
          <w:szCs w:val="23"/>
          <w:lang w:val="pt-BR"/>
        </w:rPr>
        <w:t>, v. 11, n. 2, p. 209–222, jun. 2019, doi: 10.52165/sgj.11.2.209-222.</w:t>
      </w:r>
    </w:p>
    <w:p w14:paraId="5CD1C5FA">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[10]</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A. Kochanowicz, B. Niespodziński, M. Marina, J. Mieszkowski, L. Biskup, e K. Kochanowicz, “Relationship between postural control and muscle activity during a handstand in young and adult gymnasts”, </w:t>
      </w:r>
      <w:r>
        <w:rPr>
          <w:rFonts w:hint="default" w:ascii="Times New Roman" w:hAnsi="Times New Roman" w:eastAsia="Times New Roman" w:cs="Times New Roman"/>
          <w:i/>
          <w:sz w:val="23"/>
          <w:szCs w:val="23"/>
          <w:lang w:val="pt-BR"/>
        </w:rPr>
        <w:t>Hum. Mov. Sci.</w:t>
      </w:r>
      <w:r>
        <w:rPr>
          <w:rFonts w:hint="default" w:ascii="Times New Roman" w:hAnsi="Times New Roman" w:eastAsia="Times New Roman" w:cs="Times New Roman"/>
          <w:sz w:val="23"/>
          <w:szCs w:val="23"/>
          <w:lang w:val="pt-BR"/>
        </w:rPr>
        <w:t>, v. 58, p. 195–204, abr. 2018, doi: 10.1016/j.humov.2018.02.007.</w:t>
      </w:r>
    </w:p>
    <w:p w14:paraId="61D40D06">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[11]</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P. Hedbávný, J. Sklenaříková, D. Hupka, e M. Kalichová, “BALANCING IN HANDSTAND ON THE FLOOR”, v. 5, n. 3.</w:t>
      </w:r>
    </w:p>
    <w:p w14:paraId="2BCCEBF2">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“Analyzing optimal muscle dynamics during handstands: a comprehensive investigation of skilled gymnasts”, </w:t>
      </w:r>
      <w:r>
        <w:rPr>
          <w:rFonts w:hint="default" w:ascii="Times New Roman" w:hAnsi="Times New Roman" w:eastAsia="Times New Roman" w:cs="Times New Roman"/>
          <w:i/>
          <w:sz w:val="23"/>
          <w:szCs w:val="23"/>
          <w:lang w:val="pt-BR"/>
        </w:rPr>
        <w:t>J. Phys. Educ. Sport</w:t>
      </w:r>
      <w:r>
        <w:rPr>
          <w:rFonts w:hint="default" w:ascii="Times New Roman" w:hAnsi="Times New Roman" w:eastAsia="Times New Roman" w:cs="Times New Roman"/>
          <w:sz w:val="23"/>
          <w:szCs w:val="23"/>
          <w:lang w:val="pt-BR"/>
        </w:rPr>
        <w:t>, v. 24, n. 4.</w:t>
      </w:r>
    </w:p>
    <w:p w14:paraId="70E406EE">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[13]</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P. S. B. Belčič, “Kinematic Analysis of handstands in gymnastics”, </w:t>
      </w:r>
      <w:r>
        <w:rPr>
          <w:rFonts w:hint="default" w:ascii="Times New Roman" w:hAnsi="Times New Roman" w:eastAsia="Times New Roman" w:cs="Times New Roman"/>
          <w:i/>
          <w:sz w:val="23"/>
          <w:szCs w:val="23"/>
          <w:lang w:val="pt-BR"/>
        </w:rPr>
        <w:t>Science of Gymnastics Journal</w:t>
      </w:r>
      <w:r>
        <w:rPr>
          <w:rFonts w:hint="default" w:ascii="Times New Roman" w:hAnsi="Times New Roman" w:eastAsia="Times New Roman" w:cs="Times New Roman"/>
          <w:sz w:val="23"/>
          <w:szCs w:val="23"/>
          <w:lang w:val="pt-BR"/>
        </w:rPr>
        <w:t>, v. 7, p. 19–30, 2015.</w:t>
      </w:r>
    </w:p>
    <w:p w14:paraId="711C2372">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[14]</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C. Eyssartier, P. Billard, P. Thoreux, e C. Sauret, “Spine Kinematics Behavior During the Handstand Posture: A Biplanar Radiographic Analysis”, </w:t>
      </w:r>
      <w:r>
        <w:rPr>
          <w:rFonts w:hint="default" w:ascii="Times New Roman" w:hAnsi="Times New Roman" w:eastAsia="Times New Roman" w:cs="Times New Roman"/>
          <w:i/>
          <w:sz w:val="23"/>
          <w:szCs w:val="23"/>
          <w:lang w:val="pt-BR"/>
        </w:rPr>
        <w:t>J. Funct. Morphol. Kinesiol.</w:t>
      </w:r>
      <w:r>
        <w:rPr>
          <w:rFonts w:hint="default" w:ascii="Times New Roman" w:hAnsi="Times New Roman" w:eastAsia="Times New Roman" w:cs="Times New Roman"/>
          <w:sz w:val="23"/>
          <w:szCs w:val="23"/>
          <w:lang w:val="pt-BR"/>
        </w:rPr>
        <w:t>, v. 9, n. 4, p. 252, dez. 2024, doi: 10.3390/jfmk9040252.</w:t>
      </w:r>
    </w:p>
    <w:p w14:paraId="6DB412CF">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[15]</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McDonald, J. S. Baker, Y. Gu, e U. C. Ugbolue, “Biomechanical analyses of the handstand: a systematic review”, </w:t>
      </w:r>
      <w:r>
        <w:rPr>
          <w:rFonts w:hint="default" w:ascii="Times New Roman" w:hAnsi="Times New Roman" w:eastAsia="Times New Roman" w:cs="Times New Roman"/>
          <w:i/>
          <w:sz w:val="23"/>
          <w:szCs w:val="23"/>
          <w:lang w:val="pt-BR"/>
        </w:rPr>
        <w:t>Front. Sports Act. Living</w:t>
      </w:r>
      <w:r>
        <w:rPr>
          <w:rFonts w:hint="default" w:ascii="Times New Roman" w:hAnsi="Times New Roman" w:eastAsia="Times New Roman" w:cs="Times New Roman"/>
          <w:sz w:val="23"/>
          <w:szCs w:val="23"/>
          <w:lang w:val="pt-BR"/>
        </w:rPr>
        <w:t>, v. 7, p. 1694648, dez. 2025, doi: 10.3389/fspor.2025.1694648.</w:t>
      </w:r>
    </w:p>
    <w:p w14:paraId="6857143D">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[16]</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D. Milosis e T. Satras, “THE EFFECTIVENESS OF DIFFERENT HANDSTAND PLACEMENT TECHNIQUES IN HANDSTAND BALANCE CONTROL AND GENDER DIFFERENCESDSTAND BALANCE CONTROL AND GENDER DIFFERENCES”, </w:t>
      </w:r>
      <w:r>
        <w:rPr>
          <w:rFonts w:hint="default" w:ascii="Times New Roman" w:hAnsi="Times New Roman" w:eastAsia="Times New Roman" w:cs="Times New Roman"/>
          <w:i/>
          <w:sz w:val="23"/>
          <w:szCs w:val="23"/>
          <w:lang w:val="pt-BR"/>
        </w:rPr>
        <w:t>Sci. Gymnast. J.</w:t>
      </w:r>
      <w:r>
        <w:rPr>
          <w:rFonts w:hint="default" w:ascii="Times New Roman" w:hAnsi="Times New Roman" w:eastAsia="Times New Roman" w:cs="Times New Roman"/>
          <w:sz w:val="23"/>
          <w:szCs w:val="23"/>
          <w:lang w:val="pt-BR"/>
        </w:rPr>
        <w:t>, v. 15, n. 3, p. 375–394, out. 2023, doi: 10.52165/sgj.15.3.375-394.</w:t>
      </w:r>
    </w:p>
    <w:p w14:paraId="63639AC6">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[17]</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R. Farana, P. Brtva, G. Irwin, e K. M. Newell, “Neck Angle in the Handstand Changes the Pattern of Multi-Joint Variability”, </w:t>
      </w:r>
      <w:r>
        <w:rPr>
          <w:rFonts w:hint="default" w:ascii="Times New Roman" w:hAnsi="Times New Roman" w:eastAsia="Times New Roman" w:cs="Times New Roman"/>
          <w:i/>
          <w:sz w:val="23"/>
          <w:szCs w:val="23"/>
          <w:lang w:val="pt-BR"/>
        </w:rPr>
        <w:t>J. Mot. Behav.</w:t>
      </w:r>
      <w:r>
        <w:rPr>
          <w:rFonts w:hint="default" w:ascii="Times New Roman" w:hAnsi="Times New Roman" w:eastAsia="Times New Roman" w:cs="Times New Roman"/>
          <w:sz w:val="23"/>
          <w:szCs w:val="23"/>
          <w:lang w:val="pt-BR"/>
        </w:rPr>
        <w:t>, v. 57, n. 6, p. 768–776, nov. 2025, doi: 10.1080/00222895.2025.2558711.</w:t>
      </w:r>
    </w:p>
    <w:p w14:paraId="20429487">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[18]</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E. Thomas </w:t>
      </w:r>
      <w:r>
        <w:rPr>
          <w:rFonts w:hint="default" w:ascii="Times New Roman" w:hAnsi="Times New Roman" w:eastAsia="Times New Roman" w:cs="Times New Roman"/>
          <w:i/>
          <w:sz w:val="23"/>
          <w:szCs w:val="23"/>
          <w:lang w:val="pt-BR"/>
        </w:rPr>
        <w:t>et al.</w:t>
      </w:r>
      <w:r>
        <w:rPr>
          <w:rFonts w:hint="default" w:ascii="Times New Roman" w:hAnsi="Times New Roman" w:eastAsia="Times New Roman" w:cs="Times New Roman"/>
          <w:sz w:val="23"/>
          <w:szCs w:val="23"/>
          <w:lang w:val="pt-BR"/>
        </w:rPr>
        <w:t xml:space="preserve">, “Evaluation of Posturographic and Neuromuscular Parameters during Upright Stance and Hand Standing: A Pilot Study”, </w:t>
      </w:r>
      <w:r>
        <w:rPr>
          <w:rFonts w:hint="default" w:ascii="Times New Roman" w:hAnsi="Times New Roman" w:eastAsia="Times New Roman" w:cs="Times New Roman"/>
          <w:i/>
          <w:sz w:val="23"/>
          <w:szCs w:val="23"/>
          <w:lang w:val="pt-BR"/>
        </w:rPr>
        <w:t>J. Funct. Morphol. Kinesiol.</w:t>
      </w:r>
      <w:r>
        <w:rPr>
          <w:rFonts w:hint="default" w:ascii="Times New Roman" w:hAnsi="Times New Roman" w:eastAsia="Times New Roman" w:cs="Times New Roman"/>
          <w:sz w:val="23"/>
          <w:szCs w:val="23"/>
          <w:lang w:val="pt-BR"/>
        </w:rPr>
        <w:t>, v. 8, n. 2, p. 40, mar. 2023, doi: 10.3390/jfmk8020040.</w:t>
      </w:r>
    </w:p>
    <w:p w14:paraId="00E6478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[19]</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R. Sabido, F. García-Aguilar, C. Caballero, e F. J. Moreno, “How does fatigue affect handstand balance? a non-linear approach to study fatigue influence in handstand performance”, </w:t>
      </w:r>
      <w:r>
        <w:rPr>
          <w:rFonts w:hint="default" w:ascii="Times New Roman" w:hAnsi="Times New Roman" w:eastAsia="Times New Roman" w:cs="Times New Roman"/>
          <w:i/>
          <w:sz w:val="23"/>
          <w:szCs w:val="23"/>
          <w:lang w:val="pt-BR"/>
        </w:rPr>
        <w:t>J. NeuroEngineering Rehabil.</w:t>
      </w:r>
      <w:r>
        <w:rPr>
          <w:rFonts w:hint="default" w:ascii="Times New Roman" w:hAnsi="Times New Roman" w:eastAsia="Times New Roman" w:cs="Times New Roman"/>
          <w:sz w:val="23"/>
          <w:szCs w:val="23"/>
          <w:lang w:val="pt-BR"/>
        </w:rPr>
        <w:t>, v. 21, n. 1, p. 171, set. 2024, doi: 10.1186/s12984-024-01442-6.</w:t>
      </w:r>
    </w:p>
    <w:p w14:paraId="778D8BAC">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[20]</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J. Omorczyk, A. Zajac, e E. Puszczalowska-Lizis, “Relationships between postural stability in standing and handstand and psychological factors in athletes practicing artistic gymnastics”, </w:t>
      </w:r>
      <w:r>
        <w:rPr>
          <w:rFonts w:hint="default" w:ascii="Times New Roman" w:hAnsi="Times New Roman" w:eastAsia="Times New Roman" w:cs="Times New Roman"/>
          <w:i/>
          <w:sz w:val="23"/>
          <w:szCs w:val="23"/>
          <w:lang w:val="pt-BR"/>
        </w:rPr>
        <w:t>Balt. J. Health Phys. Act.</w:t>
      </w:r>
      <w:r>
        <w:rPr>
          <w:rFonts w:hint="default" w:ascii="Times New Roman" w:hAnsi="Times New Roman" w:eastAsia="Times New Roman" w:cs="Times New Roman"/>
          <w:sz w:val="23"/>
          <w:szCs w:val="23"/>
          <w:lang w:val="pt-BR"/>
        </w:rPr>
        <w:t>, p. 96–106, dez. 2019, doi: 10.29359/BJHPA.11.4.11.</w:t>
      </w:r>
    </w:p>
    <w:p w14:paraId="6856B623">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[21]</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J. Omorczyk, P. Bujas, E. Puszczałowska-Lizis, e L. Biskup, “Balance in handstand and postural stability in standing position in athletes practicing gymnastics”, </w:t>
      </w:r>
      <w:r>
        <w:rPr>
          <w:rFonts w:hint="default" w:ascii="Times New Roman" w:hAnsi="Times New Roman" w:eastAsia="Times New Roman" w:cs="Times New Roman"/>
          <w:i/>
          <w:sz w:val="23"/>
          <w:szCs w:val="23"/>
          <w:lang w:val="pt-BR"/>
        </w:rPr>
        <w:t>Acta Bioeng. Biomech. 022018 ISSN 1509-409X</w:t>
      </w:r>
      <w:r>
        <w:rPr>
          <w:rFonts w:hint="default" w:ascii="Times New Roman" w:hAnsi="Times New Roman" w:eastAsia="Times New Roman" w:cs="Times New Roman"/>
          <w:sz w:val="23"/>
          <w:szCs w:val="23"/>
          <w:lang w:val="pt-BR"/>
        </w:rPr>
        <w:t>, 2018, doi: 10.5277/ABB-01110-2018-02.</w:t>
      </w:r>
    </w:p>
    <w:p w14:paraId="75E4730A">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A. Kochanowicz, K. Kochanowicz, B. Niespodzinski, J. Mieszkowski, e L. Biskup, “The level of body balance in a handstand and the effectiveness of sports training in gymnastics”, </w:t>
      </w:r>
      <w:r>
        <w:rPr>
          <w:rFonts w:hint="default" w:ascii="Times New Roman" w:hAnsi="Times New Roman" w:eastAsia="Times New Roman" w:cs="Times New Roman"/>
          <w:i/>
          <w:sz w:val="23"/>
          <w:szCs w:val="23"/>
          <w:lang w:val="pt-BR"/>
        </w:rPr>
        <w:t>Balt. J. Health Phys. Act.</w:t>
      </w:r>
      <w:r>
        <w:rPr>
          <w:rFonts w:hint="default" w:ascii="Times New Roman" w:hAnsi="Times New Roman" w:eastAsia="Times New Roman" w:cs="Times New Roman"/>
          <w:sz w:val="23"/>
          <w:szCs w:val="23"/>
          <w:lang w:val="pt-BR"/>
        </w:rPr>
        <w:t>, v. 7, n. 4, p. 117–124, dez. 2015, doi: 10.29359/BJHPA.07.4.11.</w:t>
      </w:r>
    </w:p>
    <w:p w14:paraId="5E3F67C4">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[23]</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Grabowiecki, L. Rum, L. Laudani, e G. Vannozzi, “Biomechanical characteristics of handstand walking initiation”, </w:t>
      </w:r>
      <w:r>
        <w:rPr>
          <w:rFonts w:hint="default" w:ascii="Times New Roman" w:hAnsi="Times New Roman" w:eastAsia="Times New Roman" w:cs="Times New Roman"/>
          <w:i/>
          <w:sz w:val="23"/>
          <w:szCs w:val="23"/>
          <w:lang w:val="pt-BR"/>
        </w:rPr>
        <w:t>Gait Posture</w:t>
      </w:r>
      <w:r>
        <w:rPr>
          <w:rFonts w:hint="default" w:ascii="Times New Roman" w:hAnsi="Times New Roman" w:eastAsia="Times New Roman" w:cs="Times New Roman"/>
          <w:sz w:val="23"/>
          <w:szCs w:val="23"/>
          <w:lang w:val="pt-BR"/>
        </w:rPr>
        <w:t>, v. 86, p. 311–318, maio 2021, doi: 10.1016/j.gaitpost.2021.03.036.</w:t>
      </w:r>
    </w:p>
    <w:p w14:paraId="45EBDC8D">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[24]</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Grabowiecki, L. Rum, L. Laudani, e G. Vannozzi, “Effects of an external load on anticipatory mechanisms of handstand walking initiation in experienced gymnasts”, </w:t>
      </w:r>
      <w:r>
        <w:rPr>
          <w:rFonts w:hint="default" w:ascii="Times New Roman" w:hAnsi="Times New Roman" w:eastAsia="Times New Roman" w:cs="Times New Roman"/>
          <w:i/>
          <w:sz w:val="23"/>
          <w:szCs w:val="23"/>
          <w:lang w:val="pt-BR"/>
        </w:rPr>
        <w:t>J. Sports Sci.</w:t>
      </w:r>
      <w:r>
        <w:rPr>
          <w:rFonts w:hint="default" w:ascii="Times New Roman" w:hAnsi="Times New Roman" w:eastAsia="Times New Roman" w:cs="Times New Roman"/>
          <w:sz w:val="23"/>
          <w:szCs w:val="23"/>
          <w:lang w:val="pt-BR"/>
        </w:rPr>
        <w:t>, v. 43, n. 4, p. 370–380, fev. 2025, doi: 10.1080/02640414.2025.2458995.</w:t>
      </w:r>
    </w:p>
    <w:p w14:paraId="0E452D55">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[25]</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G. M. Earhart e C. Mosiman, “COORDINATION OF HANDWALKING IN GYMNASTS: A COMPARISON TO BIPEDAL WALKING”, v. 2, n. 2.</w:t>
      </w:r>
    </w:p>
    <w:p w14:paraId="27EA4007">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[26]</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N. F. A. Ambrósio, G. M. Lage, L. E. A. Bicalho, C. R. Couto, I. M. S. Aleixo, e T. Apolinario-Souza, “THE RELATIONSHIP BETWEEN STRENGTH CAPACITY AND MOTOR PERFORMANCE IN THE GYMNASTIC HANDSTAND: A MACHINE LEARNING STUDY”, </w:t>
      </w:r>
      <w:r>
        <w:rPr>
          <w:rFonts w:hint="default" w:ascii="Times New Roman" w:hAnsi="Times New Roman" w:eastAsia="Times New Roman" w:cs="Times New Roman"/>
          <w:i/>
          <w:sz w:val="23"/>
          <w:szCs w:val="23"/>
          <w:lang w:val="pt-BR"/>
        </w:rPr>
        <w:t>Sci. Gymnast. J.</w:t>
      </w:r>
      <w:r>
        <w:rPr>
          <w:rFonts w:hint="default" w:ascii="Times New Roman" w:hAnsi="Times New Roman" w:eastAsia="Times New Roman" w:cs="Times New Roman"/>
          <w:sz w:val="23"/>
          <w:szCs w:val="23"/>
          <w:lang w:val="pt-BR"/>
        </w:rPr>
        <w:t>, v. 16, n. 2, p. 211–223, jun. 2024, doi: 10.52165/sgj.16.2.211-223.</w:t>
      </w:r>
    </w:p>
    <w:p w14:paraId="05D6A574">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[27]</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P. Hedbávný, G. Bago, e M. Kalichová, “Influence of Strength Abilities on Quality of the Handstand”, v. 7, n. 10, 2013.</w:t>
      </w:r>
    </w:p>
    <w:p w14:paraId="1FDD226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[28]</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Jemni, Org., </w:t>
      </w:r>
      <w:r>
        <w:rPr>
          <w:rFonts w:hint="default" w:ascii="Times New Roman" w:hAnsi="Times New Roman" w:eastAsia="Times New Roman" w:cs="Times New Roman"/>
          <w:i/>
          <w:sz w:val="23"/>
          <w:szCs w:val="23"/>
          <w:lang w:val="pt-BR"/>
        </w:rPr>
        <w:t>The Science of Gymnastics: Advanced Concepts</w:t>
      </w:r>
      <w:r>
        <w:rPr>
          <w:rFonts w:hint="default" w:ascii="Times New Roman" w:hAnsi="Times New Roman" w:eastAsia="Times New Roman" w:cs="Times New Roman"/>
          <w:sz w:val="23"/>
          <w:szCs w:val="23"/>
          <w:lang w:val="pt-BR"/>
        </w:rPr>
        <w:t>, 2</w:t>
      </w:r>
      <w:r>
        <w:rPr>
          <w:rFonts w:hint="default" w:ascii="Times New Roman" w:hAnsi="Times New Roman" w:eastAsia="Times New Roman" w:cs="Times New Roman"/>
          <w:sz w:val="23"/>
          <w:szCs w:val="23"/>
          <w:vertAlign w:val="superscript"/>
          <w:lang w:val="pt-BR"/>
        </w:rPr>
        <w:t>o</w:t>
      </w:r>
      <w:r>
        <w:rPr>
          <w:rFonts w:hint="default" w:ascii="Times New Roman" w:hAnsi="Times New Roman" w:eastAsia="Times New Roman" w:cs="Times New Roman"/>
          <w:sz w:val="23"/>
          <w:szCs w:val="23"/>
          <w:lang w:val="pt-BR"/>
        </w:rPr>
        <w:t xml:space="preserve"> ed. Routledge, 2017. doi: 10.4324/9781315203805.</w:t>
      </w:r>
    </w:p>
    <w:p w14:paraId="402A56A0">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[29]</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D. A. Winter, </w:t>
      </w:r>
      <w:r>
        <w:rPr>
          <w:rFonts w:hint="default" w:ascii="Times New Roman" w:hAnsi="Times New Roman" w:eastAsia="Times New Roman" w:cs="Times New Roman"/>
          <w:i/>
          <w:sz w:val="23"/>
          <w:szCs w:val="23"/>
          <w:lang w:val="pt-BR"/>
        </w:rPr>
        <w:t>Biomechanics and motor control of human movement</w:t>
      </w:r>
      <w:r>
        <w:rPr>
          <w:rFonts w:hint="default" w:ascii="Times New Roman" w:hAnsi="Times New Roman" w:eastAsia="Times New Roman" w:cs="Times New Roman"/>
          <w:sz w:val="23"/>
          <w:szCs w:val="23"/>
          <w:lang w:val="pt-BR"/>
        </w:rPr>
        <w:t>, 4th ed. Hoboken, N.J: Wiley, 2009.</w:t>
      </w:r>
    </w:p>
    <w:p w14:paraId="37321B0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[30]</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S. M. Slobounov e K. M. Newell, “Postural Dynamics in Upright and Inverted Stances”, </w:t>
      </w:r>
      <w:r>
        <w:rPr>
          <w:rFonts w:hint="default" w:ascii="Times New Roman" w:hAnsi="Times New Roman" w:eastAsia="Times New Roman" w:cs="Times New Roman"/>
          <w:i/>
          <w:sz w:val="23"/>
          <w:szCs w:val="23"/>
          <w:lang w:val="pt-BR"/>
        </w:rPr>
        <w:t>J. Appl. Biomech.</w:t>
      </w:r>
      <w:r>
        <w:rPr>
          <w:rFonts w:hint="default" w:ascii="Times New Roman" w:hAnsi="Times New Roman" w:eastAsia="Times New Roman" w:cs="Times New Roman"/>
          <w:sz w:val="23"/>
          <w:szCs w:val="23"/>
          <w:lang w:val="pt-BR"/>
        </w:rPr>
        <w:t>, v. 12, n. 2, p. 185–196, maio 1996, doi: 10.1123/jab.12.2.185.</w:t>
      </w:r>
    </w:p>
    <w:p w14:paraId="1C1A5A7A">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[31]</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G. Gautier, R. Thouvarecq, e D. Chollet, “Visual and postural control of an arbitrary posture: The handstand”, </w:t>
      </w:r>
      <w:r>
        <w:rPr>
          <w:rFonts w:hint="default" w:ascii="Times New Roman" w:hAnsi="Times New Roman" w:eastAsia="Times New Roman" w:cs="Times New Roman"/>
          <w:i/>
          <w:sz w:val="23"/>
          <w:szCs w:val="23"/>
          <w:lang w:val="pt-BR"/>
        </w:rPr>
        <w:t>J. Sports Sci.</w:t>
      </w:r>
      <w:r>
        <w:rPr>
          <w:rFonts w:hint="default" w:ascii="Times New Roman" w:hAnsi="Times New Roman" w:eastAsia="Times New Roman" w:cs="Times New Roman"/>
          <w:sz w:val="23"/>
          <w:szCs w:val="23"/>
          <w:lang w:val="pt-BR"/>
        </w:rPr>
        <w:t>, v. 25, n. 11, p. 1271–1278, set. 2007, doi: 10.1080/02640410601049144.</w:t>
      </w:r>
    </w:p>
    <w:p w14:paraId="28E534A7">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W.-L. Hsu, J. P. Scholz, G. Schöner, J. J. Jeka, e T. Kiemel, “Control and Estimation of Posture During Quiet Stance Depends on Multijoint Coordination”, </w:t>
      </w:r>
      <w:r>
        <w:rPr>
          <w:rFonts w:hint="default" w:ascii="Times New Roman" w:hAnsi="Times New Roman" w:eastAsia="Times New Roman" w:cs="Times New Roman"/>
          <w:i/>
          <w:sz w:val="23"/>
          <w:szCs w:val="23"/>
          <w:lang w:val="pt-BR"/>
        </w:rPr>
        <w:t>J. Neurophysiol.</w:t>
      </w:r>
      <w:r>
        <w:rPr>
          <w:rFonts w:hint="default" w:ascii="Times New Roman" w:hAnsi="Times New Roman" w:eastAsia="Times New Roman" w:cs="Times New Roman"/>
          <w:sz w:val="23"/>
          <w:szCs w:val="23"/>
          <w:lang w:val="pt-BR"/>
        </w:rPr>
        <w:t>, v. 97, n. 4, p. 3024–3035, abr. 2007, doi: 10.1152/jn.01142.2006.</w:t>
      </w:r>
    </w:p>
    <w:p w14:paraId="0425755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[33]</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C. Kilby, P. C. M. Molenaar, e K. M. Newell, “Models of Postural Control: Shared Variance in Joint and COM Motions”, </w:t>
      </w:r>
      <w:r>
        <w:rPr>
          <w:rFonts w:hint="default" w:ascii="Times New Roman" w:hAnsi="Times New Roman" w:eastAsia="Times New Roman" w:cs="Times New Roman"/>
          <w:i/>
          <w:sz w:val="23"/>
          <w:szCs w:val="23"/>
          <w:lang w:val="pt-BR"/>
        </w:rPr>
        <w:t>PLOS ONE</w:t>
      </w:r>
      <w:r>
        <w:rPr>
          <w:rFonts w:hint="default" w:ascii="Times New Roman" w:hAnsi="Times New Roman" w:eastAsia="Times New Roman" w:cs="Times New Roman"/>
          <w:sz w:val="23"/>
          <w:szCs w:val="23"/>
          <w:lang w:val="pt-BR"/>
        </w:rPr>
        <w:t>, v. 10, n. 5, p. e0126379, maio 2015, doi: 10.1371/journal.pone.0126379.</w:t>
      </w:r>
    </w:p>
    <w:p w14:paraId="48C11369">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[34]</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W. H. Gage, D. A. Winter, J. S. Frank, e A. L. Adkin, “Kinematic and kinetic validity of the inverted pendulum model in quiet standing”, </w:t>
      </w:r>
      <w:r>
        <w:rPr>
          <w:rFonts w:hint="default" w:ascii="Times New Roman" w:hAnsi="Times New Roman" w:eastAsia="Times New Roman" w:cs="Times New Roman"/>
          <w:i/>
          <w:sz w:val="23"/>
          <w:szCs w:val="23"/>
          <w:lang w:val="pt-BR"/>
        </w:rPr>
        <w:t>Gait Posture</w:t>
      </w:r>
      <w:r>
        <w:rPr>
          <w:rFonts w:hint="default" w:ascii="Times New Roman" w:hAnsi="Times New Roman" w:eastAsia="Times New Roman" w:cs="Times New Roman"/>
          <w:sz w:val="23"/>
          <w:szCs w:val="23"/>
          <w:lang w:val="pt-BR"/>
        </w:rPr>
        <w:t>, v. 19, n. 2, p. 124–132, abr. 2004, doi: 10.1016/S0966-6362(03)00037-7.</w:t>
      </w:r>
    </w:p>
    <w:p w14:paraId="557C6220">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[35]</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D. Winter, “Human balance and posture control during standing and walking”, </w:t>
      </w:r>
      <w:r>
        <w:rPr>
          <w:rFonts w:hint="default" w:ascii="Times New Roman" w:hAnsi="Times New Roman" w:eastAsia="Times New Roman" w:cs="Times New Roman"/>
          <w:i/>
          <w:sz w:val="23"/>
          <w:szCs w:val="23"/>
          <w:lang w:val="pt-BR"/>
        </w:rPr>
        <w:t>Gait Posture</w:t>
      </w:r>
      <w:r>
        <w:rPr>
          <w:rFonts w:hint="default" w:ascii="Times New Roman" w:hAnsi="Times New Roman" w:eastAsia="Times New Roman" w:cs="Times New Roman"/>
          <w:sz w:val="23"/>
          <w:szCs w:val="23"/>
          <w:lang w:val="pt-BR"/>
        </w:rPr>
        <w:t>, v. 3, n. 4, p. 193–214, dez. 1995, doi: 10.1016/0966-6362(96)82849-9.</w:t>
      </w:r>
    </w:p>
    <w:p w14:paraId="60F740F3">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[36]</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D. Abrahamová e F. Hlavačka, “Age-related changes of human balance during quiet stance”, </w:t>
      </w:r>
      <w:r>
        <w:rPr>
          <w:rFonts w:hint="default" w:ascii="Times New Roman" w:hAnsi="Times New Roman" w:eastAsia="Times New Roman" w:cs="Times New Roman"/>
          <w:i/>
          <w:sz w:val="23"/>
          <w:szCs w:val="23"/>
          <w:lang w:val="pt-BR"/>
        </w:rPr>
        <w:t>Physiol. Res.</w:t>
      </w:r>
      <w:r>
        <w:rPr>
          <w:rFonts w:hint="default" w:ascii="Times New Roman" w:hAnsi="Times New Roman" w:eastAsia="Times New Roman" w:cs="Times New Roman"/>
          <w:sz w:val="23"/>
          <w:szCs w:val="23"/>
          <w:lang w:val="pt-BR"/>
        </w:rPr>
        <w:t>, p. 957–964, 2008, doi: 10.33549/physiolres.931238.</w:t>
      </w:r>
    </w:p>
    <w:p w14:paraId="7B6AEB4B">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[37]</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Y. Laufer, “Effect of Age on Characteristics of Forward and Backward Gait at Preferred and Accelerated Walking Speed”, </w:t>
      </w:r>
      <w:r>
        <w:rPr>
          <w:rFonts w:hint="default" w:ascii="Times New Roman" w:hAnsi="Times New Roman" w:eastAsia="Times New Roman" w:cs="Times New Roman"/>
          <w:i/>
          <w:sz w:val="23"/>
          <w:szCs w:val="23"/>
          <w:lang w:val="pt-BR"/>
        </w:rPr>
        <w:t>J. Gerontol. A. Biol. Sci. Med. Sci.</w:t>
      </w:r>
      <w:r>
        <w:rPr>
          <w:rFonts w:hint="default" w:ascii="Times New Roman" w:hAnsi="Times New Roman" w:eastAsia="Times New Roman" w:cs="Times New Roman"/>
          <w:sz w:val="23"/>
          <w:szCs w:val="23"/>
          <w:lang w:val="pt-BR"/>
        </w:rPr>
        <w:t>, v. 60, n. 5, p. 627–632, maio 2005, doi: 10.1093/gerona/60.5.627.</w:t>
      </w:r>
    </w:p>
    <w:p w14:paraId="286F6C72">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[38]</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K. A. Ericsson, R. T. Krampe, e C. Tesch-Römer, “The role of deliberate practice in the acquisition of expert performance.”, </w:t>
      </w:r>
      <w:r>
        <w:rPr>
          <w:rFonts w:hint="default" w:ascii="Times New Roman" w:hAnsi="Times New Roman" w:eastAsia="Times New Roman" w:cs="Times New Roman"/>
          <w:i/>
          <w:sz w:val="23"/>
          <w:szCs w:val="23"/>
          <w:lang w:val="pt-BR"/>
        </w:rPr>
        <w:t>Psychol. Rev.</w:t>
      </w:r>
      <w:r>
        <w:rPr>
          <w:rFonts w:hint="default" w:ascii="Times New Roman" w:hAnsi="Times New Roman" w:eastAsia="Times New Roman" w:cs="Times New Roman"/>
          <w:sz w:val="23"/>
          <w:szCs w:val="23"/>
          <w:lang w:val="pt-BR"/>
        </w:rPr>
        <w:t>, v. 100, n. 3, p. 363–406, jul. 1993, doi: 10.1037/0033-295X.100.3.363.</w:t>
      </w:r>
    </w:p>
    <w:p w14:paraId="16F81169">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[39]</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R. D. Seidler </w:t>
      </w:r>
      <w:r>
        <w:rPr>
          <w:rFonts w:hint="default" w:ascii="Times New Roman" w:hAnsi="Times New Roman" w:eastAsia="Times New Roman" w:cs="Times New Roman"/>
          <w:i/>
          <w:sz w:val="23"/>
          <w:szCs w:val="23"/>
          <w:lang w:val="pt-BR"/>
        </w:rPr>
        <w:t>et al.</w:t>
      </w:r>
      <w:r>
        <w:rPr>
          <w:rFonts w:hint="default" w:ascii="Times New Roman" w:hAnsi="Times New Roman" w:eastAsia="Times New Roman" w:cs="Times New Roman"/>
          <w:sz w:val="23"/>
          <w:szCs w:val="23"/>
          <w:lang w:val="pt-BR"/>
        </w:rPr>
        <w:t xml:space="preserve">, “Motor control and aging: Links to age-related brain structural, functional, and biochemical effects”, </w:t>
      </w:r>
      <w:r>
        <w:rPr>
          <w:rFonts w:hint="default" w:ascii="Times New Roman" w:hAnsi="Times New Roman" w:eastAsia="Times New Roman" w:cs="Times New Roman"/>
          <w:i/>
          <w:sz w:val="23"/>
          <w:szCs w:val="23"/>
          <w:lang w:val="pt-BR"/>
        </w:rPr>
        <w:t>Neurosci. Biobehav. Rev.</w:t>
      </w:r>
      <w:r>
        <w:rPr>
          <w:rFonts w:hint="default" w:ascii="Times New Roman" w:hAnsi="Times New Roman" w:eastAsia="Times New Roman" w:cs="Times New Roman"/>
          <w:sz w:val="23"/>
          <w:szCs w:val="23"/>
          <w:lang w:val="pt-BR"/>
        </w:rPr>
        <w:t>, v. 34, n. 5, p. 721–733, abr. 2010, doi: 10.1016/j.neubiorev.2009.10.005.</w:t>
      </w:r>
    </w:p>
    <w:p w14:paraId="44ADB4F0">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[40]</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F. Faul, E. Erdfelder, A.-G. Lang, e A. Buchner, “G*Power 3: A flexible statistical power analysis program for the social, behavioral, and biomedical sciences”, </w:t>
      </w:r>
      <w:r>
        <w:rPr>
          <w:rFonts w:hint="default" w:ascii="Times New Roman" w:hAnsi="Times New Roman" w:eastAsia="Times New Roman" w:cs="Times New Roman"/>
          <w:i/>
          <w:sz w:val="23"/>
          <w:szCs w:val="23"/>
          <w:lang w:val="pt-BR"/>
        </w:rPr>
        <w:t>Behav. Res. Methods</w:t>
      </w:r>
      <w:r>
        <w:rPr>
          <w:rFonts w:hint="default" w:ascii="Times New Roman" w:hAnsi="Times New Roman" w:eastAsia="Times New Roman" w:cs="Times New Roman"/>
          <w:sz w:val="23"/>
          <w:szCs w:val="23"/>
          <w:lang w:val="pt-BR"/>
        </w:rPr>
        <w:t>, v. 39, n. 2, p. 175–191, maio 2007, doi: 10.3758/BF03193146.</w:t>
      </w:r>
    </w:p>
    <w:p w14:paraId="50A8C81E">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[41]</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F. Faul, E. Erdfelder, A. Buchner, e A.-G. Lang, “Statistical power analyses using G*Power 3.1: Tests for correlation and regression analyses”, </w:t>
      </w:r>
      <w:r>
        <w:rPr>
          <w:rFonts w:hint="default" w:ascii="Times New Roman" w:hAnsi="Times New Roman" w:eastAsia="Times New Roman" w:cs="Times New Roman"/>
          <w:i/>
          <w:sz w:val="23"/>
          <w:szCs w:val="23"/>
          <w:lang w:val="pt-BR"/>
        </w:rPr>
        <w:t>Behav. Res. Methods</w:t>
      </w:r>
      <w:r>
        <w:rPr>
          <w:rFonts w:hint="default" w:ascii="Times New Roman" w:hAnsi="Times New Roman" w:eastAsia="Times New Roman" w:cs="Times New Roman"/>
          <w:sz w:val="23"/>
          <w:szCs w:val="23"/>
          <w:lang w:val="pt-BR"/>
        </w:rPr>
        <w:t>, v. 41, n. 4, p. 1149–1160, nov. 2009, doi: 10.3758/BRM.41.4.1149.</w:t>
      </w:r>
    </w:p>
    <w:p w14:paraId="71D199F6">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J. Cohen, </w:t>
      </w:r>
      <w:r>
        <w:rPr>
          <w:rFonts w:hint="default" w:ascii="Times New Roman" w:hAnsi="Times New Roman" w:eastAsia="Times New Roman" w:cs="Times New Roman"/>
          <w:i/>
          <w:sz w:val="23"/>
          <w:szCs w:val="23"/>
          <w:lang w:val="pt-BR"/>
        </w:rPr>
        <w:t>Statistical power analysis for the behavioral sciences</w:t>
      </w:r>
      <w:r>
        <w:rPr>
          <w:rFonts w:hint="default" w:ascii="Times New Roman" w:hAnsi="Times New Roman" w:eastAsia="Times New Roman" w:cs="Times New Roman"/>
          <w:sz w:val="23"/>
          <w:szCs w:val="23"/>
          <w:lang w:val="pt-BR"/>
        </w:rPr>
        <w:t>, 2. ed., Reprint. New York, NY: Psychology Press, 2009.</w:t>
      </w:r>
    </w:p>
    <w:p w14:paraId="1A372D5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[43]</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H. Chen, P. Cohen, e S. Chen, “How Big is a Big Odds Ratio? Interpreting the Magnitudes of Odds Ratios in Epidemiological Studies”, </w:t>
      </w:r>
      <w:r>
        <w:rPr>
          <w:rFonts w:hint="default" w:ascii="Times New Roman" w:hAnsi="Times New Roman" w:eastAsia="Times New Roman" w:cs="Times New Roman"/>
          <w:i/>
          <w:sz w:val="23"/>
          <w:szCs w:val="23"/>
          <w:lang w:val="pt-BR"/>
        </w:rPr>
        <w:t>Commun. Stat. - Simul. Comput.</w:t>
      </w:r>
      <w:r>
        <w:rPr>
          <w:rFonts w:hint="default" w:ascii="Times New Roman" w:hAnsi="Times New Roman" w:eastAsia="Times New Roman" w:cs="Times New Roman"/>
          <w:sz w:val="23"/>
          <w:szCs w:val="23"/>
          <w:lang w:val="pt-BR"/>
        </w:rPr>
        <w:t>, v. 39, n. 4, p. 860–864, mar. 2010, doi: 10.1080/03610911003650383.</w:t>
      </w:r>
    </w:p>
    <w:p w14:paraId="12D93378">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[44]</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P. Peduzzi, J. Concato, E. Kemper, T. R. Holford, e A. R. Feinstein, “A simulation study of the number of events per variable in logistic regression analysis”, </w:t>
      </w:r>
      <w:r>
        <w:rPr>
          <w:rFonts w:hint="default" w:ascii="Times New Roman" w:hAnsi="Times New Roman" w:eastAsia="Times New Roman" w:cs="Times New Roman"/>
          <w:i/>
          <w:sz w:val="23"/>
          <w:szCs w:val="23"/>
          <w:lang w:val="pt-BR"/>
        </w:rPr>
        <w:t>J. Clin. Epidemiol.</w:t>
      </w:r>
      <w:r>
        <w:rPr>
          <w:rFonts w:hint="default" w:ascii="Times New Roman" w:hAnsi="Times New Roman" w:eastAsia="Times New Roman" w:cs="Times New Roman"/>
          <w:sz w:val="23"/>
          <w:szCs w:val="23"/>
          <w:lang w:val="pt-BR"/>
        </w:rPr>
        <w:t>, v. 49, n. 12, p. 1373–1379, dez. 1996, doi: 10.1016/S0895-4356(96)00236-3.</w:t>
      </w:r>
    </w:p>
    <w:p w14:paraId="55C78466">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[45]</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Y. Benjamini e Y. Hochberg, “Controlling the False Discovery Rate: A Practical and Powerful Approach to Multiple Testing”, </w:t>
      </w:r>
      <w:r>
        <w:rPr>
          <w:rFonts w:hint="default" w:ascii="Times New Roman" w:hAnsi="Times New Roman" w:eastAsia="Times New Roman" w:cs="Times New Roman"/>
          <w:i/>
          <w:sz w:val="23"/>
          <w:szCs w:val="23"/>
          <w:lang w:val="pt-BR"/>
        </w:rPr>
        <w:t>J. R. Stat. Soc. Ser. B Stat. Methodol.</w:t>
      </w:r>
      <w:r>
        <w:rPr>
          <w:rFonts w:hint="default" w:ascii="Times New Roman" w:hAnsi="Times New Roman" w:eastAsia="Times New Roman" w:cs="Times New Roman"/>
          <w:sz w:val="23"/>
          <w:szCs w:val="23"/>
          <w:lang w:val="pt-BR"/>
        </w:rPr>
        <w:t>, v. 57, n. 1, p. 289–300, jan. 1995, doi: 10.1111/j.2517-6161.1995.tb02031.x.</w:t>
      </w:r>
    </w:p>
    <w:p w14:paraId="593BDD2B">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[46]</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American College of Sports Medicine, C. Ozemek, A. R. Bonikowske, J. W. Christle, e P. M. Gallo, Org., </w:t>
      </w:r>
      <w:r>
        <w:rPr>
          <w:rFonts w:hint="default" w:ascii="Times New Roman" w:hAnsi="Times New Roman" w:eastAsia="Times New Roman" w:cs="Times New Roman"/>
          <w:i/>
          <w:sz w:val="23"/>
          <w:szCs w:val="23"/>
          <w:lang w:val="pt-BR"/>
        </w:rPr>
        <w:t>ACSM’s guidelines for exercise testing and prescription</w:t>
      </w:r>
      <w:r>
        <w:rPr>
          <w:rFonts w:hint="default" w:ascii="Times New Roman" w:hAnsi="Times New Roman" w:eastAsia="Times New Roman" w:cs="Times New Roman"/>
          <w:sz w:val="23"/>
          <w:szCs w:val="23"/>
          <w:lang w:val="pt-BR"/>
        </w:rPr>
        <w:t>, Twelfth edition. Philadelphia, PA: Wolters Kluwer, 2026.</w:t>
      </w:r>
    </w:p>
    <w:p w14:paraId="443BD16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[47]</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G. Haff, N. T. Triplett, e National Strength &amp; Conditioning Association, Org., </w:t>
      </w:r>
      <w:r>
        <w:rPr>
          <w:rFonts w:hint="default" w:ascii="Times New Roman" w:hAnsi="Times New Roman" w:eastAsia="Times New Roman" w:cs="Times New Roman"/>
          <w:i/>
          <w:sz w:val="23"/>
          <w:szCs w:val="23"/>
          <w:lang w:val="pt-BR"/>
        </w:rPr>
        <w:t>Essentials of strength training and conditioning</w:t>
      </w:r>
      <w:r>
        <w:rPr>
          <w:rFonts w:hint="default" w:ascii="Times New Roman" w:hAnsi="Times New Roman" w:eastAsia="Times New Roman" w:cs="Times New Roman"/>
          <w:sz w:val="23"/>
          <w:szCs w:val="23"/>
          <w:lang w:val="pt-BR"/>
        </w:rPr>
        <w:t>, Fifth edition. Champaign, IL: Human Kinetics, 2027.</w:t>
      </w:r>
    </w:p>
    <w:p w14:paraId="1D171917">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[48]</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U. Kyle, “Bioelectrical impedance analysis?part I: review of principles and methods”, </w:t>
      </w:r>
      <w:r>
        <w:rPr>
          <w:rFonts w:hint="default" w:ascii="Times New Roman" w:hAnsi="Times New Roman" w:eastAsia="Times New Roman" w:cs="Times New Roman"/>
          <w:i/>
          <w:sz w:val="23"/>
          <w:szCs w:val="23"/>
          <w:lang w:val="pt-BR"/>
        </w:rPr>
        <w:t>Clin. Nutr.</w:t>
      </w:r>
      <w:r>
        <w:rPr>
          <w:rFonts w:hint="default" w:ascii="Times New Roman" w:hAnsi="Times New Roman" w:eastAsia="Times New Roman" w:cs="Times New Roman"/>
          <w:sz w:val="23"/>
          <w:szCs w:val="23"/>
          <w:lang w:val="pt-BR"/>
        </w:rPr>
        <w:t>, v. 23, n. 5, p. 1226–1243, out. 2004, doi: 10.1016/j.clnu.2004.06.004.</w:t>
      </w:r>
    </w:p>
    <w:p w14:paraId="4BCFDE24">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[49]</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H. C. Lukaski, W. W. Bolonchuk, C. B. Hall, e W. A. Siders, “Validation of tetrapolar bioelectrical impedance method to assess human body composition”, </w:t>
      </w:r>
      <w:r>
        <w:rPr>
          <w:rFonts w:hint="default" w:ascii="Times New Roman" w:hAnsi="Times New Roman" w:eastAsia="Times New Roman" w:cs="Times New Roman"/>
          <w:i/>
          <w:sz w:val="23"/>
          <w:szCs w:val="23"/>
          <w:lang w:val="pt-BR"/>
        </w:rPr>
        <w:t>J. Appl. Physiol.</w:t>
      </w:r>
      <w:r>
        <w:rPr>
          <w:rFonts w:hint="default" w:ascii="Times New Roman" w:hAnsi="Times New Roman" w:eastAsia="Times New Roman" w:cs="Times New Roman"/>
          <w:sz w:val="23"/>
          <w:szCs w:val="23"/>
          <w:lang w:val="pt-BR"/>
        </w:rPr>
        <w:t>, v. 60, n. 4, p. 1327–1332, abr. 1986, doi: 10.1152/jappl.1986.60.4.1327.</w:t>
      </w:r>
    </w:p>
    <w:p w14:paraId="0F9FFF45">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[50]</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V. Mathiowetz, “Comparison of Rolyan and Jamar dynamometers for measuring grip strength”, </w:t>
      </w:r>
      <w:r>
        <w:rPr>
          <w:rFonts w:hint="default" w:ascii="Times New Roman" w:hAnsi="Times New Roman" w:eastAsia="Times New Roman" w:cs="Times New Roman"/>
          <w:i/>
          <w:sz w:val="23"/>
          <w:szCs w:val="23"/>
          <w:lang w:val="pt-BR"/>
        </w:rPr>
        <w:t>Occup. Ther. Int.</w:t>
      </w:r>
      <w:r>
        <w:rPr>
          <w:rFonts w:hint="default" w:ascii="Times New Roman" w:hAnsi="Times New Roman" w:eastAsia="Times New Roman" w:cs="Times New Roman"/>
          <w:sz w:val="23"/>
          <w:szCs w:val="23"/>
          <w:lang w:val="pt-BR"/>
        </w:rPr>
        <w:t>, v. 9, n. 3, p. 201–209, ago. 2002, doi: 10.1002/oti.165.</w:t>
      </w:r>
    </w:p>
    <w:p w14:paraId="393DEF15">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[51]</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M. Reis e P. M. M. Arantes, “Medida da força de preensão manual- validade e confiabilidade do dinamômetro saehan”, </w:t>
      </w:r>
      <w:r>
        <w:rPr>
          <w:rFonts w:hint="default" w:ascii="Times New Roman" w:hAnsi="Times New Roman" w:eastAsia="Times New Roman" w:cs="Times New Roman"/>
          <w:i/>
          <w:sz w:val="23"/>
          <w:szCs w:val="23"/>
          <w:lang w:val="pt-BR"/>
        </w:rPr>
        <w:t>Fisioter. E Pesqui.</w:t>
      </w:r>
      <w:r>
        <w:rPr>
          <w:rFonts w:hint="default" w:ascii="Times New Roman" w:hAnsi="Times New Roman" w:eastAsia="Times New Roman" w:cs="Times New Roman"/>
          <w:sz w:val="23"/>
          <w:szCs w:val="23"/>
          <w:lang w:val="pt-BR"/>
        </w:rPr>
        <w:t>, v. 18, n. 2, p. 176–181, jun. 2011, doi: 10.1590/S1809-29502011000200013.</w:t>
      </w:r>
    </w:p>
    <w:p w14:paraId="1335CDB4">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H. C. Roberts </w:t>
      </w:r>
      <w:r>
        <w:rPr>
          <w:rFonts w:hint="default" w:ascii="Times New Roman" w:hAnsi="Times New Roman" w:eastAsia="Times New Roman" w:cs="Times New Roman"/>
          <w:i/>
          <w:sz w:val="23"/>
          <w:szCs w:val="23"/>
          <w:lang w:val="pt-BR"/>
        </w:rPr>
        <w:t>et al.</w:t>
      </w:r>
      <w:r>
        <w:rPr>
          <w:rFonts w:hint="default" w:ascii="Times New Roman" w:hAnsi="Times New Roman" w:eastAsia="Times New Roman" w:cs="Times New Roman"/>
          <w:sz w:val="23"/>
          <w:szCs w:val="23"/>
          <w:lang w:val="pt-BR"/>
        </w:rPr>
        <w:t xml:space="preserve">, “A review of the measurement of grip strength in clinical and epidemiological studies: towards a standardised approach”, </w:t>
      </w:r>
      <w:r>
        <w:rPr>
          <w:rFonts w:hint="default" w:ascii="Times New Roman" w:hAnsi="Times New Roman" w:eastAsia="Times New Roman" w:cs="Times New Roman"/>
          <w:i/>
          <w:sz w:val="23"/>
          <w:szCs w:val="23"/>
          <w:lang w:val="pt-BR"/>
        </w:rPr>
        <w:t>Age Ageing</w:t>
      </w:r>
      <w:r>
        <w:rPr>
          <w:rFonts w:hint="default" w:ascii="Times New Roman" w:hAnsi="Times New Roman" w:eastAsia="Times New Roman" w:cs="Times New Roman"/>
          <w:sz w:val="23"/>
          <w:szCs w:val="23"/>
          <w:lang w:val="pt-BR"/>
        </w:rPr>
        <w:t>, v. 40, n. 4, p. 423–429, jul. 2011, doi: 10.1093/ageing/afr051.</w:t>
      </w:r>
    </w:p>
    <w:p w14:paraId="07474170">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[53]</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S. Jaric, “Muscle Strength Testing: Use of Normalisation for Body Size”, </w:t>
      </w:r>
      <w:r>
        <w:rPr>
          <w:rFonts w:hint="default" w:ascii="Times New Roman" w:hAnsi="Times New Roman" w:eastAsia="Times New Roman" w:cs="Times New Roman"/>
          <w:i/>
          <w:sz w:val="23"/>
          <w:szCs w:val="23"/>
          <w:lang w:val="pt-BR"/>
        </w:rPr>
        <w:t>Sports Med.</w:t>
      </w:r>
      <w:r>
        <w:rPr>
          <w:rFonts w:hint="default" w:ascii="Times New Roman" w:hAnsi="Times New Roman" w:eastAsia="Times New Roman" w:cs="Times New Roman"/>
          <w:sz w:val="23"/>
          <w:szCs w:val="23"/>
          <w:lang w:val="pt-BR"/>
        </w:rPr>
        <w:t>, v. 32, n. 10, p. 615–631, 2002, doi: 10.2165/00007256-200232100-00002.</w:t>
      </w:r>
    </w:p>
    <w:p w14:paraId="2DFCB06B">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[54]</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R. L. Lieber e J. Fridén, “Musculoskeletal balance of the human wrist elucidated using intraoperative laser diffraction”, </w:t>
      </w:r>
      <w:r>
        <w:rPr>
          <w:rFonts w:hint="default" w:ascii="Times New Roman" w:hAnsi="Times New Roman" w:eastAsia="Times New Roman" w:cs="Times New Roman"/>
          <w:i/>
          <w:sz w:val="23"/>
          <w:szCs w:val="23"/>
          <w:lang w:val="pt-BR"/>
        </w:rPr>
        <w:t>J. Electromyogr. Kinesiol.</w:t>
      </w:r>
      <w:r>
        <w:rPr>
          <w:rFonts w:hint="default" w:ascii="Times New Roman" w:hAnsi="Times New Roman" w:eastAsia="Times New Roman" w:cs="Times New Roman"/>
          <w:sz w:val="23"/>
          <w:szCs w:val="23"/>
          <w:lang w:val="pt-BR"/>
        </w:rPr>
        <w:t>, v. 8, n. 2, p. 93–100, abr. 1998, doi: 10.1016/S1050-6411(97)00025-4.</w:t>
      </w:r>
    </w:p>
    <w:p w14:paraId="3C5455E2">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[55]</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Z. Dvir, </w:t>
      </w:r>
      <w:r>
        <w:rPr>
          <w:rFonts w:hint="default" w:ascii="Times New Roman" w:hAnsi="Times New Roman" w:eastAsia="Times New Roman" w:cs="Times New Roman"/>
          <w:i/>
          <w:sz w:val="23"/>
          <w:szCs w:val="23"/>
          <w:lang w:val="pt-BR"/>
        </w:rPr>
        <w:t>Isokinetics: Muscle Testing, Interpretation and Clinical Applications</w:t>
      </w:r>
      <w:r>
        <w:rPr>
          <w:rFonts w:hint="default" w:ascii="Times New Roman" w:hAnsi="Times New Roman" w:eastAsia="Times New Roman" w:cs="Times New Roman"/>
          <w:sz w:val="23"/>
          <w:szCs w:val="23"/>
          <w:lang w:val="pt-BR"/>
        </w:rPr>
        <w:t>, 3</w:t>
      </w:r>
      <w:r>
        <w:rPr>
          <w:rFonts w:hint="default" w:ascii="Times New Roman" w:hAnsi="Times New Roman" w:eastAsia="Times New Roman" w:cs="Times New Roman"/>
          <w:sz w:val="23"/>
          <w:szCs w:val="23"/>
          <w:vertAlign w:val="superscript"/>
          <w:lang w:val="pt-BR"/>
        </w:rPr>
        <w:t>o</w:t>
      </w:r>
      <w:r>
        <w:rPr>
          <w:rFonts w:hint="default" w:ascii="Times New Roman" w:hAnsi="Times New Roman" w:eastAsia="Times New Roman" w:cs="Times New Roman"/>
          <w:sz w:val="23"/>
          <w:szCs w:val="23"/>
          <w:lang w:val="pt-BR"/>
        </w:rPr>
        <w:t xml:space="preserve"> ed. New York: Routledge, 2025. doi: 10.4324/9781003380719.</w:t>
      </w:r>
    </w:p>
    <w:p w14:paraId="4B668CAB">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[56]</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C. Bishop, “Interlimb Asymmetries: Are Thresholds a Usable Concept?”, </w:t>
      </w:r>
      <w:r>
        <w:rPr>
          <w:rFonts w:hint="default" w:ascii="Times New Roman" w:hAnsi="Times New Roman" w:eastAsia="Times New Roman" w:cs="Times New Roman"/>
          <w:i/>
          <w:sz w:val="23"/>
          <w:szCs w:val="23"/>
          <w:lang w:val="pt-BR"/>
        </w:rPr>
        <w:t>Strength Cond. J.</w:t>
      </w:r>
      <w:r>
        <w:rPr>
          <w:rFonts w:hint="default" w:ascii="Times New Roman" w:hAnsi="Times New Roman" w:eastAsia="Times New Roman" w:cs="Times New Roman"/>
          <w:sz w:val="23"/>
          <w:szCs w:val="23"/>
          <w:lang w:val="pt-BR"/>
        </w:rPr>
        <w:t>, v. 43, n. 1, p. 32–36, fev. 2021, doi: 10.1519/SSC.0000000000000554.</w:t>
      </w:r>
    </w:p>
    <w:p w14:paraId="66413F8F">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[57]</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R. M. R. Dias </w:t>
      </w:r>
      <w:r>
        <w:rPr>
          <w:rFonts w:hint="default" w:ascii="Times New Roman" w:hAnsi="Times New Roman" w:eastAsia="Times New Roman" w:cs="Times New Roman"/>
          <w:i/>
          <w:sz w:val="23"/>
          <w:szCs w:val="23"/>
          <w:lang w:val="pt-BR"/>
        </w:rPr>
        <w:t>et al.</w:t>
      </w:r>
      <w:r>
        <w:rPr>
          <w:rFonts w:hint="default" w:ascii="Times New Roman" w:hAnsi="Times New Roman" w:eastAsia="Times New Roman" w:cs="Times New Roman"/>
          <w:sz w:val="23"/>
          <w:szCs w:val="23"/>
          <w:lang w:val="pt-BR"/>
        </w:rPr>
        <w:t xml:space="preserve">, “Influência do processo de familiarização para avaliação da força muscular em testes de 1-RM”, </w:t>
      </w:r>
      <w:r>
        <w:rPr>
          <w:rFonts w:hint="default" w:ascii="Times New Roman" w:hAnsi="Times New Roman" w:eastAsia="Times New Roman" w:cs="Times New Roman"/>
          <w:i/>
          <w:sz w:val="23"/>
          <w:szCs w:val="23"/>
          <w:lang w:val="pt-BR"/>
        </w:rPr>
        <w:t>Rev. Bras. Med. Esporte</w:t>
      </w:r>
      <w:r>
        <w:rPr>
          <w:rFonts w:hint="default" w:ascii="Times New Roman" w:hAnsi="Times New Roman" w:eastAsia="Times New Roman" w:cs="Times New Roman"/>
          <w:sz w:val="23"/>
          <w:szCs w:val="23"/>
          <w:lang w:val="pt-BR"/>
        </w:rPr>
        <w:t>, v. 11, n. 1, 2005, doi: 10.1590/s1517-86922005000100004.</w:t>
      </w:r>
    </w:p>
    <w:p w14:paraId="22D3BB9C">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[58]</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A. Soriano, T. J. Suchomel, e P. Comfort, “Weightlifting Overhead Pressing Derivatives: A Review of the Literature”, </w:t>
      </w:r>
      <w:r>
        <w:rPr>
          <w:rFonts w:hint="default" w:ascii="Times New Roman" w:hAnsi="Times New Roman" w:eastAsia="Times New Roman" w:cs="Times New Roman"/>
          <w:i/>
          <w:sz w:val="23"/>
          <w:szCs w:val="23"/>
          <w:lang w:val="pt-BR"/>
        </w:rPr>
        <w:t>Sports Med.</w:t>
      </w:r>
      <w:r>
        <w:rPr>
          <w:rFonts w:hint="default" w:ascii="Times New Roman" w:hAnsi="Times New Roman" w:eastAsia="Times New Roman" w:cs="Times New Roman"/>
          <w:sz w:val="23"/>
          <w:szCs w:val="23"/>
          <w:lang w:val="pt-BR"/>
        </w:rPr>
        <w:t>, v. 49, n. 6, p. 867–885, jun. 2019, doi: 10.1007/s40279-019-01096-8.</w:t>
      </w:r>
    </w:p>
    <w:p w14:paraId="182C03E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[59]</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G. D. P. Lemos, “A força máxima no shoulder press relativa à massa corporal é uma medida preditiva do  desempenho no strict handstand push-up dentro da modalidade CrossFit®?”, 2024.</w:t>
      </w:r>
    </w:p>
    <w:p w14:paraId="53F65F5C">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[60]</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W. A. Sands, D. J. Caine, e J. Borms, </w:t>
      </w:r>
      <w:r>
        <w:rPr>
          <w:rFonts w:hint="default" w:ascii="Times New Roman" w:hAnsi="Times New Roman" w:eastAsia="Times New Roman" w:cs="Times New Roman"/>
          <w:i/>
          <w:sz w:val="23"/>
          <w:szCs w:val="23"/>
          <w:lang w:val="pt-BR"/>
        </w:rPr>
        <w:t>Scientific Aspects of Women’s Gymnastics</w:t>
      </w:r>
      <w:r>
        <w:rPr>
          <w:rFonts w:hint="default" w:ascii="Times New Roman" w:hAnsi="Times New Roman" w:eastAsia="Times New Roman" w:cs="Times New Roman"/>
          <w:sz w:val="23"/>
          <w:szCs w:val="23"/>
          <w:lang w:val="pt-BR"/>
        </w:rPr>
        <w:t>, v. 45. em Medicine and Sport Science, vol. 45. S. Karger AG, 2002. doi: 10.1159/isbn.978-3-318-00894-4.</w:t>
      </w:r>
    </w:p>
    <w:p w14:paraId="17F0A77E">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[61]</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R. B. Davis, S. Õunpuu, D. Tyburski, e J. R. Gage, “A gait analysis data collection and reduction technique”, </w:t>
      </w:r>
      <w:r>
        <w:rPr>
          <w:rFonts w:hint="default" w:ascii="Times New Roman" w:hAnsi="Times New Roman" w:eastAsia="Times New Roman" w:cs="Times New Roman"/>
          <w:i/>
          <w:sz w:val="23"/>
          <w:szCs w:val="23"/>
          <w:lang w:val="pt-BR"/>
        </w:rPr>
        <w:t>Hum. Mov. Sci.</w:t>
      </w:r>
      <w:r>
        <w:rPr>
          <w:rFonts w:hint="default" w:ascii="Times New Roman" w:hAnsi="Times New Roman" w:eastAsia="Times New Roman" w:cs="Times New Roman"/>
          <w:sz w:val="23"/>
          <w:szCs w:val="23"/>
          <w:lang w:val="pt-BR"/>
        </w:rPr>
        <w:t>, v. 10, n. 5, p. 575–587, out. 1991, doi: 10.1016/0167-9457(91)90046-Z.</w:t>
      </w:r>
    </w:p>
    <w:p w14:paraId="76A4D1A9">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P. Kadaba, H. K. Ramakrishnan, e M. E. Wootten, “Measurement of lower extremity kinematics during level walking”, </w:t>
      </w:r>
      <w:r>
        <w:rPr>
          <w:rFonts w:hint="default" w:ascii="Times New Roman" w:hAnsi="Times New Roman" w:eastAsia="Times New Roman" w:cs="Times New Roman"/>
          <w:i/>
          <w:sz w:val="23"/>
          <w:szCs w:val="23"/>
          <w:lang w:val="pt-BR"/>
        </w:rPr>
        <w:t>J. Orthop. Res.</w:t>
      </w:r>
      <w:r>
        <w:rPr>
          <w:rFonts w:hint="default" w:ascii="Times New Roman" w:hAnsi="Times New Roman" w:eastAsia="Times New Roman" w:cs="Times New Roman"/>
          <w:sz w:val="23"/>
          <w:szCs w:val="23"/>
          <w:lang w:val="pt-BR"/>
        </w:rPr>
        <w:t>, v. 8, n. 3, p. 383–392, maio 1990, doi: 10.1002/jor.1100080310.</w:t>
      </w:r>
    </w:p>
    <w:p w14:paraId="60B201AC">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[63]</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J. H. Challis, “A procedure for determining rigid body transformation parameters”, </w:t>
      </w:r>
      <w:r>
        <w:rPr>
          <w:rFonts w:hint="default" w:ascii="Times New Roman" w:hAnsi="Times New Roman" w:eastAsia="Times New Roman" w:cs="Times New Roman"/>
          <w:i/>
          <w:sz w:val="23"/>
          <w:szCs w:val="23"/>
          <w:lang w:val="pt-BR"/>
        </w:rPr>
        <w:t>J. Biomech.</w:t>
      </w:r>
      <w:r>
        <w:rPr>
          <w:rFonts w:hint="default" w:ascii="Times New Roman" w:hAnsi="Times New Roman" w:eastAsia="Times New Roman" w:cs="Times New Roman"/>
          <w:sz w:val="23"/>
          <w:szCs w:val="23"/>
          <w:lang w:val="pt-BR"/>
        </w:rPr>
        <w:t>, v. 28, n. 6, p. 733–737, jun. 1995, doi: 10.1016/0021-9290(94)00116-L.</w:t>
      </w:r>
    </w:p>
    <w:p w14:paraId="341907CB">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[64]</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W. Kabsch, “A solution for the best rotation to relate two sets of vectors”, </w:t>
      </w:r>
      <w:r>
        <w:rPr>
          <w:rFonts w:hint="default" w:ascii="Times New Roman" w:hAnsi="Times New Roman" w:eastAsia="Times New Roman" w:cs="Times New Roman"/>
          <w:i/>
          <w:sz w:val="23"/>
          <w:szCs w:val="23"/>
          <w:lang w:val="pt-BR"/>
        </w:rPr>
        <w:t>Acta Crystallogr. Sect. A</w:t>
      </w:r>
      <w:r>
        <w:rPr>
          <w:rFonts w:hint="default" w:ascii="Times New Roman" w:hAnsi="Times New Roman" w:eastAsia="Times New Roman" w:cs="Times New Roman"/>
          <w:sz w:val="23"/>
          <w:szCs w:val="23"/>
          <w:lang w:val="pt-BR"/>
        </w:rPr>
        <w:t>, v. 32, n. 5, p. 922–923, set. 1976, doi: 10.1107/S0567739476001873.</w:t>
      </w:r>
    </w:p>
    <w:p w14:paraId="21334092">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[65]</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B. Michaud e M. Begon, “ezc3d: An easy C3D file I/O cross-platform solution for C++, Python and MATLAB”, </w:t>
      </w:r>
      <w:r>
        <w:rPr>
          <w:rFonts w:hint="default" w:ascii="Times New Roman" w:hAnsi="Times New Roman" w:eastAsia="Times New Roman" w:cs="Times New Roman"/>
          <w:i/>
          <w:sz w:val="23"/>
          <w:szCs w:val="23"/>
          <w:lang w:val="pt-BR"/>
        </w:rPr>
        <w:t>J. Open Source Softw.</w:t>
      </w:r>
      <w:r>
        <w:rPr>
          <w:rFonts w:hint="default" w:ascii="Times New Roman" w:hAnsi="Times New Roman" w:eastAsia="Times New Roman" w:cs="Times New Roman"/>
          <w:sz w:val="23"/>
          <w:szCs w:val="23"/>
          <w:lang w:val="pt-BR"/>
        </w:rPr>
        <w:t>, v. 6, n. 58, p. 2911, fev. 2021, doi: 10.21105/joss.02911.</w:t>
      </w:r>
    </w:p>
    <w:p w14:paraId="42CE6213">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[66]</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A. Peters, B. Galna, M. Sangeux, M. Morris, e R. Baker, “Quantification of soft tissue artifact in lower limb human motion analysis: A systematic review”, </w:t>
      </w:r>
      <w:r>
        <w:rPr>
          <w:rFonts w:hint="default" w:ascii="Times New Roman" w:hAnsi="Times New Roman" w:eastAsia="Times New Roman" w:cs="Times New Roman"/>
          <w:i/>
          <w:sz w:val="23"/>
          <w:szCs w:val="23"/>
          <w:lang w:val="pt-BR"/>
        </w:rPr>
        <w:t>Gait Posture</w:t>
      </w:r>
      <w:r>
        <w:rPr>
          <w:rFonts w:hint="default" w:ascii="Times New Roman" w:hAnsi="Times New Roman" w:eastAsia="Times New Roman" w:cs="Times New Roman"/>
          <w:sz w:val="23"/>
          <w:szCs w:val="23"/>
          <w:lang w:val="pt-BR"/>
        </w:rPr>
        <w:t>, v. 31, n. 1, p. 1–8, jan. 2010, doi: 10.1016/j.gaitpost.2009.09.004.</w:t>
      </w:r>
    </w:p>
    <w:p w14:paraId="00B2D4C5">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[67]</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D. G. E. Robertson, G. E. Caldwell, J. Hamill, G. Kamen, e S. N. Whittlesey, </w:t>
      </w:r>
      <w:r>
        <w:rPr>
          <w:rFonts w:hint="default" w:ascii="Times New Roman" w:hAnsi="Times New Roman" w:eastAsia="Times New Roman" w:cs="Times New Roman"/>
          <w:i/>
          <w:sz w:val="23"/>
          <w:szCs w:val="23"/>
          <w:lang w:val="pt-BR"/>
        </w:rPr>
        <w:t>Research Methods in Biomechanics</w:t>
      </w:r>
      <w:r>
        <w:rPr>
          <w:rFonts w:hint="default" w:ascii="Times New Roman" w:hAnsi="Times New Roman" w:eastAsia="Times New Roman" w:cs="Times New Roman"/>
          <w:sz w:val="23"/>
          <w:szCs w:val="23"/>
          <w:lang w:val="pt-BR"/>
        </w:rPr>
        <w:t>, 2</w:t>
      </w:r>
      <w:r>
        <w:rPr>
          <w:rFonts w:hint="default" w:ascii="Times New Roman" w:hAnsi="Times New Roman" w:eastAsia="Times New Roman" w:cs="Times New Roman"/>
          <w:sz w:val="23"/>
          <w:szCs w:val="23"/>
          <w:vertAlign w:val="superscript"/>
          <w:lang w:val="pt-BR"/>
        </w:rPr>
        <w:t>o</w:t>
      </w:r>
      <w:r>
        <w:rPr>
          <w:rFonts w:hint="default" w:ascii="Times New Roman" w:hAnsi="Times New Roman" w:eastAsia="Times New Roman" w:cs="Times New Roman"/>
          <w:sz w:val="23"/>
          <w:szCs w:val="23"/>
          <w:lang w:val="pt-BR"/>
        </w:rPr>
        <w:t xml:space="preserve"> ed. Human Kinetics, 2014. doi: 10.5040/9781492595809.</w:t>
      </w:r>
    </w:p>
    <w:p w14:paraId="3C5A241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[68]</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S. J. Howarth e J. P. Callaghan, “Quantitative assessment of the accuracy for three interpolation techniques in kinematic analysis of human movement”, </w:t>
      </w:r>
      <w:r>
        <w:rPr>
          <w:rFonts w:hint="default" w:ascii="Times New Roman" w:hAnsi="Times New Roman" w:eastAsia="Times New Roman" w:cs="Times New Roman"/>
          <w:i/>
          <w:sz w:val="23"/>
          <w:szCs w:val="23"/>
          <w:lang w:val="pt-BR"/>
        </w:rPr>
        <w:t>Comput. Methods Biomech. Biomed. Engin.</w:t>
      </w:r>
      <w:r>
        <w:rPr>
          <w:rFonts w:hint="default" w:ascii="Times New Roman" w:hAnsi="Times New Roman" w:eastAsia="Times New Roman" w:cs="Times New Roman"/>
          <w:sz w:val="23"/>
          <w:szCs w:val="23"/>
          <w:lang w:val="pt-BR"/>
        </w:rPr>
        <w:t>, v. 13, n. 6, p. 847–855, dez. 2010, doi: 10.1080/10255841003664701.</w:t>
      </w:r>
    </w:p>
    <w:p w14:paraId="283AD2B2">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[69]</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M. Šenk e L. Chèze, “Rotation sequence as an important factor in shoulder kinematics”, </w:t>
      </w:r>
      <w:r>
        <w:rPr>
          <w:rFonts w:hint="default" w:ascii="Times New Roman" w:hAnsi="Times New Roman" w:eastAsia="Times New Roman" w:cs="Times New Roman"/>
          <w:i/>
          <w:sz w:val="23"/>
          <w:szCs w:val="23"/>
          <w:lang w:val="pt-BR"/>
        </w:rPr>
        <w:t>Clin. Biomech.</w:t>
      </w:r>
      <w:r>
        <w:rPr>
          <w:rFonts w:hint="default" w:ascii="Times New Roman" w:hAnsi="Times New Roman" w:eastAsia="Times New Roman" w:cs="Times New Roman"/>
          <w:sz w:val="23"/>
          <w:szCs w:val="23"/>
          <w:lang w:val="pt-BR"/>
        </w:rPr>
        <w:t>, v. 21, p. S3–S8, jan. 2006, doi: 10.1016/j.clinbiomech.2005.09.007.</w:t>
      </w:r>
    </w:p>
    <w:p w14:paraId="71F344C1">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[70]</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R. E. Fellin, W. C. Rose, T. D. Royer, e I. S. Davis, “Comparison of methods for kinematic identification of footstrike and toe-off during overground and treadmill running”, </w:t>
      </w:r>
      <w:r>
        <w:rPr>
          <w:rFonts w:hint="default" w:ascii="Times New Roman" w:hAnsi="Times New Roman" w:eastAsia="Times New Roman" w:cs="Times New Roman"/>
          <w:i/>
          <w:sz w:val="23"/>
          <w:szCs w:val="23"/>
          <w:lang w:val="pt-BR"/>
        </w:rPr>
        <w:t>J. Sci. Med. Sport</w:t>
      </w:r>
      <w:r>
        <w:rPr>
          <w:rFonts w:hint="default" w:ascii="Times New Roman" w:hAnsi="Times New Roman" w:eastAsia="Times New Roman" w:cs="Times New Roman"/>
          <w:sz w:val="23"/>
          <w:szCs w:val="23"/>
          <w:lang w:val="pt-BR"/>
        </w:rPr>
        <w:t>, v. 13, n. 6, p. 646–650, nov. 2010, doi: 10.1016/j.jsams.2010.03.006.</w:t>
      </w:r>
    </w:p>
    <w:p w14:paraId="45C19E93">
      <w:pPr>
        <w:tabs>
          <w:tab w:val="left" w:pos="0"/>
        </w:tabs>
        <w:spacing w:after="0" w:line="240" w:lineRule="auto"/>
        <w:ind w:left="504" w:hanging="504"/>
        <w:rPr>
          <w:rFonts w:hint="default" w:ascii="Times New Roman" w:hAnsi="Times New Roman" w:eastAsia="Times New Roman" w:cs="Times New Roman"/>
          <w:sz w:val="23"/>
          <w:szCs w:val="23"/>
          <w:lang w:val="pt-BR"/>
        </w:rPr>
      </w:pPr>
      <w:r>
        <w:rPr>
          <w:rFonts w:hint="default" w:ascii="Times New Roman" w:hAnsi="Times New Roman" w:eastAsia="Times New Roman" w:cs="Times New Roman"/>
          <w:sz w:val="23"/>
          <w:szCs w:val="23"/>
          <w:lang w:val="pt-BR"/>
        </w:rPr>
        <w:t>[71]</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J. A. Zeni, J. G. Richards, e J. S. Higginson, “Two simple methods for determining gait events during treadmill and overground walking using kinematic data”, </w:t>
      </w:r>
      <w:r>
        <w:rPr>
          <w:rFonts w:hint="default" w:ascii="Times New Roman" w:hAnsi="Times New Roman" w:eastAsia="Times New Roman" w:cs="Times New Roman"/>
          <w:i/>
          <w:sz w:val="23"/>
          <w:szCs w:val="23"/>
          <w:lang w:val="pt-BR"/>
        </w:rPr>
        <w:t>Gait Posture</w:t>
      </w:r>
      <w:r>
        <w:rPr>
          <w:rFonts w:hint="default" w:ascii="Times New Roman" w:hAnsi="Times New Roman" w:eastAsia="Times New Roman" w:cs="Times New Roman"/>
          <w:sz w:val="23"/>
          <w:szCs w:val="23"/>
          <w:lang w:val="pt-BR"/>
        </w:rPr>
        <w:t>, v. 27, n. 4, p. 710–714, maio 2008, doi: 10.1016/j.gaitpost.2007.07.007.</w:t>
      </w:r>
    </w:p>
    <w:p w14:paraId="73BB0823">
      <w:pPr>
        <w:tabs>
          <w:tab w:val="left" w:pos="0"/>
        </w:tabs>
        <w:spacing w:after="0" w:line="240" w:lineRule="auto"/>
        <w:ind w:left="504" w:hanging="504"/>
        <w:rPr>
          <w:rFonts w:hint="default" w:ascii="Times New Roman" w:hAnsi="Times New Roman" w:eastAsia="Times New Roman" w:cs="Times New Roman"/>
          <w:sz w:val="23"/>
          <w:szCs w:val="23"/>
          <w:lang w:val="en-US"/>
        </w:rPr>
      </w:pPr>
      <w:r>
        <w:rPr>
          <w:rFonts w:hint="default" w:ascii="Times New Roman" w:hAnsi="Times New Roman" w:eastAsia="Times New Roman" w:cs="Times New Roman"/>
          <w:sz w:val="23"/>
          <w:szCs w:val="23"/>
          <w:lang w:val="pt-BR"/>
        </w:rPr>
        <w:t>[72]</w:t>
      </w:r>
      <w:r>
        <w:rPr>
          <w:rFonts w:hint="default" w:ascii="Times New Roman" w:hAnsi="Times New Roman" w:eastAsia="Times New Roman" w:cs="Times New Roman"/>
          <w:sz w:val="23"/>
          <w:szCs w:val="23"/>
          <w:lang w:val="pt-BR"/>
        </w:rPr>
        <w:tab/>
      </w:r>
      <w:r>
        <w:rPr>
          <w:rFonts w:hint="default" w:ascii="Times New Roman" w:hAnsi="Times New Roman" w:eastAsia="Times New Roman" w:cs="Times New Roman"/>
          <w:sz w:val="23"/>
          <w:szCs w:val="23"/>
          <w:lang w:val="pt-BR"/>
        </w:rPr>
        <w:t xml:space="preserve">S. S. Sun </w:t>
      </w:r>
      <w:r>
        <w:rPr>
          <w:rFonts w:hint="default" w:ascii="Times New Roman" w:hAnsi="Times New Roman" w:eastAsia="Times New Roman" w:cs="Times New Roman"/>
          <w:i/>
          <w:sz w:val="23"/>
          <w:szCs w:val="23"/>
          <w:lang w:val="pt-BR"/>
        </w:rPr>
        <w:t>et al.</w:t>
      </w:r>
      <w:r>
        <w:rPr>
          <w:rFonts w:hint="default" w:ascii="Times New Roman" w:hAnsi="Times New Roman" w:eastAsia="Times New Roman" w:cs="Times New Roman"/>
          <w:sz w:val="23"/>
          <w:szCs w:val="23"/>
          <w:lang w:val="pt-BR"/>
        </w:rPr>
        <w:t xml:space="preserve">, “Development of bioelectrical impedance analysis prediction equations for body composition with the use of a multicomponent model for use in epidemiologic surveys”, </w:t>
      </w:r>
      <w:r>
        <w:rPr>
          <w:rFonts w:hint="default" w:ascii="Times New Roman" w:hAnsi="Times New Roman" w:eastAsia="Times New Roman" w:cs="Times New Roman"/>
          <w:i/>
          <w:sz w:val="23"/>
          <w:szCs w:val="23"/>
          <w:lang w:val="pt-BR"/>
        </w:rPr>
        <w:t>Am. J. Clin. Nutr.</w:t>
      </w:r>
      <w:r>
        <w:rPr>
          <w:rFonts w:hint="default" w:ascii="Times New Roman" w:hAnsi="Times New Roman" w:eastAsia="Times New Roman" w:cs="Times New Roman"/>
          <w:sz w:val="23"/>
          <w:szCs w:val="23"/>
          <w:lang w:val="pt-BR"/>
        </w:rPr>
        <w:t>, v. 77, n. 2, p. 331–340, fev. 2003, doi: 10.1093/ajcn/77.2.331.</w:t>
      </w:r>
      <w:r>
        <w:rPr>
          <w:rFonts w:hint="default" w:ascii="Times New Roman" w:hAnsi="Times New Roman" w:eastAsia="Times New Roman" w:cs="Times New Roman"/>
          <w:sz w:val="23"/>
          <w:szCs w:val="23"/>
          <w:lang w:val="en-US"/>
        </w:rPr>
        <w:fldChar w:fldCharType="end"/>
      </w:r>
    </w:p>
    <w:p w14:paraId="37E02F6D">
      <w:pPr>
        <w:spacing w:line="360" w:lineRule="auto"/>
        <w:rPr>
          <w:rFonts w:hint="default" w:ascii="Times New Roman" w:hAnsi="Times New Roman" w:eastAsia="Times New Roman" w:cs="Times New Roman"/>
          <w:sz w:val="23"/>
          <w:szCs w:val="23"/>
          <w:lang w:val="en-US"/>
        </w:rPr>
      </w:pPr>
    </w:p>
    <w:p w14:paraId="3ADCE635">
      <w:pPr>
        <w:rPr>
          <w:rFonts w:hint="default" w:ascii="Times New Roman" w:hAnsi="Times New Roman" w:eastAsia="Times New Roman" w:cs="Times New Roman"/>
          <w:lang w:val="en-US"/>
        </w:rPr>
      </w:pPr>
    </w:p>
    <w:sectPr>
      <w:headerReference r:id="rId5" w:type="default"/>
      <w:footerReference r:id="rId6" w:type="default"/>
      <w:pgSz w:w="11906" w:h="16838"/>
      <w:pgMar w:top="1418" w:right="1418" w:bottom="1418" w:left="1418" w:header="720" w:footer="720" w:gutter="0"/>
      <w:pgNumType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01C4D">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204E8">
    <w:pPr>
      <w:tabs>
        <w:tab w:val="center" w:pos="4252"/>
        <w:tab w:val="right" w:pos="8504"/>
      </w:tabs>
      <w:rPr>
        <w:color w:val="000000"/>
      </w:rPr>
    </w:pPr>
    <w:r>
      <w:rPr>
        <w:color w:val="000000"/>
      </w:rPr>
      <w:fldChar w:fldCharType="begin"/>
    </w:r>
    <w:r>
      <w:rPr>
        <w:color w:val="000000"/>
      </w:rPr>
      <w:instrText xml:space="preserve"> PAGE </w:instrText>
    </w:r>
    <w:r>
      <w:rPr>
        <w:color w:val="000000"/>
      </w:rPr>
      <w:fldChar w:fldCharType="separate"/>
    </w:r>
    <w:r>
      <w:rPr>
        <w:color w:val="000000"/>
      </w:rPr>
      <w:t>23</w:t>
    </w:r>
    <w:r>
      <w:rPr>
        <w:color w:val="000000"/>
      </w:rPr>
      <w:fldChar w:fldCharType="end"/>
    </w:r>
  </w:p>
  <w:p w14:paraId="43F302FC">
    <w:pPr>
      <w:tabs>
        <w:tab w:val="center" w:pos="4252"/>
        <w:tab w:val="right" w:pos="8504"/>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EE4B7A"/>
    <w:multiLevelType w:val="multilevel"/>
    <w:tmpl w:val="0BEE4B7A"/>
    <w:lvl w:ilvl="0" w:tentative="0">
      <w:start w:val="1"/>
      <w:numFmt w:val="bullet"/>
      <w:lvlText w:val=""/>
      <w:lvlJc w:val="left"/>
      <w:pPr>
        <w:tabs>
          <w:tab w:val="left" w:pos="1428"/>
        </w:tabs>
        <w:ind w:left="1428" w:hanging="360"/>
      </w:pPr>
      <w:rPr>
        <w:rFonts w:hint="default" w:ascii="Wingdings" w:hAnsi="Wingdings"/>
        <w:sz w:val="20"/>
      </w:rPr>
    </w:lvl>
    <w:lvl w:ilvl="1" w:tentative="0">
      <w:start w:val="1"/>
      <w:numFmt w:val="bullet"/>
      <w:lvlText w:val=""/>
      <w:lvlJc w:val="left"/>
      <w:pPr>
        <w:tabs>
          <w:tab w:val="left" w:pos="2148"/>
        </w:tabs>
        <w:ind w:left="2148" w:hanging="360"/>
      </w:pPr>
      <w:rPr>
        <w:rFonts w:hint="default" w:ascii="Symbol" w:hAnsi="Symbol"/>
        <w:sz w:val="20"/>
      </w:rPr>
    </w:lvl>
    <w:lvl w:ilvl="2" w:tentative="0">
      <w:start w:val="1"/>
      <w:numFmt w:val="bullet"/>
      <w:lvlText w:val=""/>
      <w:lvlJc w:val="left"/>
      <w:pPr>
        <w:tabs>
          <w:tab w:val="left" w:pos="2868"/>
        </w:tabs>
        <w:ind w:left="2868" w:hanging="360"/>
      </w:pPr>
      <w:rPr>
        <w:rFonts w:hint="default" w:ascii="Symbol" w:hAnsi="Symbol"/>
        <w:sz w:val="20"/>
      </w:rPr>
    </w:lvl>
    <w:lvl w:ilvl="3" w:tentative="0">
      <w:start w:val="1"/>
      <w:numFmt w:val="bullet"/>
      <w:lvlText w:val=""/>
      <w:lvlJc w:val="left"/>
      <w:pPr>
        <w:tabs>
          <w:tab w:val="left" w:pos="3588"/>
        </w:tabs>
        <w:ind w:left="3588" w:hanging="360"/>
      </w:pPr>
      <w:rPr>
        <w:rFonts w:hint="default" w:ascii="Symbol" w:hAnsi="Symbol"/>
        <w:sz w:val="20"/>
      </w:rPr>
    </w:lvl>
    <w:lvl w:ilvl="4" w:tentative="0">
      <w:start w:val="1"/>
      <w:numFmt w:val="bullet"/>
      <w:lvlText w:val=""/>
      <w:lvlJc w:val="left"/>
      <w:pPr>
        <w:tabs>
          <w:tab w:val="left" w:pos="4308"/>
        </w:tabs>
        <w:ind w:left="4308" w:hanging="360"/>
      </w:pPr>
      <w:rPr>
        <w:rFonts w:hint="default" w:ascii="Symbol" w:hAnsi="Symbol"/>
        <w:sz w:val="20"/>
      </w:rPr>
    </w:lvl>
    <w:lvl w:ilvl="5" w:tentative="0">
      <w:start w:val="1"/>
      <w:numFmt w:val="bullet"/>
      <w:lvlText w:val=""/>
      <w:lvlJc w:val="left"/>
      <w:pPr>
        <w:tabs>
          <w:tab w:val="left" w:pos="5028"/>
        </w:tabs>
        <w:ind w:left="5028" w:hanging="360"/>
      </w:pPr>
      <w:rPr>
        <w:rFonts w:hint="default" w:ascii="Symbol" w:hAnsi="Symbol"/>
        <w:sz w:val="20"/>
      </w:rPr>
    </w:lvl>
    <w:lvl w:ilvl="6" w:tentative="0">
      <w:start w:val="1"/>
      <w:numFmt w:val="bullet"/>
      <w:lvlText w:val=""/>
      <w:lvlJc w:val="left"/>
      <w:pPr>
        <w:tabs>
          <w:tab w:val="left" w:pos="5748"/>
        </w:tabs>
        <w:ind w:left="5748" w:hanging="360"/>
      </w:pPr>
      <w:rPr>
        <w:rFonts w:hint="default" w:ascii="Symbol" w:hAnsi="Symbol"/>
        <w:sz w:val="20"/>
      </w:rPr>
    </w:lvl>
    <w:lvl w:ilvl="7" w:tentative="0">
      <w:start w:val="1"/>
      <w:numFmt w:val="bullet"/>
      <w:lvlText w:val=""/>
      <w:lvlJc w:val="left"/>
      <w:pPr>
        <w:tabs>
          <w:tab w:val="left" w:pos="6468"/>
        </w:tabs>
        <w:ind w:left="6468" w:hanging="360"/>
      </w:pPr>
      <w:rPr>
        <w:rFonts w:hint="default" w:ascii="Symbol" w:hAnsi="Symbol"/>
        <w:sz w:val="20"/>
      </w:rPr>
    </w:lvl>
    <w:lvl w:ilvl="8" w:tentative="0">
      <w:start w:val="1"/>
      <w:numFmt w:val="bullet"/>
      <w:lvlText w:val=""/>
      <w:lvlJc w:val="left"/>
      <w:pPr>
        <w:tabs>
          <w:tab w:val="left" w:pos="7188"/>
        </w:tabs>
        <w:ind w:left="7188" w:hanging="360"/>
      </w:pPr>
      <w:rPr>
        <w:rFonts w:hint="default" w:ascii="Symbol" w:hAnsi="Symbol"/>
        <w:sz w:val="20"/>
      </w:rPr>
    </w:lvl>
  </w:abstractNum>
  <w:abstractNum w:abstractNumId="1">
    <w:nsid w:val="1C8C5FD9"/>
    <w:multiLevelType w:val="multilevel"/>
    <w:tmpl w:val="1C8C5F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5561258"/>
    <w:multiLevelType w:val="multilevel"/>
    <w:tmpl w:val="255612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B4B629F"/>
    <w:multiLevelType w:val="multilevel"/>
    <w:tmpl w:val="3B4B629F"/>
    <w:lvl w:ilvl="0" w:tentative="0">
      <w:start w:val="1"/>
      <w:numFmt w:val="decimal"/>
      <w:lvlText w:val="%1"/>
      <w:lvlJc w:val="left"/>
      <w:pPr>
        <w:tabs>
          <w:tab w:val="left" w:pos="0"/>
        </w:tabs>
        <w:ind w:left="780" w:hanging="420"/>
      </w:pPr>
    </w:lvl>
    <w:lvl w:ilvl="1" w:tentative="0">
      <w:start w:val="3"/>
      <w:numFmt w:val="decimal"/>
      <w:lvlText w:val="%1.%2"/>
      <w:lvlJc w:val="left"/>
      <w:pPr>
        <w:tabs>
          <w:tab w:val="left" w:pos="0"/>
        </w:tabs>
        <w:ind w:left="720" w:hanging="360"/>
      </w:pPr>
      <w:rPr>
        <w:i w:val="0"/>
      </w:rPr>
    </w:lvl>
    <w:lvl w:ilvl="2" w:tentative="0">
      <w:start w:val="1"/>
      <w:numFmt w:val="decimal"/>
      <w:lvlText w:val="%1.%2.%3"/>
      <w:lvlJc w:val="left"/>
      <w:pPr>
        <w:tabs>
          <w:tab w:val="left" w:pos="0"/>
        </w:tabs>
        <w:ind w:left="1080" w:hanging="720"/>
      </w:pPr>
      <w:rPr>
        <w:i w:val="0"/>
      </w:rPr>
    </w:lvl>
    <w:lvl w:ilvl="3" w:tentative="0">
      <w:start w:val="1"/>
      <w:numFmt w:val="decimal"/>
      <w:lvlText w:val="%1.%2.%3.%4"/>
      <w:lvlJc w:val="left"/>
      <w:pPr>
        <w:tabs>
          <w:tab w:val="left" w:pos="0"/>
        </w:tabs>
        <w:ind w:left="1080" w:hanging="720"/>
      </w:pPr>
      <w:rPr>
        <w:i w:val="0"/>
      </w:rPr>
    </w:lvl>
    <w:lvl w:ilvl="4" w:tentative="0">
      <w:start w:val="1"/>
      <w:numFmt w:val="decimal"/>
      <w:lvlText w:val="%1.%2.%3.%4.%5"/>
      <w:lvlJc w:val="left"/>
      <w:pPr>
        <w:tabs>
          <w:tab w:val="left" w:pos="0"/>
        </w:tabs>
        <w:ind w:left="1440" w:hanging="1080"/>
      </w:pPr>
      <w:rPr>
        <w:i w:val="0"/>
      </w:rPr>
    </w:lvl>
    <w:lvl w:ilvl="5" w:tentative="0">
      <w:start w:val="1"/>
      <w:numFmt w:val="decimal"/>
      <w:lvlText w:val="%1.%2.%3.%4.%5.%6"/>
      <w:lvlJc w:val="left"/>
      <w:pPr>
        <w:tabs>
          <w:tab w:val="left" w:pos="0"/>
        </w:tabs>
        <w:ind w:left="1440" w:hanging="1080"/>
      </w:pPr>
      <w:rPr>
        <w:i w:val="0"/>
      </w:rPr>
    </w:lvl>
    <w:lvl w:ilvl="6" w:tentative="0">
      <w:start w:val="1"/>
      <w:numFmt w:val="decimal"/>
      <w:lvlText w:val="%1.%2.%3.%4.%5.%6.%7"/>
      <w:lvlJc w:val="left"/>
      <w:pPr>
        <w:tabs>
          <w:tab w:val="left" w:pos="0"/>
        </w:tabs>
        <w:ind w:left="1800" w:hanging="1440"/>
      </w:pPr>
      <w:rPr>
        <w:i w:val="0"/>
      </w:rPr>
    </w:lvl>
    <w:lvl w:ilvl="7" w:tentative="0">
      <w:start w:val="1"/>
      <w:numFmt w:val="decimal"/>
      <w:lvlText w:val="%1.%2.%3.%4.%5.%6.%7.%8"/>
      <w:lvlJc w:val="left"/>
      <w:pPr>
        <w:tabs>
          <w:tab w:val="left" w:pos="0"/>
        </w:tabs>
        <w:ind w:left="1800" w:hanging="1440"/>
      </w:pPr>
      <w:rPr>
        <w:i w:val="0"/>
      </w:rPr>
    </w:lvl>
    <w:lvl w:ilvl="8" w:tentative="0">
      <w:start w:val="1"/>
      <w:numFmt w:val="decimal"/>
      <w:lvlText w:val="%1.%2.%3.%4.%5.%6.%7.%8.%9"/>
      <w:lvlJc w:val="left"/>
      <w:pPr>
        <w:tabs>
          <w:tab w:val="left" w:pos="0"/>
        </w:tabs>
        <w:ind w:left="2160" w:hanging="1800"/>
      </w:pPr>
      <w:rPr>
        <w:i w:val="0"/>
      </w:rPr>
    </w:lvl>
  </w:abstractNum>
  <w:abstractNum w:abstractNumId="4">
    <w:nsid w:val="443E4FBB"/>
    <w:multiLevelType w:val="multilevel"/>
    <w:tmpl w:val="443E4F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D9D57D6"/>
    <w:multiLevelType w:val="multilevel"/>
    <w:tmpl w:val="4D9D57D6"/>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
    <w:nsid w:val="66A055DF"/>
    <w:multiLevelType w:val="multilevel"/>
    <w:tmpl w:val="66A055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B072B8B"/>
    <w:multiLevelType w:val="multilevel"/>
    <w:tmpl w:val="6B072B8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7"/>
  </w:num>
  <w:num w:numId="3">
    <w:abstractNumId w:val="5"/>
  </w:num>
  <w:num w:numId="4">
    <w:abstractNumId w:val="1"/>
  </w:num>
  <w:num w:numId="5">
    <w:abstractNumId w:val="4"/>
  </w:num>
  <w:num w:numId="6">
    <w:abstractNumId w:val="6"/>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42A2"/>
    <w:rsid w:val="000045D4"/>
    <w:rsid w:val="000055E4"/>
    <w:rsid w:val="00040667"/>
    <w:rsid w:val="0004107A"/>
    <w:rsid w:val="00041FB1"/>
    <w:rsid w:val="00071FF8"/>
    <w:rsid w:val="0009091A"/>
    <w:rsid w:val="000A6981"/>
    <w:rsid w:val="000C7F68"/>
    <w:rsid w:val="000E0685"/>
    <w:rsid w:val="000E300C"/>
    <w:rsid w:val="000F3F46"/>
    <w:rsid w:val="000F763C"/>
    <w:rsid w:val="0010463D"/>
    <w:rsid w:val="00104795"/>
    <w:rsid w:val="00106348"/>
    <w:rsid w:val="0011061E"/>
    <w:rsid w:val="001151AF"/>
    <w:rsid w:val="001261C5"/>
    <w:rsid w:val="00131A68"/>
    <w:rsid w:val="00141DFC"/>
    <w:rsid w:val="0014269C"/>
    <w:rsid w:val="0015659F"/>
    <w:rsid w:val="00161DFB"/>
    <w:rsid w:val="00171088"/>
    <w:rsid w:val="00176EDF"/>
    <w:rsid w:val="00184328"/>
    <w:rsid w:val="001B0006"/>
    <w:rsid w:val="001C0C56"/>
    <w:rsid w:val="001C400D"/>
    <w:rsid w:val="001C67ED"/>
    <w:rsid w:val="001D45F0"/>
    <w:rsid w:val="001F6EEC"/>
    <w:rsid w:val="001F7D1D"/>
    <w:rsid w:val="0020505A"/>
    <w:rsid w:val="002311F7"/>
    <w:rsid w:val="0023287C"/>
    <w:rsid w:val="002611FA"/>
    <w:rsid w:val="00271907"/>
    <w:rsid w:val="00275ED8"/>
    <w:rsid w:val="00284AFC"/>
    <w:rsid w:val="00286251"/>
    <w:rsid w:val="002942AC"/>
    <w:rsid w:val="002A0B65"/>
    <w:rsid w:val="002D30BA"/>
    <w:rsid w:val="002F21E3"/>
    <w:rsid w:val="003210DC"/>
    <w:rsid w:val="003473D8"/>
    <w:rsid w:val="00354F99"/>
    <w:rsid w:val="00355B29"/>
    <w:rsid w:val="00371144"/>
    <w:rsid w:val="003731AB"/>
    <w:rsid w:val="00377BA5"/>
    <w:rsid w:val="00377CA5"/>
    <w:rsid w:val="00386E8B"/>
    <w:rsid w:val="00390C51"/>
    <w:rsid w:val="003A2A0F"/>
    <w:rsid w:val="003A2EA2"/>
    <w:rsid w:val="003A72E6"/>
    <w:rsid w:val="003D7058"/>
    <w:rsid w:val="003E5B75"/>
    <w:rsid w:val="004056E8"/>
    <w:rsid w:val="004303C6"/>
    <w:rsid w:val="00432FCE"/>
    <w:rsid w:val="00435A20"/>
    <w:rsid w:val="004720E6"/>
    <w:rsid w:val="0047315F"/>
    <w:rsid w:val="004E779F"/>
    <w:rsid w:val="00517AF8"/>
    <w:rsid w:val="00540721"/>
    <w:rsid w:val="00544E6A"/>
    <w:rsid w:val="0055498D"/>
    <w:rsid w:val="00561E5E"/>
    <w:rsid w:val="005648D6"/>
    <w:rsid w:val="005935D2"/>
    <w:rsid w:val="00593855"/>
    <w:rsid w:val="005A52F2"/>
    <w:rsid w:val="005D00CE"/>
    <w:rsid w:val="005D6729"/>
    <w:rsid w:val="005E0C8F"/>
    <w:rsid w:val="005F5C2B"/>
    <w:rsid w:val="00607081"/>
    <w:rsid w:val="00627A07"/>
    <w:rsid w:val="00641EB8"/>
    <w:rsid w:val="00656343"/>
    <w:rsid w:val="006662F0"/>
    <w:rsid w:val="006A4DAF"/>
    <w:rsid w:val="006B08BC"/>
    <w:rsid w:val="006E021D"/>
    <w:rsid w:val="006E2D58"/>
    <w:rsid w:val="006E5C8A"/>
    <w:rsid w:val="006F686C"/>
    <w:rsid w:val="0070316A"/>
    <w:rsid w:val="00740E2C"/>
    <w:rsid w:val="00751223"/>
    <w:rsid w:val="00765775"/>
    <w:rsid w:val="00781381"/>
    <w:rsid w:val="00794172"/>
    <w:rsid w:val="007A3A9B"/>
    <w:rsid w:val="007B30DC"/>
    <w:rsid w:val="007C3542"/>
    <w:rsid w:val="007E1898"/>
    <w:rsid w:val="007F0920"/>
    <w:rsid w:val="00805024"/>
    <w:rsid w:val="00811883"/>
    <w:rsid w:val="00823A3D"/>
    <w:rsid w:val="00826F8C"/>
    <w:rsid w:val="0083696D"/>
    <w:rsid w:val="008517BD"/>
    <w:rsid w:val="00860F6B"/>
    <w:rsid w:val="00864084"/>
    <w:rsid w:val="00876EA4"/>
    <w:rsid w:val="0088478E"/>
    <w:rsid w:val="008D240F"/>
    <w:rsid w:val="008E34DB"/>
    <w:rsid w:val="009331D1"/>
    <w:rsid w:val="00934805"/>
    <w:rsid w:val="00956342"/>
    <w:rsid w:val="00982906"/>
    <w:rsid w:val="00985282"/>
    <w:rsid w:val="009A6CB3"/>
    <w:rsid w:val="009D27B5"/>
    <w:rsid w:val="009D413C"/>
    <w:rsid w:val="009E1461"/>
    <w:rsid w:val="009F38D8"/>
    <w:rsid w:val="009F4FC4"/>
    <w:rsid w:val="00A0517D"/>
    <w:rsid w:val="00A40F5C"/>
    <w:rsid w:val="00A4607B"/>
    <w:rsid w:val="00A729A5"/>
    <w:rsid w:val="00A87FEA"/>
    <w:rsid w:val="00AB6822"/>
    <w:rsid w:val="00AC1D62"/>
    <w:rsid w:val="00AC390A"/>
    <w:rsid w:val="00AD2126"/>
    <w:rsid w:val="00AD67DE"/>
    <w:rsid w:val="00AF5C84"/>
    <w:rsid w:val="00AF7BFE"/>
    <w:rsid w:val="00B01E04"/>
    <w:rsid w:val="00B17192"/>
    <w:rsid w:val="00B22601"/>
    <w:rsid w:val="00B22D56"/>
    <w:rsid w:val="00B33C2F"/>
    <w:rsid w:val="00BB5FEA"/>
    <w:rsid w:val="00BC2D9A"/>
    <w:rsid w:val="00BD68BE"/>
    <w:rsid w:val="00BF454F"/>
    <w:rsid w:val="00C17D42"/>
    <w:rsid w:val="00C65194"/>
    <w:rsid w:val="00C666D3"/>
    <w:rsid w:val="00C67823"/>
    <w:rsid w:val="00C804D7"/>
    <w:rsid w:val="00CC4161"/>
    <w:rsid w:val="00CC6D21"/>
    <w:rsid w:val="00CD0CA1"/>
    <w:rsid w:val="00CE3CEA"/>
    <w:rsid w:val="00CE44DA"/>
    <w:rsid w:val="00D024FB"/>
    <w:rsid w:val="00D2164C"/>
    <w:rsid w:val="00D22345"/>
    <w:rsid w:val="00D27FB1"/>
    <w:rsid w:val="00D41FDD"/>
    <w:rsid w:val="00D711D4"/>
    <w:rsid w:val="00D72ECC"/>
    <w:rsid w:val="00D74C3A"/>
    <w:rsid w:val="00D75A85"/>
    <w:rsid w:val="00D94276"/>
    <w:rsid w:val="00D977BC"/>
    <w:rsid w:val="00DA0602"/>
    <w:rsid w:val="00DA4F88"/>
    <w:rsid w:val="00DC0673"/>
    <w:rsid w:val="00DF03EF"/>
    <w:rsid w:val="00DF63D4"/>
    <w:rsid w:val="00E03A34"/>
    <w:rsid w:val="00E144CC"/>
    <w:rsid w:val="00E2764A"/>
    <w:rsid w:val="00E33541"/>
    <w:rsid w:val="00E54CFD"/>
    <w:rsid w:val="00E75FBB"/>
    <w:rsid w:val="00E86841"/>
    <w:rsid w:val="00E960C7"/>
    <w:rsid w:val="00EC63DD"/>
    <w:rsid w:val="00ED4AB7"/>
    <w:rsid w:val="00ED4D41"/>
    <w:rsid w:val="00EF326D"/>
    <w:rsid w:val="00F042A2"/>
    <w:rsid w:val="00F135DF"/>
    <w:rsid w:val="00F23CCE"/>
    <w:rsid w:val="00F34807"/>
    <w:rsid w:val="00F47C9E"/>
    <w:rsid w:val="00F52E51"/>
    <w:rsid w:val="00F818B9"/>
    <w:rsid w:val="00F943CD"/>
    <w:rsid w:val="00FA68B4"/>
    <w:rsid w:val="00FC53FE"/>
    <w:rsid w:val="00FD1878"/>
    <w:rsid w:val="043E57C2"/>
    <w:rsid w:val="08BE55F8"/>
    <w:rsid w:val="0A864054"/>
    <w:rsid w:val="16ED6718"/>
    <w:rsid w:val="18094E13"/>
    <w:rsid w:val="18912A5B"/>
    <w:rsid w:val="1D045AC2"/>
    <w:rsid w:val="1E17043B"/>
    <w:rsid w:val="220533F3"/>
    <w:rsid w:val="226637AB"/>
    <w:rsid w:val="25524700"/>
    <w:rsid w:val="26130FD7"/>
    <w:rsid w:val="29E908E1"/>
    <w:rsid w:val="2DC044DF"/>
    <w:rsid w:val="2FF85476"/>
    <w:rsid w:val="323304EA"/>
    <w:rsid w:val="339D4A97"/>
    <w:rsid w:val="36DB148C"/>
    <w:rsid w:val="43352264"/>
    <w:rsid w:val="448536D8"/>
    <w:rsid w:val="508E3FB7"/>
    <w:rsid w:val="5E571978"/>
    <w:rsid w:val="62E01320"/>
    <w:rsid w:val="63DA25E0"/>
    <w:rsid w:val="69687548"/>
    <w:rsid w:val="6BD620A1"/>
    <w:rsid w:val="6CF65E99"/>
    <w:rsid w:val="6DA35C02"/>
    <w:rsid w:val="713F2BFC"/>
    <w:rsid w:val="721E125E"/>
    <w:rsid w:val="72FA4732"/>
    <w:rsid w:val="761756AB"/>
    <w:rsid w:val="7AB742DC"/>
    <w:rsid w:val="7DBF68F2"/>
    <w:rsid w:val="7F7E58BB"/>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uppressAutoHyphens/>
      <w:spacing w:after="0" w:line="480" w:lineRule="auto"/>
      <w:jc w:val="both"/>
    </w:pPr>
    <w:rPr>
      <w:rFonts w:ascii="Arial" w:hAnsi="Arial" w:eastAsia="Arial" w:cs="Arial"/>
      <w:sz w:val="24"/>
      <w:szCs w:val="24"/>
      <w:lang w:val="pt-BR" w:eastAsia="pt-BR" w:bidi="ar-SA"/>
    </w:rPr>
  </w:style>
  <w:style w:type="paragraph" w:styleId="2">
    <w:name w:val="heading 1"/>
    <w:basedOn w:val="1"/>
    <w:next w:val="1"/>
    <w:link w:val="14"/>
    <w:qFormat/>
    <w:uiPriority w:val="9"/>
    <w:pPr>
      <w:keepNext/>
      <w:tabs>
        <w:tab w:val="left" w:pos="90"/>
      </w:tabs>
      <w:spacing w:before="240" w:after="60"/>
      <w:jc w:val="left"/>
      <w:outlineLvl w:val="0"/>
    </w:pPr>
    <w:rPr>
      <w:b/>
    </w:rPr>
  </w:style>
  <w:style w:type="paragraph" w:styleId="3">
    <w:name w:val="heading 2"/>
    <w:basedOn w:val="1"/>
    <w:next w:val="1"/>
    <w:link w:val="19"/>
    <w:semiHidden/>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1"/>
    <w:semiHidden/>
    <w:unhideWhenUsed/>
    <w:qFormat/>
    <w:uiPriority w:val="9"/>
    <w:pPr>
      <w:keepNext/>
      <w:keepLines/>
      <w:spacing w:before="40"/>
      <w:outlineLvl w:val="2"/>
    </w:pPr>
    <w:rPr>
      <w:rFonts w:asciiTheme="majorHAnsi" w:hAnsiTheme="majorHAnsi" w:eastAsiaTheme="majorEastAsia" w:cstheme="majorBidi"/>
      <w:color w:val="203864" w:themeColor="accent1" w:themeShade="80"/>
    </w:rPr>
  </w:style>
  <w:style w:type="paragraph" w:styleId="5">
    <w:name w:val="heading 4"/>
    <w:basedOn w:val="1"/>
    <w:next w:val="1"/>
    <w:link w:val="20"/>
    <w:unhideWhenUsed/>
    <w:qFormat/>
    <w:uiPriority w:val="9"/>
    <w:pPr>
      <w:keepNext/>
      <w:keepLines/>
      <w:spacing w:before="4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Strong"/>
    <w:qFormat/>
    <w:uiPriority w:val="22"/>
    <w:rPr>
      <w:b/>
      <w:bCs/>
    </w:rPr>
  </w:style>
  <w:style w:type="character" w:styleId="9">
    <w:name w:val="Emphasis"/>
    <w:basedOn w:val="6"/>
    <w:qFormat/>
    <w:uiPriority w:val="20"/>
    <w:rPr>
      <w:i/>
      <w:iCs/>
    </w:rPr>
  </w:style>
  <w:style w:type="paragraph" w:styleId="10">
    <w:name w:val="Body Text"/>
    <w:basedOn w:val="1"/>
    <w:link w:val="15"/>
    <w:qFormat/>
    <w:uiPriority w:val="0"/>
    <w:pPr>
      <w:spacing w:after="140" w:line="276" w:lineRule="auto"/>
    </w:pPr>
  </w:style>
  <w:style w:type="paragraph" w:styleId="11">
    <w:name w:val="Normal (Web)"/>
    <w:basedOn w:val="1"/>
    <w:unhideWhenUsed/>
    <w:qFormat/>
    <w:uiPriority w:val="99"/>
    <w:pPr>
      <w:suppressAutoHyphens w:val="0"/>
      <w:spacing w:before="100" w:beforeAutospacing="1" w:after="100" w:afterAutospacing="1" w:line="240" w:lineRule="auto"/>
      <w:jc w:val="left"/>
    </w:pPr>
    <w:rPr>
      <w:rFonts w:ascii="Times New Roman" w:hAnsi="Times New Roman" w:eastAsia="Times New Roman" w:cs="Times New Roman"/>
    </w:rPr>
  </w:style>
  <w:style w:type="paragraph" w:styleId="12">
    <w:name w:val="header"/>
    <w:basedOn w:val="1"/>
    <w:link w:val="16"/>
    <w:qFormat/>
    <w:uiPriority w:val="0"/>
  </w:style>
  <w:style w:type="paragraph" w:styleId="13">
    <w:name w:val="footer"/>
    <w:basedOn w:val="1"/>
    <w:link w:val="17"/>
    <w:qFormat/>
    <w:uiPriority w:val="0"/>
  </w:style>
  <w:style w:type="character" w:customStyle="1" w:styleId="14">
    <w:name w:val="Título 1 Char"/>
    <w:basedOn w:val="6"/>
    <w:link w:val="2"/>
    <w:qFormat/>
    <w:uiPriority w:val="9"/>
    <w:rPr>
      <w:rFonts w:ascii="Arial" w:hAnsi="Arial" w:eastAsia="Arial" w:cs="Arial"/>
      <w:b/>
      <w:sz w:val="24"/>
      <w:szCs w:val="24"/>
      <w:lang w:eastAsia="pt-BR"/>
    </w:rPr>
  </w:style>
  <w:style w:type="character" w:customStyle="1" w:styleId="15">
    <w:name w:val="Corpo de texto Char"/>
    <w:basedOn w:val="6"/>
    <w:link w:val="10"/>
    <w:qFormat/>
    <w:uiPriority w:val="0"/>
    <w:rPr>
      <w:rFonts w:ascii="Arial" w:hAnsi="Arial" w:eastAsia="Arial" w:cs="Arial"/>
      <w:sz w:val="24"/>
      <w:szCs w:val="24"/>
      <w:lang w:eastAsia="pt-BR"/>
    </w:rPr>
  </w:style>
  <w:style w:type="character" w:customStyle="1" w:styleId="16">
    <w:name w:val="Cabeçalho Char"/>
    <w:basedOn w:val="6"/>
    <w:link w:val="12"/>
    <w:qFormat/>
    <w:uiPriority w:val="0"/>
    <w:rPr>
      <w:rFonts w:ascii="Arial" w:hAnsi="Arial" w:eastAsia="Arial" w:cs="Arial"/>
      <w:sz w:val="24"/>
      <w:szCs w:val="24"/>
      <w:lang w:eastAsia="pt-BR"/>
    </w:rPr>
  </w:style>
  <w:style w:type="character" w:customStyle="1" w:styleId="17">
    <w:name w:val="Rodapé Char"/>
    <w:basedOn w:val="6"/>
    <w:link w:val="13"/>
    <w:qFormat/>
    <w:uiPriority w:val="0"/>
    <w:rPr>
      <w:rFonts w:ascii="Arial" w:hAnsi="Arial" w:eastAsia="Arial" w:cs="Arial"/>
      <w:sz w:val="24"/>
      <w:szCs w:val="24"/>
      <w:lang w:eastAsia="pt-BR"/>
    </w:rPr>
  </w:style>
  <w:style w:type="paragraph" w:customStyle="1" w:styleId="18">
    <w:name w:val="Bibliography"/>
    <w:basedOn w:val="1"/>
    <w:next w:val="1"/>
    <w:unhideWhenUsed/>
    <w:qFormat/>
    <w:uiPriority w:val="37"/>
    <w:pPr>
      <w:tabs>
        <w:tab w:val="left" w:pos="384"/>
      </w:tabs>
      <w:spacing w:line="240" w:lineRule="auto"/>
      <w:ind w:left="384" w:hanging="384"/>
    </w:pPr>
  </w:style>
  <w:style w:type="character" w:customStyle="1" w:styleId="19">
    <w:name w:val="Título 2 Char"/>
    <w:basedOn w:val="6"/>
    <w:link w:val="3"/>
    <w:semiHidden/>
    <w:qFormat/>
    <w:uiPriority w:val="9"/>
    <w:rPr>
      <w:rFonts w:asciiTheme="majorHAnsi" w:hAnsiTheme="majorHAnsi" w:eastAsiaTheme="majorEastAsia" w:cstheme="majorBidi"/>
      <w:color w:val="2F5597" w:themeColor="accent1" w:themeShade="BF"/>
      <w:sz w:val="26"/>
      <w:szCs w:val="26"/>
      <w:lang w:eastAsia="pt-BR"/>
    </w:rPr>
  </w:style>
  <w:style w:type="character" w:customStyle="1" w:styleId="20">
    <w:name w:val="Título 4 Char"/>
    <w:basedOn w:val="6"/>
    <w:link w:val="5"/>
    <w:qFormat/>
    <w:uiPriority w:val="9"/>
    <w:rPr>
      <w:rFonts w:asciiTheme="majorHAnsi" w:hAnsiTheme="majorHAnsi" w:eastAsiaTheme="majorEastAsia" w:cstheme="majorBidi"/>
      <w:i/>
      <w:iCs/>
      <w:color w:val="2F5597" w:themeColor="accent1" w:themeShade="BF"/>
      <w:sz w:val="24"/>
      <w:szCs w:val="24"/>
      <w:lang w:eastAsia="pt-BR"/>
    </w:rPr>
  </w:style>
  <w:style w:type="character" w:customStyle="1" w:styleId="21">
    <w:name w:val="Título 3 Char"/>
    <w:basedOn w:val="6"/>
    <w:link w:val="4"/>
    <w:semiHidden/>
    <w:qFormat/>
    <w:uiPriority w:val="9"/>
    <w:rPr>
      <w:rFonts w:asciiTheme="majorHAnsi" w:hAnsiTheme="majorHAnsi" w:eastAsiaTheme="majorEastAsia" w:cstheme="majorBidi"/>
      <w:color w:val="203864" w:themeColor="accent1" w:themeShade="80"/>
      <w:sz w:val="24"/>
      <w:szCs w:val="24"/>
      <w:lang w:eastAsia="pt-BR"/>
    </w:rPr>
  </w:style>
  <w:style w:type="character" w:customStyle="1" w:styleId="22">
    <w:name w:val="citation-238"/>
    <w:basedOn w:val="6"/>
    <w:qFormat/>
    <w:uiPriority w:val="0"/>
  </w:style>
  <w:style w:type="character" w:customStyle="1" w:styleId="23">
    <w:name w:val="citation-237"/>
    <w:basedOn w:val="6"/>
    <w:qFormat/>
    <w:uiPriority w:val="0"/>
  </w:style>
  <w:style w:type="character" w:customStyle="1" w:styleId="24">
    <w:name w:val="citation-236"/>
    <w:basedOn w:val="6"/>
    <w:qFormat/>
    <w:uiPriority w:val="0"/>
  </w:style>
  <w:style w:type="character" w:customStyle="1" w:styleId="25">
    <w:name w:val="citation-235"/>
    <w:basedOn w:val="6"/>
    <w:qFormat/>
    <w:uiPriority w:val="0"/>
  </w:style>
  <w:style w:type="character" w:customStyle="1" w:styleId="26">
    <w:name w:val="citation-234"/>
    <w:basedOn w:val="6"/>
    <w:qFormat/>
    <w:uiPriority w:val="0"/>
  </w:style>
  <w:style w:type="character" w:customStyle="1" w:styleId="27">
    <w:name w:val="citation-233"/>
    <w:basedOn w:val="6"/>
    <w:qFormat/>
    <w:uiPriority w:val="0"/>
  </w:style>
  <w:style w:type="character" w:customStyle="1" w:styleId="28">
    <w:name w:val="citation-232"/>
    <w:basedOn w:val="6"/>
    <w:qFormat/>
    <w:uiPriority w:val="0"/>
  </w:style>
  <w:style w:type="character" w:customStyle="1" w:styleId="29">
    <w:name w:val="citation-231"/>
    <w:basedOn w:val="6"/>
    <w:qFormat/>
    <w:uiPriority w:val="0"/>
  </w:style>
  <w:style w:type="character" w:customStyle="1" w:styleId="30">
    <w:name w:val="citation-230"/>
    <w:basedOn w:val="6"/>
    <w:qFormat/>
    <w:uiPriority w:val="0"/>
  </w:style>
  <w:style w:type="character" w:customStyle="1" w:styleId="31">
    <w:name w:val="citation-229"/>
    <w:basedOn w:val="6"/>
    <w:qFormat/>
    <w:uiPriority w:val="0"/>
  </w:style>
  <w:style w:type="character" w:customStyle="1" w:styleId="32">
    <w:name w:val="citation-228"/>
    <w:basedOn w:val="6"/>
    <w:qFormat/>
    <w:uiPriority w:val="0"/>
  </w:style>
  <w:style w:type="character" w:customStyle="1" w:styleId="33">
    <w:name w:val="citation-227"/>
    <w:basedOn w:val="6"/>
    <w:qFormat/>
    <w:uiPriority w:val="0"/>
  </w:style>
  <w:style w:type="character" w:customStyle="1" w:styleId="34">
    <w:name w:val="citation-226"/>
    <w:basedOn w:val="6"/>
    <w:qFormat/>
    <w:uiPriority w:val="0"/>
  </w:style>
  <w:style w:type="character" w:customStyle="1" w:styleId="35">
    <w:name w:val="citation-225"/>
    <w:basedOn w:val="6"/>
    <w:qFormat/>
    <w:uiPriority w:val="0"/>
  </w:style>
  <w:style w:type="character" w:customStyle="1" w:styleId="36">
    <w:name w:val="citation-224"/>
    <w:basedOn w:val="6"/>
    <w:qFormat/>
    <w:uiPriority w:val="0"/>
  </w:style>
  <w:style w:type="character" w:customStyle="1" w:styleId="37">
    <w:name w:val="citation-223"/>
    <w:basedOn w:val="6"/>
    <w:qFormat/>
    <w:uiPriority w:val="0"/>
  </w:style>
  <w:style w:type="character" w:customStyle="1" w:styleId="38">
    <w:name w:val="citation-222"/>
    <w:basedOn w:val="6"/>
    <w:qFormat/>
    <w:uiPriority w:val="0"/>
  </w:style>
  <w:style w:type="character" w:customStyle="1" w:styleId="39">
    <w:name w:val="citation-221"/>
    <w:basedOn w:val="6"/>
    <w:qFormat/>
    <w:uiPriority w:val="0"/>
  </w:style>
  <w:style w:type="character" w:customStyle="1" w:styleId="40">
    <w:name w:val="citation-220"/>
    <w:basedOn w:val="6"/>
    <w:qFormat/>
    <w:uiPriority w:val="0"/>
  </w:style>
  <w:style w:type="character" w:customStyle="1" w:styleId="41">
    <w:name w:val="citation-219"/>
    <w:basedOn w:val="6"/>
    <w:qFormat/>
    <w:uiPriority w:val="0"/>
  </w:style>
  <w:style w:type="character" w:customStyle="1" w:styleId="42">
    <w:name w:val="citation-218"/>
    <w:basedOn w:val="6"/>
    <w:qFormat/>
    <w:uiPriority w:val="0"/>
  </w:style>
  <w:style w:type="character" w:customStyle="1" w:styleId="43">
    <w:name w:val="citation-217"/>
    <w:basedOn w:val="6"/>
    <w:qFormat/>
    <w:uiPriority w:val="0"/>
  </w:style>
  <w:style w:type="character" w:customStyle="1" w:styleId="44">
    <w:name w:val="citation-216"/>
    <w:basedOn w:val="6"/>
    <w:qFormat/>
    <w:uiPriority w:val="0"/>
  </w:style>
  <w:style w:type="character" w:customStyle="1" w:styleId="45">
    <w:name w:val="citation-215"/>
    <w:basedOn w:val="6"/>
    <w:qFormat/>
    <w:uiPriority w:val="0"/>
  </w:style>
  <w:style w:type="character" w:customStyle="1" w:styleId="46">
    <w:name w:val="citation-214"/>
    <w:basedOn w:val="6"/>
    <w:qFormat/>
    <w:uiPriority w:val="0"/>
  </w:style>
  <w:style w:type="character" w:customStyle="1" w:styleId="47">
    <w:name w:val="citation-213"/>
    <w:basedOn w:val="6"/>
    <w:qFormat/>
    <w:uiPriority w:val="0"/>
  </w:style>
  <w:style w:type="paragraph" w:styleId="48">
    <w:name w:val="List Paragraph"/>
    <w:basedOn w:val="1"/>
    <w:qFormat/>
    <w:uiPriority w:val="34"/>
    <w:pPr>
      <w:ind w:left="720"/>
      <w:contextualSpacing/>
    </w:pPr>
  </w:style>
  <w:style w:type="character" w:customStyle="1" w:styleId="49">
    <w:name w:val="math-inline"/>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38</Pages>
  <Words>13800</Words>
  <Characters>80023</Characters>
  <Lines>1928</Lines>
  <Paragraphs>547</Paragraphs>
  <TotalTime>51</TotalTime>
  <ScaleCrop>false</ScaleCrop>
  <LinksUpToDate>false</LinksUpToDate>
  <CharactersWithSpaces>93468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2026-03-10T23:05:00Z</dcterms:created>
  <dc:creator>User</dc:creator>
  <cp:lastModifiedBy>Guilherme Lemos</cp:lastModifiedBy>
  <cp:lastPrinted>2025-09-30T19:41:00Z</cp:lastPrinted>
  <dcterms:modified xsi:type="dcterms:W3CDTF">2026-09-17T13:39:35Z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eyJoZGlkIjoiMThhMzU1YmM3NTljMjE0NWZmODIzMTViY2M4NTA0NWIiLCJ1c2VySWQiOiIxMjM2OTU0MjI3MTM2In0=</vt:lpwstr>
  </property>
  <property fmtid="{D5CDD505-2E9C-101B-9397-08002B2CF9AE}" pid="3" name="KSOProductBuildVer">
    <vt:lpwstr>1046-12.1.0.28485</vt:lpwstr>
  </property>
  <property fmtid="{D5CDD505-2E9C-101B-9397-08002B2CF9AE}" pid="4" name="ICV">
    <vt:lpwstr>202F992EAC864BD29387A264FBF8FF5F_13</vt:lpwstr>
  </property>
  <property fmtid="{D5CDD505-2E9C-101B-9397-08002B2CF9AE}" pid="5" name="_ZOTERO_BIBSTYLE_1">
    <vt:lpwstr>{"firstLineIndent":-504,"indent":504,"lineSpacing":240,"entrySpacing":0,"tabStops":[504],"tabStopsCount":1}</vt:lpwstr>
  </property>
  <property fmtid="{D5CDD505-2E9C-101B-9397-08002B2CF9AE}" pid="6" name="ZOTERO_PREF_1">
    <vt:lpwstr>&lt;data data-version="3" zotero-version="10.0.1"&gt;&lt;session id="f2I9vF20"/&gt;&lt;style id="http://www.zotero.org/styles/ieee" locale="pt-BR" hasBibliography="1" bibliographyStyleHasBeenSet="1"/&gt;&lt;prefs&gt;&lt;pref name="fieldType" value="Field"/&gt;&lt;pref name="automaticJour</vt:lpwstr>
  </property>
  <property fmtid="{D5CDD505-2E9C-101B-9397-08002B2CF9AE}" pid="7" name="ZOTERO_PREF_2">
    <vt:lpwstr>nalAbbreviations" value="true"/&gt;&lt;/prefs&gt;&lt;/data&gt;</vt:lpwstr>
  </property>
</Properties>
</file>