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hint="default" w:ascii="Times New Roman" w:hAnsi="Times New Roman" w:eastAsia="Times New Roman" w:cs="Times New Roman"/>
        </w:rPr>
      </w:pPr>
      <w:r>
        <w:rPr>
          <w:rFonts w:hint="default"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hint="default"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ESCOLA DE EDUCAÇÃO FÍSICA E ESPORTE DE RIBEIRÃO PRETO</w:t>
      </w:r>
    </w:p>
    <w:p w14:paraId="3B59E5D9">
      <w:pPr>
        <w:spacing w:line="360" w:lineRule="auto"/>
        <w:rPr>
          <w:rFonts w:hint="default" w:ascii="Times New Roman" w:hAnsi="Times New Roman" w:eastAsia="Times New Roman" w:cs="Times New Roman"/>
        </w:rPr>
      </w:pPr>
    </w:p>
    <w:p w14:paraId="02D377FF">
      <w:pPr>
        <w:spacing w:line="360" w:lineRule="auto"/>
        <w:rPr>
          <w:rFonts w:hint="default" w:ascii="Times New Roman" w:hAnsi="Times New Roman" w:eastAsia="Times New Roman" w:cs="Times New Roman"/>
        </w:rPr>
      </w:pPr>
    </w:p>
    <w:p w14:paraId="05AF3407">
      <w:pPr>
        <w:spacing w:line="360" w:lineRule="auto"/>
        <w:rPr>
          <w:rFonts w:hint="default" w:ascii="Times New Roman" w:hAnsi="Times New Roman" w:eastAsia="Times New Roman" w:cs="Times New Roman"/>
        </w:rPr>
      </w:pPr>
    </w:p>
    <w:p w14:paraId="2D6BA17A">
      <w:pPr>
        <w:spacing w:line="360" w:lineRule="auto"/>
        <w:rPr>
          <w:rFonts w:hint="default" w:ascii="Times New Roman" w:hAnsi="Times New Roman" w:eastAsia="Times New Roman" w:cs="Times New Roman"/>
        </w:rPr>
      </w:pPr>
    </w:p>
    <w:p w14:paraId="151E80E2">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GUILHERME DE PAULA LEMOS</w:t>
      </w:r>
    </w:p>
    <w:p w14:paraId="4E4311D7">
      <w:pPr>
        <w:spacing w:line="360" w:lineRule="auto"/>
        <w:rPr>
          <w:rFonts w:hint="default" w:ascii="Times New Roman" w:hAnsi="Times New Roman" w:eastAsia="Times New Roman" w:cs="Times New Roman"/>
        </w:rPr>
      </w:pPr>
    </w:p>
    <w:p w14:paraId="7E103BFB">
      <w:pPr>
        <w:spacing w:line="360" w:lineRule="auto"/>
        <w:rPr>
          <w:rFonts w:hint="default" w:ascii="Times New Roman" w:hAnsi="Times New Roman" w:eastAsia="Times New Roman" w:cs="Times New Roman"/>
        </w:rPr>
      </w:pPr>
    </w:p>
    <w:p w14:paraId="4FDA10A8">
      <w:pPr>
        <w:spacing w:line="360" w:lineRule="auto"/>
        <w:rPr>
          <w:rFonts w:hint="default" w:ascii="Times New Roman" w:hAnsi="Times New Roman" w:eastAsia="Times New Roman" w:cs="Times New Roman"/>
        </w:rPr>
      </w:pPr>
    </w:p>
    <w:p w14:paraId="7BBDDC43">
      <w:pPr>
        <w:spacing w:line="360" w:lineRule="auto"/>
        <w:rPr>
          <w:rFonts w:hint="default" w:ascii="Times New Roman" w:hAnsi="Times New Roman" w:eastAsia="Times New Roman" w:cs="Times New Roman"/>
        </w:rPr>
      </w:pPr>
    </w:p>
    <w:p w14:paraId="3DB7F15F">
      <w:pPr>
        <w:spacing w:line="360" w:lineRule="auto"/>
        <w:jc w:val="center"/>
        <w:rPr>
          <w:rFonts w:hint="default" w:ascii="Times New Roman" w:hAnsi="Times New Roman" w:eastAsia="Times New Roman" w:cs="Times New Roman"/>
          <w:i/>
          <w:vertAlign w:val="superscript"/>
        </w:rPr>
      </w:pPr>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4B3AD3E">
      <w:pPr>
        <w:spacing w:line="360" w:lineRule="auto"/>
        <w:jc w:val="center"/>
        <w:rPr>
          <w:rFonts w:hint="default" w:ascii="Times New Roman" w:hAnsi="Times New Roman" w:eastAsia="Times New Roman" w:cs="Times New Roman"/>
        </w:rPr>
      </w:pPr>
    </w:p>
    <w:p w14:paraId="0C09F44D">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Candidato: Guilherme de Paula Lemos</w:t>
      </w:r>
    </w:p>
    <w:p w14:paraId="74EDDA1A">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Orientador: Matheus Machado Gomes</w:t>
      </w:r>
    </w:p>
    <w:p w14:paraId="63D5171F">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 xml:space="preserve">Linha de Pesquisa: </w:t>
      </w:r>
      <w:r>
        <w:rPr>
          <w:rFonts w:hint="default" w:ascii="Times New Roman" w:hAnsi="Times New Roman" w:eastAsia="Times New Roman" w:cs="Times New Roman"/>
          <w:i/>
          <w:color w:val="000000"/>
        </w:rPr>
        <w:t>Aspectos biodinâmicos da atividade física e do esporte</w:t>
      </w:r>
    </w:p>
    <w:p w14:paraId="00E4EDE3">
      <w:pPr>
        <w:spacing w:line="360" w:lineRule="auto"/>
        <w:rPr>
          <w:rFonts w:hint="default" w:ascii="Times New Roman" w:hAnsi="Times New Roman" w:eastAsia="Times New Roman" w:cs="Times New Roman"/>
        </w:rPr>
      </w:pPr>
    </w:p>
    <w:p w14:paraId="6986C6F9">
      <w:pPr>
        <w:spacing w:line="360" w:lineRule="auto"/>
        <w:rPr>
          <w:rFonts w:hint="default" w:ascii="Times New Roman" w:hAnsi="Times New Roman" w:eastAsia="Times New Roman" w:cs="Times New Roman"/>
        </w:rPr>
      </w:pPr>
    </w:p>
    <w:p w14:paraId="728C306C">
      <w:pPr>
        <w:spacing w:line="360" w:lineRule="auto"/>
        <w:rPr>
          <w:rFonts w:hint="default" w:ascii="Times New Roman" w:hAnsi="Times New Roman" w:eastAsia="Times New Roman" w:cs="Times New Roman"/>
        </w:rPr>
      </w:pPr>
    </w:p>
    <w:p w14:paraId="072A8F1B">
      <w:pPr>
        <w:spacing w:line="360" w:lineRule="auto"/>
        <w:rPr>
          <w:rFonts w:hint="default" w:ascii="Times New Roman" w:hAnsi="Times New Roman" w:eastAsia="Times New Roman" w:cs="Times New Roman"/>
        </w:rPr>
      </w:pPr>
    </w:p>
    <w:p w14:paraId="06C0B9A2">
      <w:pPr>
        <w:spacing w:line="360" w:lineRule="auto"/>
        <w:rPr>
          <w:rFonts w:hint="default" w:ascii="Times New Roman" w:hAnsi="Times New Roman" w:eastAsia="Times New Roman" w:cs="Times New Roman"/>
        </w:rPr>
      </w:pPr>
    </w:p>
    <w:p w14:paraId="2A9E1F85">
      <w:pPr>
        <w:spacing w:line="360" w:lineRule="auto"/>
        <w:rPr>
          <w:rFonts w:hint="default" w:ascii="Times New Roman" w:hAnsi="Times New Roman" w:eastAsia="Times New Roman" w:cs="Times New Roman"/>
        </w:rPr>
      </w:pPr>
    </w:p>
    <w:p w14:paraId="0F2BF67B">
      <w:pPr>
        <w:spacing w:line="360" w:lineRule="auto"/>
        <w:rPr>
          <w:rFonts w:hint="default" w:ascii="Times New Roman" w:hAnsi="Times New Roman" w:eastAsia="Times New Roman" w:cs="Times New Roman"/>
        </w:rPr>
      </w:pPr>
    </w:p>
    <w:p w14:paraId="249B72E6">
      <w:pPr>
        <w:spacing w:line="360" w:lineRule="auto"/>
        <w:rPr>
          <w:rFonts w:hint="default" w:ascii="Times New Roman" w:hAnsi="Times New Roman" w:eastAsia="Times New Roman" w:cs="Times New Roman"/>
        </w:rPr>
      </w:pPr>
    </w:p>
    <w:p w14:paraId="7A93AD74">
      <w:pPr>
        <w:spacing w:line="360" w:lineRule="auto"/>
        <w:rPr>
          <w:rFonts w:hint="default" w:ascii="Times New Roman" w:hAnsi="Times New Roman" w:eastAsia="Times New Roman" w:cs="Times New Roman"/>
        </w:rPr>
      </w:pPr>
    </w:p>
    <w:p w14:paraId="0E723B6C">
      <w:pPr>
        <w:spacing w:line="360" w:lineRule="auto"/>
        <w:rPr>
          <w:rFonts w:hint="default" w:ascii="Times New Roman" w:hAnsi="Times New Roman" w:eastAsia="Times New Roman" w:cs="Times New Roman"/>
        </w:rPr>
      </w:pPr>
    </w:p>
    <w:p w14:paraId="4F5E5083">
      <w:pPr>
        <w:spacing w:line="360" w:lineRule="auto"/>
        <w:rPr>
          <w:rFonts w:hint="default" w:ascii="Times New Roman" w:hAnsi="Times New Roman" w:eastAsia="Times New Roman" w:cs="Times New Roman"/>
        </w:rPr>
      </w:pPr>
    </w:p>
    <w:p w14:paraId="704386DB">
      <w:pPr>
        <w:spacing w:line="360" w:lineRule="auto"/>
        <w:rPr>
          <w:rFonts w:hint="default" w:ascii="Times New Roman" w:hAnsi="Times New Roman" w:eastAsia="Times New Roman" w:cs="Times New Roman"/>
        </w:rPr>
      </w:pPr>
    </w:p>
    <w:p w14:paraId="69997485">
      <w:pPr>
        <w:spacing w:line="360" w:lineRule="auto"/>
        <w:rPr>
          <w:rFonts w:hint="default" w:ascii="Times New Roman" w:hAnsi="Times New Roman" w:eastAsia="Times New Roman" w:cs="Times New Roman"/>
        </w:rPr>
      </w:pPr>
    </w:p>
    <w:p w14:paraId="3F1800FC">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Ribeirão Preto - SP</w:t>
      </w:r>
    </w:p>
    <w:p w14:paraId="16EAA841">
      <w:pPr>
        <w:spacing w:line="360" w:lineRule="auto"/>
        <w:jc w:val="center"/>
        <w:rPr>
          <w:rFonts w:hint="default"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hint="default" w:ascii="Times New Roman" w:hAnsi="Times New Roman" w:cs="Times New Roman"/>
        </w:rPr>
        <w:t>2026</w:t>
      </w:r>
    </w:p>
    <w:p w14:paraId="43457DE2">
      <w:pPr>
        <w:spacing w:line="360" w:lineRule="auto"/>
        <w:jc w:val="center"/>
        <w:rPr>
          <w:rFonts w:hint="default" w:ascii="Times New Roman" w:hAnsi="Times New Roman" w:eastAsia="Times New Roman" w:cs="Times New Roman"/>
          <w:i/>
          <w:vertAlign w:val="superscript"/>
        </w:rPr>
      </w:pPr>
      <w:bookmarkStart w:id="1" w:name="_heading=h.o5ku8cknwnit"/>
      <w:bookmarkEnd w:id="1"/>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BFB30C0">
      <w:pPr>
        <w:spacing w:line="360" w:lineRule="auto"/>
        <w:jc w:val="left"/>
        <w:rPr>
          <w:rFonts w:hint="default" w:ascii="Times New Roman" w:hAnsi="Times New Roman" w:eastAsia="Times New Roman" w:cs="Times New Roman"/>
          <w:b/>
        </w:rPr>
      </w:pPr>
      <w:r>
        <w:rPr>
          <w:rFonts w:hint="default" w:ascii="Times New Roman" w:hAnsi="Times New Roman" w:eastAsia="Times New Roman" w:cs="Times New Roman"/>
          <w:b/>
        </w:rPr>
        <w:t>RESUMO</w:t>
      </w:r>
    </w:p>
    <w:p w14:paraId="092F70AB">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O </w:t>
      </w:r>
      <w:r>
        <w:rPr>
          <w:rFonts w:hint="default" w:ascii="Times New Roman" w:hAnsi="Times New Roman" w:eastAsia="Times New Roman" w:cs="Times New Roman"/>
          <w:i/>
          <w:iCs/>
        </w:rPr>
        <w:t>handstand (HS)</w:t>
      </w:r>
      <w:r>
        <w:rPr>
          <w:rFonts w:hint="default" w:ascii="Times New Roman" w:hAnsi="Times New Roman" w:eastAsia="Times New Roman" w:cs="Times New Roman"/>
        </w:rPr>
        <w:t xml:space="preserve"> é uma tarefa motora caracterizada pelo equilíbrio estático em posição invertida sobre as mãos, enquanto o </w:t>
      </w:r>
      <w:r>
        <w:rPr>
          <w:rFonts w:hint="default" w:ascii="Times New Roman" w:hAnsi="Times New Roman" w:eastAsia="Times New Roman" w:cs="Times New Roman"/>
          <w:i/>
          <w:iCs/>
        </w:rPr>
        <w:t>handstand walk (HSW)</w:t>
      </w:r>
      <w:r>
        <w:rPr>
          <w:rFonts w:hint="default" w:ascii="Times New Roman" w:hAnsi="Times New Roman" w:eastAsia="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e/ou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hint="default" w:ascii="Times New Roman" w:hAnsi="Times New Roman" w:eastAsia="Times New Roman" w:cs="Times New Roman"/>
          <w:i/>
          <w:iCs/>
        </w:rPr>
        <w:t>shoulder press</w:t>
      </w:r>
      <w:r>
        <w:rPr>
          <w:rFonts w:hint="default" w:ascii="Times New Roman" w:hAnsi="Times New Roman" w:eastAsia="Times New Roman" w:cs="Times New Roman"/>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como tempo, velocidade, cadência e variabilidade espacial e temporal das passadas.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desempenho será avaliado pelo tempo de sustentação na condição assistida e pelo sucesso na estabilização de entradas livres, enquanto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hint="default" w:ascii="Times New Roman" w:hAnsi="Times New Roman" w:eastAsia="Times New Roman" w:cs="Times New Roman"/>
        </w:rPr>
      </w:pPr>
    </w:p>
    <w:p w14:paraId="222B9E07">
      <w:pPr>
        <w:spacing w:line="360" w:lineRule="auto"/>
        <w:rPr>
          <w:rFonts w:hint="default" w:ascii="Times New Roman" w:hAnsi="Times New Roman" w:eastAsia="Times New Roman" w:cs="Times New Roman"/>
          <w:lang w:val="en-US"/>
        </w:rPr>
      </w:pPr>
      <w:r>
        <w:rPr>
          <w:rFonts w:hint="default" w:ascii="Times New Roman" w:hAnsi="Times New Roman" w:cs="Times New Roman"/>
        </w:rPr>
        <w:t>Palavras-chave: Parada de mãos; Andar sobre as mãos; Ginástica; CrossFit®; Calistenia.</w:t>
      </w:r>
    </w:p>
    <w:p w14:paraId="7E5A4316">
      <w:pPr>
        <w:pStyle w:val="2"/>
        <w:numPr>
          <w:ilvl w:val="0"/>
          <w:numId w:val="1"/>
        </w:numPr>
        <w:spacing w:line="360" w:lineRule="auto"/>
        <w:ind w:left="720" w:hanging="360"/>
        <w:rPr>
          <w:rFonts w:hint="default" w:ascii="Times New Roman" w:hAnsi="Times New Roman" w:eastAsia="Times New Roman" w:cs="Times New Roman"/>
        </w:rPr>
      </w:pPr>
      <w:r>
        <w:rPr>
          <w:rFonts w:hint="default" w:ascii="Times New Roman" w:hAnsi="Times New Roman" w:eastAsia="Times New Roman" w:cs="Times New Roman"/>
        </w:rPr>
        <w:t>INTRODUÇÃO</w:t>
      </w:r>
    </w:p>
    <w:p w14:paraId="67CCAD4F">
      <w:pPr>
        <w:spacing w:line="360" w:lineRule="auto"/>
        <w:ind w:firstLine="360"/>
        <w:rPr>
          <w:rFonts w:hint="default" w:ascii="Times New Roman" w:hAnsi="Times New Roman" w:eastAsia="Times New Roman" w:cs="Times New Roman"/>
        </w:rPr>
      </w:pPr>
      <w:r>
        <w:rPr>
          <w:rFonts w:hint="default" w:ascii="Times New Roman" w:hAnsi="Times New Roman" w:eastAsia="Times New Roman" w:cs="Times New Roman"/>
          <w:i/>
        </w:rPr>
        <w:t>Handstand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constitui uma tarefa motora de equilíbrio estático em posição invertida sobre as mãos enquanto </w:t>
      </w:r>
      <w:r>
        <w:rPr>
          <w:rFonts w:hint="default" w:ascii="Times New Roman" w:hAnsi="Times New Roman" w:eastAsia="Times New Roman" w:cs="Times New Roman"/>
          <w:i/>
        </w:rPr>
        <w:t>Handstand Walking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é caracterizado por um equilíbrio dinâmico em posição invertida sobre as mãos gerando um deslocamento.</w:t>
      </w:r>
      <w:r>
        <w:rPr>
          <w:rFonts w:hint="default" w:ascii="Times New Roman" w:hAnsi="Times New Roman" w:cs="Times New Roman"/>
        </w:rPr>
        <w:t xml:space="preserve"> </w:t>
      </w:r>
      <w:r>
        <w:rPr>
          <w:rFonts w:hint="default" w:ascii="Times New Roman" w:hAnsi="Times New Roman" w:eastAsia="Times New Roman" w:cs="Times New Roman"/>
        </w:rPr>
        <w:t xml:space="preserve">Ambos são considerados elementos essenciais da ginástica artística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 também estão presentes em diversas outras modalidades como, por exemplo, calistenia, </w:t>
      </w:r>
      <w:r>
        <w:rPr>
          <w:rFonts w:hint="default" w:ascii="Times New Roman" w:hAnsi="Times New Roman" w:eastAsia="Times New Roman" w:cs="Times New Roman"/>
          <w:i/>
        </w:rPr>
        <w:t>CrossFit®</w:t>
      </w:r>
      <w:r>
        <w:rPr>
          <w:rFonts w:hint="default" w:ascii="Times New Roman" w:hAnsi="Times New Roman" w:eastAsia="Times New Roman" w:cs="Times New Roman"/>
        </w:rPr>
        <w:t>,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artes circenses. São habilidades motoras complexas, valorizadas por desenvolver força, coordenação, equilíbrio e consciência corporal, constituindo referência de domínio técnico nas práticas que as incorporam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32219587">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Há vários trabalhos relacionados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[3], [4]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apresenta alta variabilidade articular, especialmente em ombros, punhos e quadris, enquanto o CoM e o CoP permanecem estáveis</w:t>
      </w:r>
      <w:r>
        <w:rPr>
          <w:rFonts w:hint="default" w:ascii="Times New Roman" w:hAnsi="Times New Roman" w:eastAsia="Times New Roman" w:cs="Times New Roman"/>
          <w:b/>
        </w:rPr>
        <w:t>,</w:t>
      </w:r>
      <w:r>
        <w:rPr>
          <w:rFonts w:hint="default" w:ascii="Times New Roman" w:hAnsi="Times New Roman" w:eastAsia="Times New Roman" w:cs="Times New Roman"/>
        </w:rPr>
        <w:t xml:space="preserve"> evidenciando que a estabilidade é resultado do ajuste coletivo entre segmentos</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Nesse contexto, observou-se que os punhos atuam constantemente para manter a pressão contra o solo e realizar microajustes no CoP, sendo responsáveis pelo controle fino frente a pequenas oscilações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Ginastas mais experientes apresentam menor deslocamento do CoP e possuem ativação muscular mais eficiente</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[10]</w:t>
      </w:r>
      <w:r>
        <w:rPr>
          <w:rFonts w:hint="default" w:ascii="Times New Roman" w:hAnsi="Times New Roman" w:eastAsia="Times New Roman" w:cs="Times New Roman"/>
        </w:rPr>
        <w:fldChar w:fldCharType="end"/>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O padrão de ativação muscular é adaptativo, durante maior instabilidade, há incremento da coativação para reforçar a rigidez articular, indicando que a manutenção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requer não apenas força, mas a otimização da coordenação muscular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[11], [12]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análise cinemática com ginastas experientes mostrou que a capacidade de se manter na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está associado ao alinhamento corporal, sobretudo à sobreposição de ombros e quadris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 [14]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Contudo, treinamentos focados exclusivamente no alinhamento corporal, embora aperfeiçoem a execução, não garantem maior duração do equilíbrio, evidenciando a relevância do papel dos punhos e antebraços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w:t>
      </w:r>
      <w:r>
        <w:rPr>
          <w:rFonts w:hint="default" w:ascii="Times New Roman" w:hAnsi="Times New Roman" w:cs="Times New Roman"/>
        </w:rPr>
        <w:t xml:space="preserve">Quanto à configuração da base de suporte, um estudo com o </w:t>
      </w:r>
      <w:r>
        <w:rPr>
          <w:rFonts w:hint="default" w:ascii="Times New Roman" w:hAnsi="Times New Roman" w:cs="Times New Roman"/>
          <w:i/>
          <w:iCs/>
        </w:rPr>
        <w:t>HS</w:t>
      </w:r>
      <w:r>
        <w:rPr>
          <w:rFonts w:hint="default"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Pr>
          <w:rFonts w:hint="default" w:ascii="Times New Roman" w:hAnsi="Times New Roman" w:eastAsia="Times New Roman" w:cs="Times New Roman"/>
        </w:rPr>
        <w:t>A</w:t>
      </w:r>
      <w:r>
        <w:rPr>
          <w:rFonts w:hint="default"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xml:space="preserve">. Além dos ajustes mecânicos, o controle sensorial desempenha um papel determinante na estabilização da postura invertida. Estudos clássicos demonstram que o </w:t>
      </w:r>
      <w:r>
        <w:rPr>
          <w:rFonts w:hint="default" w:ascii="Times New Roman" w:hAnsi="Times New Roman" w:cs="Times New Roman"/>
          <w:i/>
          <w:iCs/>
        </w:rPr>
        <w:t>HS</w:t>
      </w:r>
      <w:r>
        <w:rPr>
          <w:rFonts w:hint="default"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 fadiga muscular, como seria de se esperar, tem um grande impacto negativo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sugerindo que quanto maior a resistência muscular maior a capacidade de manter o equilíbrio nessa posição.</w:t>
      </w:r>
      <w:r>
        <w:rPr>
          <w:rFonts w:hint="default" w:ascii="Times New Roman" w:hAnsi="Times New Roman" w:cs="Times New Roman"/>
        </w:rPr>
        <w:t xml:space="preserve"> </w:t>
      </w:r>
      <w:r>
        <w:rPr>
          <w:rFonts w:hint="default" w:ascii="Times New Roman" w:hAnsi="Times New Roman" w:eastAsia="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Outros fatores psicológicos também influenciam na qualidade do equilíbrio: em ginastas com maior ansiedade, observou-se pior desempenho, com maiores oscilações posturais. Já atletas com maior autoconfiança apresentaram</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maior tempo de sustentação e menor variabilidade postural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Estudos comparando ginastas juniores e seniores demonstraram que a experiência esportiva se traduz em maior estabilidade tanto em pé quanto em posição invertida, indicando que o nível de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funciona como um parâmetro de desenvolvimento técnico e de desempenho competitivo</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[21], [22]</w:t>
      </w:r>
      <w:r>
        <w:rPr>
          <w:rFonts w:hint="default" w:ascii="Times New Roman" w:hAnsi="Times New Roman" w:cs="Times New Roman"/>
        </w:rPr>
        <w:fldChar w:fldCharType="end"/>
      </w:r>
      <w:r>
        <w:rPr>
          <w:rFonts w:hint="default" w:ascii="Times New Roman" w:hAnsi="Times New Roman" w:eastAsia="Times New Roman" w:cs="Times New Roman"/>
        </w:rPr>
        <w:t>.</w:t>
      </w:r>
    </w:p>
    <w:p w14:paraId="4D72301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Em relação ao </w:t>
      </w:r>
      <w:r>
        <w:rPr>
          <w:rFonts w:hint="default" w:ascii="Times New Roman" w:hAnsi="Times New Roman" w:eastAsia="Times New Roman" w:cs="Times New Roman"/>
          <w:i/>
          <w:iCs/>
        </w:rPr>
        <w:t xml:space="preserve">HSW </w:t>
      </w:r>
      <w:r>
        <w:rPr>
          <w:rFonts w:hint="default" w:ascii="Times New Roman" w:hAnsi="Times New Roman" w:eastAsia="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Pr>
          <w:rFonts w:hint="default" w:ascii="Times New Roman" w:hAnsi="Times New Roman" w:cs="Times New Roman"/>
        </w:rPr>
        <w:t xml:space="preserve">. </w:t>
      </w:r>
      <w:r>
        <w:rPr>
          <w:rFonts w:hint="default" w:ascii="Times New Roman" w:hAnsi="Times New Roman" w:eastAsia="Times New Roman" w:cs="Times New Roman"/>
        </w:rPr>
        <w:t xml:space="preserve">Embora essas estratégias preparatórias sejam diferentes, o resultado de execução do passo é similar, sugerindo redundância neuromuscular para alcançar o mesmo objetivo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Embora a cadência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 assemelhe à da marcha bípede,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é caracterizado por</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Pr>
          <w:rFonts w:hint="default" w:ascii="Times New Roman" w:hAnsi="Times New Roman" w:cs="Times New Roman"/>
        </w:rPr>
        <w:t xml:space="preserve">. </w:t>
      </w:r>
    </w:p>
    <w:p w14:paraId="30AC9ABC">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Sendo assim, torna-se relevante examinar de maneira integrada as variáveis que influenciam o desempenho tanto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 [10]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 [3], [7], [13]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p>
    <w:p w14:paraId="03565C45">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Dentre as variáveis de força, a literatura sugere que a estabilidade no </w:t>
      </w:r>
      <w:r>
        <w:rPr>
          <w:rFonts w:hint="default" w:ascii="Times New Roman" w:hAnsi="Times New Roman" w:eastAsia="Times New Roman" w:cs="Times New Roman"/>
          <w:i/>
          <w:iCs/>
          <w:highlight w:val="none"/>
        </w:rPr>
        <w:t xml:space="preserve">HS </w:t>
      </w:r>
      <w:r>
        <w:rPr>
          <w:rFonts w:hint="default" w:ascii="Times New Roman" w:hAnsi="Times New Roman" w:eastAsia="Times New Roman" w:cs="Times New Roman"/>
          <w:highlight w:val="none"/>
        </w:rPr>
        <w:t>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[6], [7]</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Evidências indicam que a força relativa no </w:t>
      </w:r>
      <w:r>
        <w:rPr>
          <w:rFonts w:hint="default" w:ascii="Times New Roman" w:hAnsi="Times New Roman" w:eastAsia="Times New Roman" w:cs="Times New Roman"/>
          <w:i/>
          <w:iCs/>
          <w:highlight w:val="none"/>
        </w:rPr>
        <w:t>SP</w:t>
      </w:r>
      <w:r>
        <w:rPr>
          <w:rFonts w:hint="default" w:ascii="Times New Roman" w:hAnsi="Times New Roman" w:eastAsia="Times New Roman" w:cs="Times New Roman"/>
          <w:highlight w:val="none"/>
        </w:rPr>
        <w:t xml:space="preserve">, quando ajustada à massa corporal, apresenta forte correlação com o desempenho no </w:t>
      </w:r>
      <w:r>
        <w:rPr>
          <w:rFonts w:hint="default" w:ascii="Times New Roman" w:hAnsi="Times New Roman" w:eastAsia="Times New Roman" w:cs="Times New Roman"/>
          <w:i/>
          <w:iCs/>
          <w:highlight w:val="none"/>
        </w:rPr>
        <w:t>strict handstand push up</w:t>
      </w:r>
      <w:r>
        <w:rPr>
          <w:rFonts w:hint="default" w:ascii="Times New Roman" w:hAnsi="Times New Roman" w:eastAsia="Times New Roman" w:cs="Times New Roman"/>
          <w:highlight w:val="none"/>
        </w:rPr>
        <w:t xml:space="preserve"> [36], sugerindo que a força de empurrar acima da cabeça é um componente fundamental para executar movimentos dinâmicos</w:t>
      </w:r>
      <w:r>
        <w:rPr>
          <w:rFonts w:hint="default" w:ascii="Times New Roman" w:hAnsi="Times New Roman" w:eastAsia="Times New Roman" w:cs="Times New Roman"/>
          <w:highlight w:val="none"/>
          <w:lang w:val="pt-BR"/>
        </w:rPr>
        <w:t>. O que poderia tornar</w:t>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e</w:t>
      </w:r>
      <w:r>
        <w:rPr>
          <w:rFonts w:hint="default" w:ascii="Times New Roman" w:hAnsi="Times New Roman" w:eastAsia="Times New Roman" w:cs="Times New Roman"/>
          <w:highlight w:val="none"/>
        </w:rPr>
        <w:t>ssa capacidade de produção de força máxima</w:t>
      </w:r>
      <w:r>
        <w:rPr>
          <w:rFonts w:hint="default" w:ascii="Times New Roman" w:hAnsi="Times New Roman" w:eastAsia="Times New Roman" w:cs="Times New Roman"/>
          <w:highlight w:val="none"/>
          <w:lang w:val="pt-BR"/>
        </w:rPr>
        <w:t xml:space="preserve"> acima da cabeça</w:t>
      </w:r>
      <w:r>
        <w:rPr>
          <w:rFonts w:hint="default" w:ascii="Times New Roman" w:hAnsi="Times New Roman" w:eastAsia="Times New Roman" w:cs="Times New Roman"/>
          <w:highlight w:val="none"/>
        </w:rPr>
        <w:t xml:space="preserve"> também </w:t>
      </w:r>
      <w:r>
        <w:rPr>
          <w:rFonts w:hint="default" w:ascii="Times New Roman" w:hAnsi="Times New Roman" w:eastAsia="Times New Roman" w:cs="Times New Roman"/>
          <w:highlight w:val="none"/>
          <w:lang w:val="pt-BR"/>
        </w:rPr>
        <w:t>importante</w:t>
      </w:r>
      <w:r>
        <w:rPr>
          <w:rFonts w:hint="default" w:ascii="Times New Roman" w:hAnsi="Times New Roman" w:eastAsia="Times New Roman" w:cs="Times New Roman"/>
          <w:highlight w:val="none"/>
        </w:rPr>
        <w:t xml:space="preserve"> para tarefas de locomoção como o </w:t>
      </w:r>
      <w:r>
        <w:rPr>
          <w:rFonts w:hint="default" w:ascii="Times New Roman" w:hAnsi="Times New Roman" w:eastAsia="Times New Roman" w:cs="Times New Roman"/>
          <w:i/>
          <w:iCs/>
          <w:highlight w:val="none"/>
          <w:lang w:val="pt-BR"/>
        </w:rPr>
        <w:t>HSW</w:t>
      </w:r>
      <w:r>
        <w:rPr>
          <w:rFonts w:hint="default" w:ascii="Times New Roman" w:hAnsi="Times New Roman" w:eastAsia="Times New Roman" w:cs="Times New Roman"/>
          <w:highlight w:val="none"/>
        </w:rPr>
        <w:t>. Contudo, quando a demanda passa a ser a manutenção do equilíbrio na parada de mão estática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highlight w:val="none"/>
        </w:rPr>
        <w:t xml:space="preserve">), investigações recentes utilizando modelos de </w:t>
      </w:r>
      <w:r>
        <w:rPr>
          <w:rFonts w:hint="default" w:ascii="Times New Roman" w:hAnsi="Times New Roman" w:eastAsia="Times New Roman" w:cs="Times New Roman"/>
          <w:i/>
          <w:iCs/>
          <w:highlight w:val="none"/>
        </w:rPr>
        <w:t xml:space="preserve">machine learning </w:t>
      </w:r>
      <w:r>
        <w:rPr>
          <w:rFonts w:hint="default" w:ascii="Times New Roman" w:hAnsi="Times New Roman" w:eastAsia="Times New Roman" w:cs="Times New Roman"/>
          <w:highlight w:val="none"/>
        </w:rPr>
        <w:t>demonstraram que testes de força geral apresentam acurácia preditiva reduzida (0,44) para determinar o desempenho técnico</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[26]</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Fato este</w:t>
      </w:r>
      <w:r>
        <w:rPr>
          <w:rFonts w:hint="default" w:ascii="Times New Roman" w:hAnsi="Times New Roman" w:eastAsia="Times New Roman" w:cs="Times New Roman"/>
          <w:highlight w:val="none"/>
        </w:rPr>
        <w:t xml:space="preserve"> evidencia que na postura isométrica a força</w:t>
      </w:r>
      <w:r>
        <w:rPr>
          <w:rFonts w:hint="default" w:ascii="Times New Roman" w:hAnsi="Times New Roman" w:eastAsia="Times New Roman" w:cs="Times New Roman"/>
          <w:highlight w:val="none"/>
          <w:lang w:val="pt-BR"/>
        </w:rPr>
        <w:t xml:space="preserve"> geral</w:t>
      </w:r>
      <w:r>
        <w:rPr>
          <w:rFonts w:hint="default" w:ascii="Times New Roman" w:hAnsi="Times New Roman" w:eastAsia="Times New Roman" w:cs="Times New Roman"/>
          <w:highlight w:val="none"/>
        </w:rPr>
        <w:t xml:space="preserve"> atua primordialmente como um limiar de suporte estrutural</w:t>
      </w:r>
      <w:r>
        <w:rPr>
          <w:rFonts w:hint="default" w:ascii="Times New Roman" w:hAnsi="Times New Roman" w:eastAsia="Times New Roman" w:cs="Times New Roman"/>
          <w:highlight w:val="none"/>
          <w:lang w:val="pt-BR"/>
        </w:rPr>
        <w:t xml:space="preserve">, justificando  </w:t>
      </w:r>
      <w:r>
        <w:rPr>
          <w:rFonts w:hint="default" w:ascii="Times New Roman" w:hAnsi="Times New Roman" w:eastAsia="Times New Roman" w:cs="Times New Roman"/>
          <w:highlight w:val="none"/>
        </w:rPr>
        <w:t>avaliar capacidades neuromusculares com</w:t>
      </w:r>
      <w:r>
        <w:rPr>
          <w:rFonts w:hint="default" w:ascii="Times New Roman" w:hAnsi="Times New Roman" w:eastAsia="Times New Roman" w:cs="Times New Roman"/>
          <w:highlight w:val="none"/>
          <w:lang w:val="pt-BR"/>
        </w:rPr>
        <w:t xml:space="preserve"> maior</w:t>
      </w:r>
      <w:r>
        <w:rPr>
          <w:rFonts w:hint="default" w:ascii="Times New Roman" w:hAnsi="Times New Roman" w:eastAsia="Times New Roman" w:cs="Times New Roman"/>
          <w:highlight w:val="none"/>
        </w:rPr>
        <w:t xml:space="preserve"> especificidade biomecânica à tarefa, como o torque isolado de punho e a preensão manual.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Embora estudos prévios tenham reportado correlações entre testes genéricos, como o número de flexões de braço, e o tempo de sustentação no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i/>
          <w:iCs/>
          <w:highlight w:val="none"/>
          <w:lang w:val="pt-BR"/>
        </w:rPr>
        <w:t xml:space="preserv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tais achados</w:t>
      </w:r>
      <w:r>
        <w:rPr>
          <w:rFonts w:hint="default" w:ascii="Times New Roman" w:hAnsi="Times New Roman" w:eastAsia="Times New Roman" w:cs="Times New Roman"/>
          <w:highlight w:val="none"/>
          <w:lang w:val="pt-BR"/>
        </w:rPr>
        <w:t xml:space="preserve"> estão concentrados</w:t>
      </w:r>
      <w:r>
        <w:rPr>
          <w:rFonts w:hint="default" w:ascii="Times New Roman" w:hAnsi="Times New Roman" w:eastAsia="Times New Roman" w:cs="Times New Roman"/>
          <w:highlight w:val="none"/>
        </w:rPr>
        <w:t xml:space="preserve"> em ginastas jovens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Nesta fase do desenvolvimento esportivo, a força de base e a resistência geral ainda atuam como os principais fatores limitadores para a sustentação da massa corporal contra a gravidade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[28]</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xml:space="preserve">. No entanto, </w:t>
      </w:r>
      <w:r>
        <w:rPr>
          <w:rFonts w:hint="default" w:ascii="Times New Roman" w:hAnsi="Times New Roman" w:eastAsia="Times New Roman" w:cs="Times New Roman"/>
          <w:highlight w:val="none"/>
          <w:lang w:val="pt-BR"/>
        </w:rPr>
        <w:t>p</w:t>
      </w:r>
      <w:r>
        <w:rPr>
          <w:rFonts w:hint="default" w:ascii="Times New Roman" w:hAnsi="Times New Roman" w:eastAsia="Times New Roman" w:cs="Times New Roman"/>
          <w:highlight w:val="none"/>
        </w:rPr>
        <w:t>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[14], [19]</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lang w:val="pt-BR"/>
        </w:rPr>
        <w:t>. Visto isso,</w:t>
      </w:r>
      <w:r>
        <w:rPr>
          <w:rFonts w:hint="default" w:ascii="Times New Roman" w:hAnsi="Times New Roman" w:eastAsia="Times New Roman" w:cs="Times New Roman"/>
          <w:highlight w:val="none"/>
        </w:rPr>
        <w:t xml:space="preserve"> a interação combinada entre resistência muscular específica na inversão, capacidade máxima de força distal e alinhamento articular no desempenho dessas diferentes habilidades</w:t>
      </w:r>
      <w:r>
        <w:rPr>
          <w:rFonts w:hint="default" w:ascii="Times New Roman" w:hAnsi="Times New Roman" w:eastAsia="Times New Roman" w:cs="Times New Roman"/>
          <w:highlight w:val="none"/>
          <w:lang w:val="pt-BR"/>
        </w:rPr>
        <w:t xml:space="preserve"> permanece </w:t>
      </w:r>
      <w:r>
        <w:rPr>
          <w:rFonts w:hint="default" w:ascii="Times New Roman" w:hAnsi="Times New Roman" w:eastAsia="Times New Roman" w:cs="Times New Roman"/>
          <w:highlight w:val="none"/>
        </w:rPr>
        <w:t>inexplorada .</w:t>
      </w:r>
    </w:p>
    <w:p w14:paraId="16D2B967">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As variáveis antropométricas, como o comprimento dos membros, a altura do centro de massa (CoM) e a composição corporal, têm sido apontadas pela literatura como potenciais influenciadoras da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 [30]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 [32]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p>
    <w:p w14:paraId="2D1F72CB">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SimSun" w:cs="Times New Roman"/>
          <w:sz w:val="24"/>
          <w:szCs w:val="24"/>
          <w:highlight w:val="none"/>
        </w:rPr>
        <w:t xml:space="preserve">Adicionalmente, indicadores de controle postural têm sido amplamente empregados para caracterizar a estabilidade em posição invertida. No </w:t>
      </w:r>
      <w:r>
        <w:rPr>
          <w:rFonts w:hint="default" w:ascii="Times New Roman" w:hAnsi="Times New Roman" w:eastAsia="SimSun" w:cs="Times New Roman"/>
          <w:i/>
          <w:iCs/>
          <w:sz w:val="24"/>
          <w:szCs w:val="24"/>
          <w:highlight w:val="none"/>
        </w:rPr>
        <w:t>HS</w:t>
      </w:r>
      <w:r>
        <w:rPr>
          <w:rFonts w:hint="default" w:ascii="Times New Roman" w:hAnsi="Times New Roman" w:eastAsia="SimSun" w:cs="Times New Roman"/>
          <w:sz w:val="24"/>
          <w:szCs w:val="24"/>
          <w:highlight w:val="none"/>
        </w:rPr>
        <w:t>, espera-se que uma maior proficiência e tempo de sustentação estejam associados a menores oscilações do CoP e a uma menor entropia aproximada (ApEn), refletindo maior regularidade e automaticidade neuromotora</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[4]</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 No entanto, diferentemente da análise isolada da variabilidade do CoP</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rPr>
        <w:t xml:space="preserve">que expressa primordialmente a magnitude e a frequência do esforço neuromuscular corretivo aplicado sobre a base de apoio, a distância instantânea entre o CoP e a projeção vertical </w:t>
      </w:r>
      <w:r>
        <w:rPr>
          <w:rFonts w:hint="default" w:ascii="Times New Roman" w:hAnsi="Times New Roman" w:eastAsia="SimSun" w:cs="Times New Roman"/>
          <w:sz w:val="24"/>
          <w:szCs w:val="24"/>
          <w:highlight w:val="none"/>
          <w:lang w:val="pt-BR"/>
        </w:rPr>
        <w:t>CoM</w:t>
      </w:r>
      <w:r>
        <w:rPr>
          <w:rFonts w:hint="default" w:ascii="Times New Roman" w:hAnsi="Times New Roman" w:eastAsia="SimSun" w:cs="Times New Roman"/>
          <w:sz w:val="24"/>
          <w:szCs w:val="24"/>
          <w:highlight w:val="none"/>
        </w:rPr>
        <w:t xml:space="preserve"> assume papel central como medida primária do erro real de equilíbrio</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sz w:val="24"/>
          <w:szCs w:val="24"/>
          <w:highlight w:val="none"/>
        </w:rPr>
        <w:fldChar w:fldCharType="begin"/>
      </w:r>
      <w:r>
        <w:rPr>
          <w:rFonts w:hint="default" w:ascii="Times New Roman" w:hAnsi="Times New Roman" w:eastAsia="SimSun" w:cs="Times New Roman"/>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rPr>
        <w:fldChar w:fldCharType="end"/>
      </w:r>
      <w:r>
        <w:rPr>
          <w:rFonts w:hint="default" w:ascii="Times New Roman" w:hAnsi="Times New Roman" w:eastAsia="SimSun" w:cs="Times New Roman"/>
          <w:sz w:val="24"/>
          <w:szCs w:val="24"/>
          <w:highlight w:val="none"/>
        </w:rPr>
        <w:t>.</w:t>
      </w:r>
      <w:r>
        <w:rPr>
          <w:rFonts w:hint="default" w:ascii="Times New Roman" w:hAnsi="Times New Roman" w:eastAsia="Times New Roman" w:cs="Times New Roman"/>
          <w:highlight w:val="none"/>
        </w:rPr>
        <w:t xml:space="preserve"> </w:t>
      </w:r>
    </w:p>
    <w:p w14:paraId="2A83AF70">
      <w:pPr>
        <w:spacing w:line="360" w:lineRule="auto"/>
        <w:ind w:firstLine="426"/>
        <w:rPr>
          <w:rFonts w:hint="default" w:ascii="Times New Roman" w:hAnsi="Times New Roman" w:eastAsia="Times New Roman" w:cs="Times New Roman"/>
          <w:lang w:val="pt-BR"/>
        </w:rPr>
      </w:pPr>
      <w:r>
        <w:rPr>
          <w:rFonts w:hint="default" w:ascii="Times New Roman" w:hAnsi="Times New Roman" w:eastAsia="Times New Roman" w:cs="Times New Roman"/>
        </w:rPr>
        <w:t>A análise cinemática dos ângulos articulares dos punhos, ombros, quadril e cabeça, tem sido apontada como relevante, uma vez que o alinhamento segmentar influencia diretamente a distribuição do</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CoM e as demandas de torque sobre os estabilizadores articulares, podendo determinar estratégias distintas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iCs/>
        </w:rPr>
        <w:fldChar w:fldCharType="begin"/>
      </w:r>
      <w:r>
        <w:rPr>
          <w:rFonts w:hint="default" w:ascii="Times New Roman" w:hAnsi="Times New Roman" w:eastAsia="Times New Roman" w:cs="Times New Roman"/>
          <w:i/>
          <w:iCs/>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i/>
          <w:iCs/>
        </w:rPr>
        <w:fldChar w:fldCharType="separate"/>
      </w:r>
      <w:r>
        <w:rPr>
          <w:rFonts w:hint="default" w:ascii="Times New Roman" w:hAnsi="Times New Roman" w:cs="Times New Roman"/>
        </w:rPr>
        <w:t>[1]</w:t>
      </w:r>
      <w:r>
        <w:rPr>
          <w:rFonts w:hint="default" w:ascii="Times New Roman" w:hAnsi="Times New Roman" w:eastAsia="Times New Roman" w:cs="Times New Roman"/>
          <w:i/>
          <w:iCs/>
        </w:rPr>
        <w:fldChar w:fldCharType="end"/>
      </w:r>
      <w:r>
        <w:rPr>
          <w:rFonts w:hint="default" w:ascii="Times New Roman" w:hAnsi="Times New Roman" w:eastAsia="Times New Roman" w:cs="Times New Roman"/>
        </w:rPr>
        <w:t xml:space="preserve">. Apesar de amplamente abordado em trabalhos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rPr>
        <w:fldChar w:fldCharType="begin"/>
      </w:r>
      <w:r>
        <w:rPr>
          <w:rFonts w:hint="default" w:ascii="Times New Roman" w:hAnsi="Times New Roman" w:eastAsia="Times New Roman" w:cs="Times New Roman"/>
          <w:i/>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i/>
        </w:rPr>
        <w:fldChar w:fldCharType="separate"/>
      </w:r>
      <w:r>
        <w:rPr>
          <w:rFonts w:hint="default" w:ascii="Times New Roman" w:hAnsi="Times New Roman" w:cs="Times New Roman"/>
        </w:rPr>
        <w:t>[2]</w:t>
      </w:r>
      <w:r>
        <w:rPr>
          <w:rFonts w:hint="default" w:ascii="Times New Roman" w:hAnsi="Times New Roman" w:eastAsia="Times New Roman" w:cs="Times New Roman"/>
          <w:i/>
        </w:rPr>
        <w:fldChar w:fldCharType="end"/>
      </w:r>
      <w:r>
        <w:rPr>
          <w:rFonts w:hint="default" w:ascii="Times New Roman" w:hAnsi="Times New Roman" w:eastAsia="Times New Roman" w:cs="Times New Roman"/>
          <w:i/>
        </w:rPr>
        <w:t>.</w:t>
      </w:r>
      <w:r>
        <w:rPr>
          <w:rFonts w:hint="default" w:ascii="Times New Roman" w:hAnsi="Times New Roman" w:eastAsia="Times New Roman" w:cs="Times New Roman"/>
        </w:rPr>
        <w:t xml:space="preserve"> Essa incerteza é ampliada pela escassez de estudos que investiguem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em modalidades além da ginástica artística, nas quais se observam estratégias de equilíbrio eficazes mesmo em alinhamentos distintos.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Nesse contexto, a cadeia cinética invertida opera sob papéis funcionais distintos: enquanto os punhos atuam no solo como efetores dinâmicos de alta frequência (</w:t>
      </w:r>
      <w:r>
        <w:rPr>
          <w:rFonts w:hint="default" w:ascii="Times New Roman" w:hAnsi="Times New Roman" w:eastAsia="Times New Roman" w:cs="Times New Roman"/>
          <w:i/>
          <w:iCs/>
        </w:rPr>
        <w:t>wrist strategy</w:t>
      </w:r>
      <w:r>
        <w:rPr>
          <w:rFonts w:hint="default" w:ascii="Times New Roman" w:hAnsi="Times New Roman" w:eastAsia="Times New Roman" w:cs="Times New Roman"/>
        </w:rPr>
        <w:t>, análoga ao tornozelo na postura ereta)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[2], [3], [7]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ombros e quadril definem o empilhamento articular do tronco (</w:t>
      </w:r>
      <w:r>
        <w:rPr>
          <w:rFonts w:hint="default" w:ascii="Times New Roman" w:hAnsi="Times New Roman" w:eastAsia="Times New Roman" w:cs="Times New Roman"/>
          <w:i/>
          <w:iCs/>
        </w:rPr>
        <w:t>joint stacking</w:t>
      </w:r>
      <w:r>
        <w:rPr>
          <w:rFonts w:hint="default" w:ascii="Times New Roman" w:hAnsi="Times New Roman" w:eastAsia="Times New Roman" w:cs="Times New Roman"/>
        </w:rPr>
        <w:t>), onde restrições de mobilidade exigem compensações na curvatura lombar</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 [14]</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Paralelamente, na extremidade oposta, a flexão plantar ativa (</w:t>
      </w:r>
      <w:r>
        <w:rPr>
          <w:rFonts w:hint="default" w:ascii="Times New Roman" w:hAnsi="Times New Roman" w:eastAsia="Times New Roman" w:cs="Times New Roman"/>
          <w:lang w:val="pt-BR"/>
        </w:rPr>
        <w:t>“</w:t>
      </w:r>
      <w:r>
        <w:rPr>
          <w:rFonts w:hint="default" w:ascii="Times New Roman" w:hAnsi="Times New Roman" w:eastAsia="Times New Roman" w:cs="Times New Roman"/>
        </w:rPr>
        <w:t>ponta de pé</w:t>
      </w:r>
      <w:r>
        <w:rPr>
          <w:rFonts w:hint="default" w:ascii="Times New Roman" w:hAnsi="Times New Roman" w:eastAsia="Times New Roman" w:cs="Times New Roman"/>
          <w:lang w:val="pt-BR"/>
        </w:rPr>
        <w:t>”</w:t>
      </w:r>
      <w:r>
        <w:rPr>
          <w:rFonts w:hint="default" w:ascii="Times New Roman" w:hAnsi="Times New Roman" w:eastAsia="Times New Roman" w:cs="Times New Roman"/>
        </w:rPr>
        <w:t>) promove irradiação motora e coativação nos membros inferiores, convertendo o corpo em um pêndulo rígido de haste única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single-link</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[28], [31]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tornozelos neutros ou relaxados (comuns no </w:t>
      </w:r>
      <w:r>
        <w:rPr>
          <w:rFonts w:hint="default" w:ascii="Times New Roman" w:hAnsi="Times New Roman" w:eastAsia="Times New Roman" w:cs="Times New Roman"/>
          <w:i/>
          <w:iCs/>
        </w:rPr>
        <w:t>CrossFit</w:t>
      </w:r>
      <w:r>
        <w:rPr>
          <w:rFonts w:hint="default" w:ascii="Times New Roman" w:hAnsi="Times New Roman" w:eastAsia="Times New Roman" w:cs="Times New Roman"/>
          <w:i/>
          <w:iCs/>
          <w:lang w:val="pt-BR"/>
        </w:rPr>
        <w:t xml:space="preserve"> </w:t>
      </w:r>
      <w:r>
        <w:rPr>
          <w:rFonts w:hint="default" w:ascii="Times New Roman" w:hAnsi="Times New Roman" w:eastAsia="Times New Roman" w:cs="Times New Roman"/>
          <w:i w:val="0"/>
          <w:iCs w:val="0"/>
          <w:lang w:val="pt-BR"/>
        </w:rPr>
        <w:t>e Calistenia</w:t>
      </w:r>
      <w:r>
        <w:rPr>
          <w:rFonts w:hint="default" w:ascii="Times New Roman" w:hAnsi="Times New Roman" w:eastAsia="Times New Roman" w:cs="Times New Roman"/>
        </w:rPr>
        <w:t>) induzem um comportamento multiarticulad</w:t>
      </w:r>
      <w:r>
        <w:rPr>
          <w:rFonts w:hint="default" w:ascii="Times New Roman" w:hAnsi="Times New Roman" w:eastAsia="Times New Roman" w:cs="Times New Roman"/>
          <w:lang w:val="pt-BR"/>
        </w:rPr>
        <w:t>o (</w:t>
      </w:r>
      <w:r>
        <w:rPr>
          <w:rFonts w:hint="default" w:ascii="Times New Roman" w:hAnsi="Times New Roman" w:eastAsia="Times New Roman" w:cs="Times New Roman"/>
          <w:i/>
          <w:iCs/>
          <w:lang w:val="pt-BR"/>
        </w:rPr>
        <w:t>multi-link)</w:t>
      </w:r>
      <w:r>
        <w:rPr>
          <w:rFonts w:hint="default" w:ascii="Times New Roman" w:hAnsi="Times New Roman" w:eastAsia="Times New Roman" w:cs="Times New Roman"/>
        </w:rPr>
        <w:t xml:space="preserve">, </w:t>
      </w:r>
      <w:r>
        <w:rPr>
          <w:rFonts w:hint="default" w:ascii="Times New Roman" w:hAnsi="Times New Roman" w:eastAsia="Times New Roman" w:cs="Times New Roman"/>
          <w:lang w:val="pt-BR"/>
        </w:rPr>
        <w:t>g</w:t>
      </w:r>
      <w:r>
        <w:rPr>
          <w:rFonts w:hint="default" w:ascii="Times New Roman" w:hAnsi="Times New Roman" w:eastAsia="Times New Roman" w:cs="Times New Roman"/>
        </w:rPr>
        <w:t>erando oscilações inerciais distais que podem sobrecarregar os mecanismos de controle postural na base. Avaliar essas configurações segmentares esclarecerá se a verticalidade estrita e a rigidez distal são imperativas ou se estratégias adaptativas sustentam estabilidade equivalente entre modalidades.</w:t>
      </w:r>
    </w:p>
    <w:p w14:paraId="18EE1F6D">
      <w:pPr>
        <w:spacing w:line="360" w:lineRule="auto"/>
        <w:ind w:firstLine="426"/>
        <w:rPr>
          <w:rFonts w:hint="default" w:ascii="Times New Roman" w:hAnsi="Times New Roman" w:eastAsia="Times New Roman" w:cs="Times New Roman"/>
        </w:rPr>
      </w:pPr>
      <w:r>
        <w:rPr>
          <w:rFonts w:hint="default" w:ascii="Times New Roman" w:hAnsi="Times New Roman" w:cs="Times New Roman"/>
        </w:rPr>
        <w:t xml:space="preserve">No </w:t>
      </w:r>
      <w:r>
        <w:rPr>
          <w:rFonts w:hint="default" w:ascii="Times New Roman" w:hAnsi="Times New Roman" w:cs="Times New Roman"/>
          <w:i/>
          <w:iCs/>
        </w:rPr>
        <w:t>HS</w:t>
      </w:r>
      <w:r>
        <w:rPr>
          <w:rFonts w:hint="default" w:ascii="Times New Roman" w:hAnsi="Times New Roman" w:cs="Times New Roman"/>
        </w:rPr>
        <w:t xml:space="preserve">, o tempo máximo de sustentação tem sido utilizado como parâmetro de desempenho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[2], [20], [22], [27]</w:t>
      </w:r>
      <w:r>
        <w:rPr>
          <w:rFonts w:hint="default" w:ascii="Times New Roman" w:hAnsi="Times New Roman" w:cs="Times New Roman"/>
        </w:rPr>
        <w:fldChar w:fldCharType="end"/>
      </w:r>
      <w:r>
        <w:rPr>
          <w:rFonts w:hint="default" w:ascii="Times New Roman" w:hAnsi="Times New Roman" w:cs="Times New Roman"/>
        </w:rPr>
        <w:t xml:space="preserve">. Enquanto que no </w:t>
      </w:r>
      <w:r>
        <w:rPr>
          <w:rFonts w:hint="default" w:ascii="Times New Roman" w:hAnsi="Times New Roman" w:cs="Times New Roman"/>
          <w:i/>
          <w:iCs/>
        </w:rPr>
        <w:t>HSW</w:t>
      </w:r>
      <w:r>
        <w:rPr>
          <w:rFonts w:hint="default" w:ascii="Times New Roman" w:hAnsi="Times New Roman" w:cs="Times New Roman"/>
        </w:rPr>
        <w:t>, os poucos estudos publicados até o momento concentraram-se em aspectos de desempenho a partir de parâmetros iniciais do deslocamento e de controle motor, como as</w:t>
      </w:r>
      <w:r>
        <w:rPr>
          <w:rFonts w:hint="default" w:ascii="Times New Roman" w:hAnsi="Times New Roman" w:cs="Times New Roman"/>
          <w:b/>
          <w:bCs/>
        </w:rPr>
        <w:t xml:space="preserve"> </w:t>
      </w:r>
      <w:r>
        <w:rPr>
          <w:rStyle w:val="8"/>
          <w:rFonts w:hint="default" w:ascii="Times New Roman" w:hAnsi="Times New Roman" w:cs="Times New Roman"/>
          <w:b w:val="0"/>
          <w:bCs w:val="0"/>
        </w:rPr>
        <w:t>forças de reação ao solo, coordenação intersegmentar e APAs no momento da saída</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xml:space="preserve">, os efeitos de cargas adicionais sobre APAs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 xml:space="preserve"> e comparações de coordenação com a marcha bípede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 Sendo assim, avaliar também variáveis espaço-temporais, como distância percorrida, tempo de execução e velocidade média, poderiam oferecer uma visão mais integrada e completa dos padrões de deslocamento</w:t>
      </w:r>
      <w:r>
        <w:rPr>
          <w:rFonts w:hint="default" w:ascii="Times New Roman" w:hAnsi="Times New Roman" w:eastAsia="Times New Roman" w:cs="Times New Roman"/>
        </w:rPr>
        <w:t xml:space="preserve">. </w:t>
      </w:r>
      <w:r>
        <w:rPr>
          <w:rFonts w:hint="default" w:ascii="Times New Roman" w:hAnsi="Times New Roman" w:cs="Times New Roman"/>
        </w:rPr>
        <w:t xml:space="preserve"> </w:t>
      </w:r>
      <w:r>
        <w:rPr>
          <w:rFonts w:hint="default" w:ascii="Times New Roman" w:hAnsi="Times New Roman" w:eastAsia="Times New Roman" w:cs="Times New Roman"/>
        </w:rPr>
        <w:t xml:space="preserve">Verificou-se que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apresenta um padrão de locomoção semelhante à marcha bípede, mas com passos mais curtos, base de apoio alargada e maior tempo em duplo suporte, característica que aumenta com o nível de habilidade dentro da ginástica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ao passo que passadas mais curtas e rápidas podem indicar estratégias voltadas à propulsão e velocidade. Nesse contexto, o tempo máximo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poderia influenciar também nos parâmetros espaço-temporais do </w:t>
      </w:r>
      <w:r>
        <w:rPr>
          <w:rFonts w:hint="default" w:ascii="Times New Roman" w:hAnsi="Times New Roman" w:eastAsia="Times New Roman" w:cs="Times New Roman"/>
          <w:i/>
          <w:iCs/>
        </w:rPr>
        <w:t>HSW</w:t>
      </w:r>
      <w:r>
        <w:rPr>
          <w:rFonts w:hint="default" w:ascii="Times New Roman" w:hAnsi="Times New Roman" w:eastAsia="Times New Roman" w:cs="Times New Roman"/>
        </w:rPr>
        <w:t>, sugerindo uma possível transferência de habilidades entre as condições estática e dinâmica.</w:t>
      </w:r>
    </w:p>
    <w:p w14:paraId="023853DF">
      <w:pPr>
        <w:spacing w:line="360" w:lineRule="auto"/>
        <w:ind w:firstLine="426"/>
        <w:rPr>
          <w:rFonts w:hint="default" w:ascii="Times New Roman" w:hAnsi="Times New Roman" w:cs="Times New Roman"/>
        </w:rPr>
      </w:pPr>
      <w:r>
        <w:rPr>
          <w:rFonts w:hint="default" w:ascii="Times New Roman" w:hAnsi="Times New Roman" w:cs="Times New Roman"/>
        </w:rPr>
        <w:t xml:space="preserve">O tempo de prática na modalidade em que o </w:t>
      </w:r>
      <w:r>
        <w:rPr>
          <w:rFonts w:hint="default" w:ascii="Times New Roman" w:hAnsi="Times New Roman" w:cs="Times New Roman"/>
          <w:i/>
          <w:iCs/>
        </w:rPr>
        <w:t>HS</w:t>
      </w:r>
      <w:r>
        <w:rPr>
          <w:rFonts w:hint="default" w:ascii="Times New Roman" w:hAnsi="Times New Roman" w:cs="Times New Roman"/>
        </w:rPr>
        <w:t xml:space="preserve"> é treinado parece exercer papel importante na estabilidade e no controle postural. </w:t>
      </w:r>
      <w:r>
        <w:rPr>
          <w:rFonts w:hint="default" w:ascii="Times New Roman" w:hAnsi="Times New Roman" w:eastAsia="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No contexto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maior tempo de prática tende a refletir não apenas em maior resistência de sustentação e controle postural estático, mas também em proficiência no deslocamento em inversão. </w:t>
      </w:r>
      <w:r>
        <w:rPr>
          <w:rFonts w:hint="default"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[36], [37]</w:t>
      </w:r>
      <w:r>
        <w:rPr>
          <w:rFonts w:hint="default" w:ascii="Times New Roman" w:hAnsi="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Embora a idade cronológica naturalmente poderia influenciar a capacidade de equilíbrio invertido, a proficiência no </w:t>
      </w:r>
      <w:r>
        <w:rPr>
          <w:rFonts w:hint="default" w:ascii="Times New Roman" w:hAnsi="Times New Roman" w:cs="Times New Roman"/>
          <w:i/>
          <w:iCs/>
        </w:rPr>
        <w:t>HS</w:t>
      </w:r>
      <w:r>
        <w:rPr>
          <w:rFonts w:hint="default" w:ascii="Times New Roman" w:hAnsi="Times New Roman" w:cs="Times New Roman"/>
        </w:rPr>
        <w:t xml:space="preserve"> pode ser menos limitada por esses fatores biológicos.  Isso porque o </w:t>
      </w:r>
      <w:r>
        <w:rPr>
          <w:rFonts w:hint="default" w:ascii="Times New Roman" w:hAnsi="Times New Roman" w:cs="Times New Roman"/>
          <w:i/>
          <w:iCs/>
        </w:rPr>
        <w:t>HS</w:t>
      </w:r>
      <w:r>
        <w:rPr>
          <w:rFonts w:hint="default" w:ascii="Times New Roman" w:hAnsi="Times New Roman" w:cs="Times New Roman"/>
        </w:rPr>
        <w:t xml:space="preserve"> é uma habilidade motora complexa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 [13]</w:t>
      </w:r>
      <w:r>
        <w:rPr>
          <w:rFonts w:hint="default" w:ascii="Times New Roman" w:hAnsi="Times New Roman" w:cs="Times New Roman"/>
        </w:rPr>
        <w:fldChar w:fldCharType="end"/>
      </w:r>
      <w:r>
        <w:rPr>
          <w:rFonts w:hint="default"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[3], [6], [7], [10]</w:t>
      </w:r>
      <w:r>
        <w:rPr>
          <w:rFonts w:hint="default" w:ascii="Times New Roman" w:hAnsi="Times New Roman" w:cs="Times New Roman"/>
        </w:rPr>
        <w:fldChar w:fldCharType="end"/>
      </w:r>
      <w:r>
        <w:rPr>
          <w:rFonts w:hint="default" w:ascii="Times New Roman" w:hAnsi="Times New Roman" w:cs="Times New Roman"/>
        </w:rPr>
        <w:t xml:space="preserve">, que podem compensar os declínios fisiológicos associados à idade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[38], [39]</w:t>
      </w:r>
      <w:r>
        <w:rPr>
          <w:rFonts w:hint="default" w:ascii="Times New Roman" w:hAnsi="Times New Roman" w:cs="Times New Roman"/>
        </w:rPr>
        <w:fldChar w:fldCharType="end"/>
      </w:r>
      <w:r>
        <w:rPr>
          <w:rFonts w:hint="default" w:ascii="Times New Roman" w:hAnsi="Times New Roman" w:cs="Times New Roman"/>
        </w:rPr>
        <w:t>. Dessa forma, a experiência específica poderia se sobrepor à idade cronológica para a definição do nível de maestria nessa tarefa.</w:t>
      </w:r>
    </w:p>
    <w:p w14:paraId="45F63920">
      <w:pPr>
        <w:spacing w:line="360" w:lineRule="auto"/>
        <w:ind w:firstLine="426"/>
        <w:rPr>
          <w:rFonts w:hint="default" w:ascii="Times New Roman" w:hAnsi="Times New Roman" w:eastAsia="Times New Roman" w:cs="Times New Roman"/>
        </w:rPr>
      </w:pPr>
      <w:bookmarkStart w:id="2" w:name="_heading=h.3d7ijnhyh4lu"/>
      <w:bookmarkEnd w:id="2"/>
      <w:r>
        <w:rPr>
          <w:rFonts w:hint="default" w:ascii="Times New Roman" w:hAnsi="Times New Roman" w:cs="Times New Roman"/>
          <w:color w:val="0F1115"/>
        </w:rPr>
        <w:t xml:space="preserve">O estudo proposto pretende integrar diferentes variáveis do desempenho no </w:t>
      </w:r>
      <w:r>
        <w:rPr>
          <w:rFonts w:hint="default" w:ascii="Times New Roman" w:hAnsi="Times New Roman" w:cs="Times New Roman"/>
          <w:i/>
          <w:iCs/>
          <w:color w:val="0F1115"/>
        </w:rPr>
        <w:t>HS</w:t>
      </w:r>
      <w:r>
        <w:rPr>
          <w:rFonts w:hint="default" w:ascii="Times New Roman" w:hAnsi="Times New Roman" w:cs="Times New Roman"/>
          <w:color w:val="0F1115"/>
        </w:rPr>
        <w:t xml:space="preserve"> e </w:t>
      </w:r>
      <w:r>
        <w:rPr>
          <w:rFonts w:hint="default" w:ascii="Times New Roman" w:hAnsi="Times New Roman" w:cs="Times New Roman"/>
          <w:i/>
          <w:iCs/>
          <w:color w:val="0F1115"/>
        </w:rPr>
        <w:t>HSW</w:t>
      </w:r>
      <w:r>
        <w:rPr>
          <w:rFonts w:hint="default" w:ascii="Times New Roman" w:hAnsi="Times New Roman" w:cs="Times New Roman"/>
          <w:color w:val="0F1115"/>
        </w:rPr>
        <w:t>, considerando essas variáveis de força, controle postural, antropometria e alinhamento articular como potenciais preditores. Assim</w:t>
      </w:r>
      <w:r>
        <w:rPr>
          <w:rFonts w:hint="default" w:ascii="Times New Roman" w:hAnsi="Times New Roman" w:eastAsia="Times New Roman" w:cs="Times New Roman"/>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hint="default" w:ascii="Times New Roman" w:hAnsi="Times New Roman" w:eastAsia="Times New Roman" w:cs="Times New Roman"/>
        </w:rPr>
      </w:pPr>
      <w:r>
        <w:rPr>
          <w:rFonts w:hint="default" w:ascii="Times New Roman" w:hAnsi="Times New Roman" w:eastAsia="Times New Roman" w:cs="Times New Roman"/>
        </w:rPr>
        <w:t xml:space="preserve">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hint="default" w:ascii="Times New Roman" w:hAnsi="Times New Roman" w:eastAsia="Times New Roman" w:cs="Times New Roman"/>
          <w:i/>
          <w:iCs/>
        </w:rPr>
        <w:t>HS</w:t>
      </w:r>
      <w:r>
        <w:rPr>
          <w:rFonts w:hint="default" w:ascii="Times New Roman" w:hAnsi="Times New Roman" w:eastAsia="Times New Roman" w:cs="Times New Roman"/>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no </w:t>
      </w:r>
      <w:r>
        <w:rPr>
          <w:rFonts w:hint="default" w:ascii="Times New Roman" w:hAnsi="Times New Roman" w:eastAsia="Times New Roman" w:cs="Times New Roman"/>
          <w:i/>
          <w:iCs/>
        </w:rPr>
        <w:t>HSW</w:t>
      </w:r>
      <w:r>
        <w:rPr>
          <w:rFonts w:hint="default" w:ascii="Times New Roman" w:hAnsi="Times New Roman" w:eastAsia="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    OBJETIVO GERAL</w:t>
      </w:r>
    </w:p>
    <w:p w14:paraId="4E56C355">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Investigar os fatores preditores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praticantes de diferentes modalidades, integrando variáveis de força, controle postural, cinemática articular, antropometria, perfil de experiência prática e idade.</w:t>
      </w:r>
    </w:p>
    <w:p w14:paraId="6DC8CE3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2.1 Objetivos Específicos</w:t>
      </w:r>
    </w:p>
    <w:p w14:paraId="4B9D3BA0">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a) Averiguar a contribuição relativa das variáveis de força (força máxima relativa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força de flexores de punho e dedos, e resistência muscular em posição invertida)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para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6A0542F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b) Avaliar a relação entre parâmetros de controle postural (distância média entre CoM e CoP, velocidade do CoP e ApEn)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p w14:paraId="66E6CF6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c) Analisar a influência de variáveis antropométricas (comprimento de membros, altura do CoM e composição corporal) sobre a estabilidade estática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a eficiência do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3FAF7BCF">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d) Comparar os padrões cinemáticos atrativos dos ângulos articulares, através de um índice de verticalidade entre ombros e quadril, grau de extensão cervical,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ângulo de flexão plantar do tornozelo</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largura da base de apoio e orientação angular das mãos, adotados por praticantes de diferentes níveis de proficiência e modalidades durante 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4A2D826D">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e) Determinar a associação entre o tempo de prática específica e a idade cronológica com 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testando a hipótese de que a experiência prática tem um peso preditivo maior que a idade.</w:t>
      </w:r>
    </w:p>
    <w:p w14:paraId="4EF15B59">
      <w:pPr>
        <w:pStyle w:val="10"/>
        <w:spacing w:after="0" w:line="360" w:lineRule="auto"/>
        <w:rPr>
          <w:rFonts w:hint="default" w:ascii="Times New Roman" w:hAnsi="Times New Roman" w:eastAsia="Times New Roman" w:cs="Times New Roman"/>
        </w:rPr>
      </w:pPr>
      <w:r>
        <w:rPr>
          <w:rFonts w:hint="default" w:ascii="Times New Roman" w:hAnsi="Times New Roman" w:cs="Times New Roman"/>
        </w:rPr>
        <w:t>f) Identificar como os parâmetros espaço-temporais (comprimento médio, cadência e variabilidades espacial e temporal das passadas) influenciam no desempenho do HSW, bem como descrever as estratégias de locomoção adotadas por praticantes de diferentes modalidades através dos parâmetros: velocidade média, tempo de contato das mãos no solo e tempo em duplo suporte.</w:t>
      </w:r>
    </w:p>
    <w:p w14:paraId="5C9EFFDE">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g) Verificar a existência de uma possível transferência de habilidades entre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correlacionando o tempo máximo de sustentação e a entropia (ApEn)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com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23C7C0E2">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h) Identificar os fatores determinantes para o sucesso na autonomia de estabilização do HS livre por meio de regressão logística binária, testando a contribuição relativa da força máxima de empurrar no SP, do tempo de sustentação prévio no bloco assistido e do tempo de prática acumulada.</w:t>
      </w:r>
    </w:p>
    <w:p w14:paraId="3688E4AB">
      <w:pPr>
        <w:pStyle w:val="2"/>
        <w:spacing w:before="0" w:after="140" w:line="360" w:lineRule="auto"/>
        <w:rPr>
          <w:rFonts w:hint="default" w:ascii="Times New Roman" w:hAnsi="Times New Roman" w:eastAsia="Times New Roman" w:cs="Times New Roman"/>
        </w:rPr>
      </w:pPr>
      <w:r>
        <w:rPr>
          <w:rFonts w:hint="default" w:ascii="Times New Roman" w:hAnsi="Times New Roman" w:eastAsia="Times New Roman" w:cs="Times New Roman"/>
        </w:rPr>
        <w:t>3    MÉTODO</w:t>
      </w:r>
    </w:p>
    <w:p w14:paraId="3CB949C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sz w:val="24"/>
          <w:szCs w:val="24"/>
          <w:lang w:val="pt-BR" w:eastAsia="pt-BR" w:bidi="ar-SA"/>
        </w:rPr>
        <w:t>Trata-se de um estudo observacional, transversal e analítico. O protocolo experimental foi estruturado para investigar os fatores determinantes e preditores do desempenho estático (</w:t>
      </w:r>
      <w:r>
        <w:rPr>
          <w:rFonts w:hint="default" w:ascii="Times New Roman" w:hAnsi="Times New Roman" w:eastAsia="Times New Roman" w:cs="Times New Roman"/>
          <w:i/>
          <w:iCs/>
          <w:sz w:val="24"/>
          <w:szCs w:val="24"/>
          <w:lang w:val="pt-BR" w:eastAsia="pt-BR" w:bidi="ar-SA"/>
        </w:rPr>
        <w:t>HS</w:t>
      </w:r>
      <w:r>
        <w:rPr>
          <w:rFonts w:hint="default" w:ascii="Times New Roman" w:hAnsi="Times New Roman" w:eastAsia="Times New Roman" w:cs="Times New Roman"/>
          <w:sz w:val="24"/>
          <w:szCs w:val="24"/>
          <w:lang w:val="pt-BR" w:eastAsia="pt-BR" w:bidi="ar-SA"/>
        </w:rPr>
        <w:t>) e dinâmico (</w:t>
      </w:r>
      <w:r>
        <w:rPr>
          <w:rFonts w:hint="default" w:ascii="Times New Roman" w:hAnsi="Times New Roman" w:eastAsia="Times New Roman" w:cs="Times New Roman"/>
          <w:i/>
          <w:iCs/>
          <w:sz w:val="24"/>
          <w:szCs w:val="24"/>
          <w:lang w:val="pt-BR" w:eastAsia="pt-BR" w:bidi="ar-SA"/>
        </w:rPr>
        <w:t>HSW</w:t>
      </w:r>
      <w:r>
        <w:rPr>
          <w:rFonts w:hint="default" w:ascii="Times New Roman" w:hAnsi="Times New Roman" w:eastAsia="Times New Roman" w:cs="Times New Roman"/>
          <w:sz w:val="24"/>
          <w:szCs w:val="24"/>
          <w:lang w:val="pt-BR" w:eastAsia="pt-BR" w:bidi="ar-SA"/>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força isométrica distal bilateral (força de preensão manual e pico de torque dos flexores de punho</w:t>
      </w:r>
      <w:r>
        <w:rPr>
          <w:rFonts w:hint="default" w:ascii="Times New Roman" w:hAnsi="Times New Roman" w:eastAsia="Times New Roman" w:cs="Times New Roman"/>
          <w:lang w:val="pt-BR"/>
        </w:rPr>
        <w:t>)</w:t>
      </w:r>
      <w:r>
        <w:rPr>
          <w:rFonts w:hint="default" w:ascii="Times New Roman" w:hAnsi="Times New Roman" w:eastAsia="Times New Roman" w:cs="Times New Roman"/>
        </w:rPr>
        <w:t>, teste de resistência em posição invertida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supported</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teste de uma repetição máxima (1-RM)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meio de sistema de captura de movimento (Vicon</w:t>
      </w:r>
      <w:r>
        <w:rPr>
          <w:rFonts w:hint="default" w:ascii="Times New Roman" w:hAnsi="Times New Roman" w:eastAsia="Times New Roman" w:cs="Times New Roman"/>
          <w:color w:val="0C3C60"/>
        </w:rPr>
        <w:t>®</w:t>
      </w:r>
      <w:r>
        <w:rPr>
          <w:rFonts w:hint="default" w:ascii="Times New Roman" w:hAnsi="Times New Roman" w:eastAsia="Times New Roman" w:cs="Times New Roman"/>
        </w:rPr>
        <w:t>,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w:t>
      </w:r>
      <w:r>
        <w:rPr>
          <w:rFonts w:hint="default" w:ascii="Times New Roman" w:hAnsi="Times New Roman" w:cs="Times New Roman"/>
          <w:lang w:val="pt-BR"/>
        </w:rPr>
        <w:t xml:space="preserve"> </w:t>
      </w:r>
      <w:r>
        <w:rPr>
          <w:rFonts w:hint="default" w:ascii="Times New Roman" w:hAnsi="Times New Roman" w:eastAsia="Times New Roman" w:cs="Times New Roman"/>
        </w:rPr>
        <w:t>CoP</w:t>
      </w:r>
      <w:r>
        <w:rPr>
          <w:rFonts w:hint="default" w:ascii="Times New Roman" w:hAnsi="Times New Roman" w:cs="Times New Roman"/>
          <w:lang w:val="pt-BR"/>
        </w:rPr>
        <w:t xml:space="preserve">, </w:t>
      </w:r>
      <w:r>
        <w:rPr>
          <w:rFonts w:hint="default" w:ascii="Times New Roman" w:hAnsi="Times New Roman" w:cs="Times New Roman"/>
        </w:rPr>
        <w:t>distância CoP-CoM</w:t>
      </w:r>
      <w:r>
        <w:rPr>
          <w:rFonts w:hint="default" w:ascii="Times New Roman" w:hAnsi="Times New Roman" w:cs="Times New Roman"/>
          <w:lang w:val="pt-BR"/>
        </w:rPr>
        <w:t xml:space="preserve"> e ApEn</w:t>
      </w:r>
      <w:r>
        <w:rPr>
          <w:rFonts w:hint="default" w:ascii="Times New Roman" w:hAnsi="Times New Roman" w:eastAsia="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hint="default" w:ascii="Times New Roman" w:hAnsi="Times New Roman" w:cs="Times New Roman"/>
        </w:rPr>
      </w:pPr>
      <w:r>
        <w:rPr>
          <w:rFonts w:hint="default" w:ascii="Times New Roman" w:hAnsi="Times New Roman" w:eastAsia="Times New Roman" w:cs="Times New Roman"/>
        </w:rPr>
        <w:t xml:space="preserve">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será definido pelo tempo máximo de sustentação (s), que associado</w:t>
      </w:r>
      <w:r>
        <w:rPr>
          <w:rFonts w:hint="default" w:ascii="Times New Roman" w:hAnsi="Times New Roman" w:cs="Times New Roman"/>
          <w:shd w:val="clear" w:color="auto" w:fill="8DFF00"/>
        </w:rPr>
        <w:t xml:space="preserve"> </w:t>
      </w:r>
      <w:r>
        <w:rPr>
          <w:rFonts w:hint="default" w:ascii="Times New Roman" w:hAnsi="Times New Roman" w:eastAsia="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estão apresentadas no Quadro 1 </w:t>
      </w:r>
      <w:bookmarkStart w:id="3" w:name="docs-internal-guid-8216d3de-7fff-2599-8c"/>
      <w:bookmarkEnd w:id="3"/>
      <w:r>
        <w:rPr>
          <w:rFonts w:hint="default" w:ascii="Times New Roman" w:hAnsi="Times New Roman" w:eastAsia="Times New Roman" w:cs="Times New Roman"/>
        </w:rPr>
        <w:t xml:space="preserve">e as correlacionadas ao nível de desempenho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no Quadro 2.</w:t>
      </w:r>
      <w:bookmarkStart w:id="4" w:name="_heading=h.3d7ijnhyh4lu_Copia_1"/>
      <w:bookmarkEnd w:id="4"/>
    </w:p>
    <w:p w14:paraId="188BD1DF">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QUADRO 1 – Variáveis relacionadas ao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blPrEx>
          <w:tblCellMar>
            <w:top w:w="0" w:type="dxa"/>
            <w:left w:w="108" w:type="dxa"/>
            <w:bottom w:w="0" w:type="dxa"/>
            <w:right w:w="108" w:type="dxa"/>
          </w:tblCellMar>
        </w:tblPrEx>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Tempo médio de sustentação</w:t>
            </w:r>
            <w:r>
              <w:rPr>
                <w:rFonts w:hint="default" w:ascii="Times New Roman" w:hAnsi="Times New Roman" w:eastAsia="Times New Roman" w:cs="Times New Roman"/>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9079A0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D8ABFC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Times New Roman" w:cs="Times New Roman"/>
                <w:sz w:val="24"/>
                <w:szCs w:val="24"/>
                <w:lang w:val="en-US" w:eastAsia="zh-CN" w:bidi="ar-SA"/>
              </w:rPr>
              <w:t>Avalia o êxito na entrada autônoma e estabilização livre por ≥</w:t>
            </w:r>
            <w:r>
              <w:rPr>
                <w:rFonts w:hint="default" w:ascii="Times New Roman" w:hAnsi="Times New Roman" w:eastAsia="Times New Roman" w:cs="Times New Roman"/>
                <w:sz w:val="24"/>
                <w:szCs w:val="24"/>
                <w:lang w:val="pt-BR" w:eastAsia="zh-CN" w:bidi="ar-SA"/>
              </w:rPr>
              <w:t>3</w:t>
            </w:r>
            <w:r>
              <w:rPr>
                <w:rFonts w:hint="default" w:ascii="Times New Roman" w:hAnsi="Times New Roman" w:eastAsia="Times New Roman" w:cs="Times New Roman"/>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716F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6CCF3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kern w:val="0"/>
                <w:sz w:val="24"/>
                <w:szCs w:val="24"/>
                <w:lang w:val="en-US" w:eastAsia="zh-CN" w:bidi="ar"/>
              </w:rPr>
              <w:t>Influência da orientação da cabeça no feedback visual e organização postural.</w:t>
            </w:r>
            <w:r>
              <w:rPr>
                <w:rFonts w:hint="default" w:ascii="Times New Roman" w:hAnsi="Times New Roman" w:eastAsia="SimSun" w:cs="Times New Roman"/>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lang w:val="pt-BR"/>
              </w:rPr>
            </w:pPr>
            <w:r>
              <w:rPr>
                <w:rFonts w:hint="default" w:ascii="Times New Roman" w:hAnsi="Times New Roman" w:cs="Times New Roman"/>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lang w:val="pt-BR"/>
              </w:rPr>
            </w:pPr>
            <w:r>
              <w:rPr>
                <w:rFonts w:hint="default" w:ascii="Times New Roman" w:hAnsi="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rPr>
            </w:pPr>
            <w:r>
              <w:rPr>
                <w:rFonts w:hint="default" w:ascii="Times New Roman" w:hAnsi="Times New Roman" w:cs="Times New Roman"/>
              </w:rPr>
              <w:t xml:space="preserve">Captura de Movimento </w:t>
            </w:r>
          </w:p>
          <w:p w14:paraId="26CE6D70">
            <w:pPr>
              <w:rPr>
                <w:rFonts w:hint="default" w:ascii="Times New Roman" w:hAnsi="Times New Roman" w:cs="Times New Roman"/>
              </w:rPr>
            </w:pPr>
            <w:r>
              <w:rPr>
                <w:rFonts w:hint="default" w:ascii="Times New Roman" w:hAnsi="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lang w:val="pt-BR" w:eastAsia="zh-CN"/>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50CFE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C57F19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Entropia Aproximada (</w:t>
            </w:r>
            <w:r>
              <w:rPr>
                <w:rFonts w:hint="default" w:ascii="Times New Roman" w:hAnsi="Times New Roman" w:eastAsia="Times New Roman" w:cs="Times New Roman"/>
              </w:rPr>
              <w:t>ApEn</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rPr>
            </w:pPr>
            <w:r>
              <w:rPr>
                <w:rFonts w:hint="default" w:ascii="Times New Roman" w:hAnsi="Times New Roman" w:eastAsia="SimSun" w:cs="Times New Roman"/>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3B7C2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Pico de torque</w:t>
            </w:r>
            <w:r>
              <w:rPr>
                <w:rFonts w:hint="default" w:ascii="Times New Roman" w:hAnsi="Times New Roman" w:eastAsia="Times New Roman" w:cs="Times New Roman"/>
              </w:rPr>
              <w:t xml:space="preserve"> flexores de punhos</w:t>
            </w:r>
            <w:r>
              <w:rPr>
                <w:rFonts w:hint="default" w:ascii="Times New Roman" w:hAnsi="Times New Roman" w:eastAsia="Times New Roman" w:cs="Times New Roman"/>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lang w:val="pt-BR"/>
              </w:rPr>
            </w:pPr>
            <w:r>
              <w:rPr>
                <w:rFonts w:hint="default" w:ascii="Times New Roman" w:hAnsi="Times New Roman" w:eastAsia="Times New Roman" w:cs="Times New Roman"/>
              </w:rPr>
              <w:t>Força máxima relativa à massa corporal no shoulder press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SP</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Resistência em posição invertida (</w:t>
            </w:r>
            <w:r>
              <w:rPr>
                <w:rFonts w:hint="default" w:ascii="Times New Roman" w:hAnsi="Times New Roman" w:eastAsia="Times New Roman" w:cs="Times New Roman"/>
                <w:i/>
                <w:iCs/>
              </w:rPr>
              <w:t>wall-supported HS</w:t>
            </w:r>
            <w:r>
              <w:rPr>
                <w:rFonts w:hint="default" w:ascii="Times New Roman" w:hAnsi="Times New Roman" w:eastAsia="Times New Roman" w:cs="Times New Roman"/>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BC83EE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Comprimentos dos Membros</w:t>
            </w:r>
            <w:r>
              <w:rPr>
                <w:rFonts w:hint="default" w:ascii="Times New Roman" w:hAnsi="Times New Roman" w:eastAsia="Times New Roman" w:cs="Times New Roman"/>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01393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Impacto da adiposidade (massa inerte) e massa magra na capacidade de sustentação.</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613C078A">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5C2A99B7">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QUADRO 2 – Variáveis relacionadas ao desempenho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 xml:space="preserve">Mediana da </w:t>
            </w:r>
            <w:r>
              <w:rPr>
                <w:rFonts w:hint="default" w:ascii="Times New Roman" w:hAnsi="Times New Roman" w:eastAsia="Times New Roman" w:cs="Times New Roman"/>
              </w:rPr>
              <w:t xml:space="preserve">Distância </w:t>
            </w:r>
            <w:r>
              <w:rPr>
                <w:rFonts w:hint="default" w:ascii="Times New Roman" w:hAnsi="Times New Roman" w:eastAsia="Times New Roman" w:cs="Times New Roman"/>
                <w:lang w:val="pt-BR"/>
              </w:rPr>
              <w:t>P</w:t>
            </w:r>
            <w:r>
              <w:rPr>
                <w:rFonts w:hint="default" w:ascii="Times New Roman" w:hAnsi="Times New Roman" w:eastAsia="Times New Roman" w:cs="Times New Roman"/>
              </w:rPr>
              <w:t>ercorrida</w:t>
            </w:r>
            <w:r>
              <w:rPr>
                <w:rFonts w:hint="default" w:ascii="Times New Roman" w:hAnsi="Times New Roman" w:eastAsia="Times New Roman" w:cs="Times New Roman"/>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D66AC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Tempo médio de sustentação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3374603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ApEn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8560B9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0E1C98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E</w:t>
            </w:r>
            <w:r>
              <w:rPr>
                <w:rFonts w:hint="default" w:ascii="Times New Roman" w:hAnsi="Times New Roman" w:eastAsia="Times New Roman" w:cs="Times New Roman"/>
              </w:rPr>
              <w:t xml:space="preserve">spacial entre </w:t>
            </w:r>
            <w:r>
              <w:rPr>
                <w:rFonts w:hint="default" w:ascii="Times New Roman" w:hAnsi="Times New Roman" w:eastAsia="Times New Roman" w:cs="Times New Roman"/>
                <w:lang w:val="pt-BR"/>
              </w:rPr>
              <w:t>P</w:t>
            </w:r>
            <w:r>
              <w:rPr>
                <w:rFonts w:hint="default" w:ascii="Times New Roman" w:hAnsi="Times New Roman" w:eastAsia="Times New Roman" w:cs="Times New Roman"/>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63DE86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T</w:t>
            </w:r>
            <w:r>
              <w:rPr>
                <w:rFonts w:hint="default" w:ascii="Times New Roman" w:hAnsi="Times New Roman" w:eastAsia="Times New Roman" w:cs="Times New Roman"/>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D368F7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459713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91FF67E">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Arial" w:cs="Times New Roman"/>
                <w:sz w:val="24"/>
                <w:szCs w:val="24"/>
                <w:lang w:val="pt-BR" w:eastAsia="pt-BR" w:bidi="ar-SA"/>
              </w:rPr>
            </w:pPr>
            <w:r>
              <w:rPr>
                <w:rFonts w:hint="default" w:ascii="Times New Roman" w:hAnsi="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rPr>
            </w:pPr>
            <w:r>
              <w:rPr>
                <w:rFonts w:hint="default" w:ascii="Times New Roman" w:hAnsi="Times New Roman" w:cs="Times New Roman"/>
              </w:rPr>
              <w:t xml:space="preserve">Captura de Movimento </w:t>
            </w:r>
          </w:p>
          <w:p w14:paraId="3CC5A01D">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Arial" w:cs="Times New Roman"/>
                <w:sz w:val="24"/>
                <w:szCs w:val="24"/>
                <w:lang w:val="pt-BR" w:eastAsia="zh-CN" w:bidi="ar-SA"/>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 xml:space="preserve">Base de </w:t>
            </w:r>
            <w:r>
              <w:rPr>
                <w:rFonts w:hint="default" w:ascii="Times New Roman" w:hAnsi="Times New Roman" w:eastAsia="Times New Roman" w:cs="Times New Roman"/>
                <w:lang w:val="pt-BR"/>
              </w:rPr>
              <w:t>A</w:t>
            </w:r>
            <w:r>
              <w:rPr>
                <w:rFonts w:hint="default" w:ascii="Times New Roman" w:hAnsi="Times New Roman" w:eastAsia="Times New Roman" w:cs="Times New Roman"/>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81050B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281FE7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Í</w:t>
            </w:r>
            <w:r>
              <w:rPr>
                <w:rFonts w:hint="default" w:ascii="Times New Roman" w:hAnsi="Times New Roman" w:eastAsia="SimSun" w:cs="Times New Roman"/>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Força máxima relativa à massa corporal no </w:t>
            </w:r>
            <w:r>
              <w:rPr>
                <w:rFonts w:hint="default" w:ascii="Times New Roman" w:hAnsi="Times New Roman" w:eastAsia="Times New Roman" w:cs="Times New Roman"/>
                <w:i/>
                <w:iCs/>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sans-serif" w:cs="Times New Roman"/>
                <w:kern w:val="0"/>
                <w:sz w:val="24"/>
                <w:szCs w:val="24"/>
                <w:lang w:val="en-US" w:eastAsia="zh-CN" w:bidi="ar"/>
              </w:rPr>
              <w:t>Capacidade de suportar o impacto dinâmico e transferir carga a cada ciclo.</w:t>
            </w:r>
            <w:r>
              <w:rPr>
                <w:rFonts w:hint="default" w:ascii="Times New Roman" w:hAnsi="Times New Roman" w:eastAsia="SimSun" w:cs="Times New Roman"/>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Resistência em posição invertida (wall-supported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1045D9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Comprimento dos </w:t>
            </w:r>
            <w:r>
              <w:rPr>
                <w:rFonts w:hint="default" w:ascii="Times New Roman" w:hAnsi="Times New Roman" w:eastAsia="Times New Roman" w:cs="Times New Roman"/>
                <w:lang w:val="pt-BR"/>
              </w:rPr>
              <w:t>M</w:t>
            </w:r>
            <w:r>
              <w:rPr>
                <w:rFonts w:hint="default" w:ascii="Times New Roman" w:hAnsi="Times New Roman" w:eastAsia="Times New Roman" w:cs="Times New Roman"/>
              </w:rPr>
              <w:t>embros</w:t>
            </w:r>
            <w:r>
              <w:rPr>
                <w:rFonts w:hint="default" w:ascii="Times New Roman" w:hAnsi="Times New Roman" w:eastAsia="Times New Roman" w:cs="Times New Roman"/>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F64752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da massa inerte e muscular ativa na eficiência locomotora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0B17E18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2E34A555">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3.2 Participantes</w:t>
      </w:r>
    </w:p>
    <w:p w14:paraId="34B76FD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b/>
      </w:r>
      <w:r>
        <w:rPr>
          <w:rFonts w:hint="default" w:ascii="Times New Roman" w:hAnsi="Times New Roman" w:eastAsia="Times New Roman" w:cs="Times New Roman"/>
        </w:rPr>
        <w:t xml:space="preserve">Serão recrutados adultos, de ambos os sexos, com idade mínima de 18 anos, fisicamente ativos, praticantes regulares de uma modalidade que inclua o treinamento do </w:t>
      </w:r>
      <w:r>
        <w:rPr>
          <w:rFonts w:hint="default" w:ascii="Times New Roman" w:hAnsi="Times New Roman" w:eastAsia="Times New Roman" w:cs="Times New Roman"/>
          <w:i/>
        </w:rPr>
        <w:t>handstand</w:t>
      </w:r>
      <w:r>
        <w:rPr>
          <w:rFonts w:hint="default" w:ascii="Times New Roman" w:hAnsi="Times New Roman" w:eastAsia="Times New Roman" w:cs="Times New Roman"/>
        </w:rPr>
        <w:t xml:space="preserve"> há pelo menos </w:t>
      </w:r>
      <w:r>
        <w:rPr>
          <w:rFonts w:hint="default" w:ascii="Times New Roman" w:hAnsi="Times New Roman" w:eastAsia="Times New Roman" w:cs="Times New Roman"/>
          <w:lang w:val="pt-BR"/>
        </w:rPr>
        <w:t>3</w:t>
      </w:r>
      <w:r>
        <w:rPr>
          <w:rFonts w:hint="default" w:ascii="Times New Roman" w:hAnsi="Times New Roman" w:eastAsia="Times New Roman" w:cs="Times New Roman"/>
        </w:rPr>
        <w:t xml:space="preserve"> meses. Deverão ser capazes de manter o equilíbrio livre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por pelo menos 3 segundos e/ou conseguir realizar três passadas no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hint="default" w:ascii="Times New Roman" w:hAnsi="Times New Roman" w:eastAsia="Times New Roman" w:cs="Times New Roman"/>
          <w:i/>
        </w:rPr>
        <w:t>instagram</w:t>
      </w:r>
      <w:r>
        <w:rPr>
          <w:rFonts w:hint="default" w:ascii="Times New Roman" w:hAnsi="Times New Roman" w:eastAsia="Times New Roman" w:cs="Times New Roman"/>
        </w:rPr>
        <w:t xml:space="preserve"> e </w:t>
      </w:r>
      <w:r>
        <w:rPr>
          <w:rFonts w:hint="default" w:ascii="Times New Roman" w:hAnsi="Times New Roman" w:eastAsia="Times New Roman" w:cs="Times New Roman"/>
          <w:i/>
        </w:rPr>
        <w:t>facebook</w:t>
      </w:r>
      <w:r>
        <w:rPr>
          <w:rFonts w:hint="default" w:ascii="Times New Roman" w:hAnsi="Times New Roman" w:eastAsia="Times New Roman" w:cs="Times New Roman"/>
        </w:rPr>
        <w:t xml:space="preserve">, e aplicativo de mensagem </w:t>
      </w:r>
      <w:r>
        <w:rPr>
          <w:rFonts w:hint="default" w:ascii="Times New Roman" w:hAnsi="Times New Roman" w:eastAsia="Times New Roman" w:cs="Times New Roman"/>
          <w:i/>
        </w:rPr>
        <w:t xml:space="preserve">whatsapp, </w:t>
      </w:r>
      <w:r>
        <w:rPr>
          <w:rFonts w:hint="default" w:ascii="Times New Roman" w:hAnsi="Times New Roman" w:eastAsia="Times New Roman" w:cs="Times New Roman"/>
        </w:rPr>
        <w:t>além de busca ativa por participantes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junto a academias de ginástica, </w:t>
      </w:r>
      <w:r>
        <w:rPr>
          <w:rFonts w:hint="default" w:ascii="Times New Roman" w:hAnsi="Times New Roman" w:eastAsia="Times New Roman" w:cs="Times New Roman"/>
          <w:i/>
          <w:iCs/>
        </w:rPr>
        <w:t>boxes</w:t>
      </w:r>
      <w:r>
        <w:rPr>
          <w:rFonts w:hint="default" w:ascii="Times New Roman" w:hAnsi="Times New Roman" w:eastAsia="Times New Roman" w:cs="Times New Roman"/>
        </w:rPr>
        <w:t xml:space="preserve"> de </w:t>
      </w:r>
      <w:r>
        <w:rPr>
          <w:rFonts w:hint="default" w:ascii="Times New Roman" w:hAnsi="Times New Roman" w:eastAsia="Times New Roman" w:cs="Times New Roman"/>
          <w:i/>
        </w:rPr>
        <w:t>CrossFit</w:t>
      </w:r>
      <w:r>
        <w:rPr>
          <w:rFonts w:hint="default" w:ascii="Times New Roman" w:hAnsi="Times New Roman" w:eastAsia="Times New Roman" w:cs="Times New Roman"/>
        </w:rPr>
        <w:t>®, estúdios de dança, centros de treinamento circenses e grupos de calistenia da região.</w:t>
      </w:r>
    </w:p>
    <w:p w14:paraId="7C4978C4">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Cada voluntário preencherá um formulário online padronizado na plataforma </w:t>
      </w:r>
      <w:r>
        <w:rPr>
          <w:rFonts w:hint="default" w:ascii="Times New Roman" w:hAnsi="Times New Roman" w:eastAsia="Times New Roman" w:cs="Times New Roman"/>
          <w:i/>
          <w:iCs/>
        </w:rPr>
        <w:t>Google Forms</w:t>
      </w:r>
      <w:r>
        <w:rPr>
          <w:rFonts w:hint="default" w:ascii="Times New Roman" w:hAnsi="Times New Roman" w:eastAsia="Times New Roman" w:cs="Times New Roman"/>
        </w:rPr>
        <w:t xml:space="preserve">, estruturado </w:t>
      </w:r>
      <w:r>
        <w:rPr>
          <w:rFonts w:hint="default" w:ascii="Times New Roman" w:hAnsi="Times New Roman" w:eastAsia="Times New Roman" w:cs="Times New Roman"/>
          <w:lang w:val="pt-BR"/>
        </w:rPr>
        <w:t>em</w:t>
      </w:r>
      <w:r>
        <w:rPr>
          <w:rFonts w:hint="default" w:ascii="Times New Roman" w:hAnsi="Times New Roman" w:eastAsia="Times New Roman" w:cs="Times New Roman"/>
        </w:rPr>
        <w:t>:</w:t>
      </w:r>
      <w:r>
        <w:rPr>
          <w:rFonts w:hint="default" w:ascii="Times New Roman" w:hAnsi="Times New Roman" w:eastAsia="Times New Roman" w:cs="Times New Roman"/>
        </w:rPr>
        <w:t> dados sociodemográficos e de contato (idade, sexo, telefone e e-mail)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triagem de segurança em saúde por meio do Questionário de Prontidão para Atividade Física (PAR-Q), garantindo a aptidão cardiovascular e osteomuscular para os testes de esforço físico máximo</w:t>
      </w:r>
      <w:r>
        <w:rPr>
          <w:rFonts w:hint="default" w:ascii="Times New Roman" w:hAnsi="Times New Roman" w:eastAsia="Times New Roman" w:cs="Times New Roman"/>
          <w:lang w:val="pt-BR"/>
        </w:rPr>
        <w:t>,</w:t>
      </w:r>
      <w:r>
        <w:rPr>
          <w:rFonts w:hint="default" w:ascii="Times New Roman" w:hAnsi="Times New Roman" w:eastAsia="Times New Roman" w:cs="Times New Roman"/>
        </w:rPr>
        <w:t> histórico de lesões musculoesqueléticas nos membros superiores nos últimos 12 meses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modalidades praticadas</w:t>
      </w:r>
      <w:r>
        <w:rPr>
          <w:rFonts w:hint="default" w:ascii="Times New Roman" w:hAnsi="Times New Roman" w:eastAsia="Times New Roman" w:cs="Times New Roman"/>
          <w:lang w:val="pt-BR"/>
        </w:rPr>
        <w:t xml:space="preserve"> que tenha </w:t>
      </w:r>
      <w:r>
        <w:rPr>
          <w:rFonts w:hint="default" w:ascii="Times New Roman" w:hAnsi="Times New Roman" w:eastAsia="Times New Roman" w:cs="Times New Roman"/>
          <w:i/>
          <w:iCs/>
          <w:lang w:val="pt-BR"/>
        </w:rPr>
        <w:t xml:space="preserve">HS </w:t>
      </w:r>
      <w:r>
        <w:rPr>
          <w:rFonts w:hint="default" w:ascii="Times New Roman" w:hAnsi="Times New Roman" w:eastAsia="Times New Roman" w:cs="Times New Roman"/>
          <w:i w:val="0"/>
          <w:iCs w:val="0"/>
          <w:lang w:val="pt-BR"/>
        </w:rPr>
        <w:t>como habilidade</w:t>
      </w:r>
      <w:r>
        <w:rPr>
          <w:rFonts w:hint="default" w:ascii="Times New Roman" w:hAnsi="Times New Roman" w:eastAsia="Times New Roman" w:cs="Times New Roman"/>
        </w:rPr>
        <w:t xml:space="preserve"> (permitindo seleção única ou múltipla entre Calistenia, CrossFit®, Ginástica Artística, Circo, Dança,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Movement culture</w:t>
      </w:r>
      <w:r>
        <w:rPr>
          <w:rFonts w:hint="default" w:ascii="Times New Roman" w:hAnsi="Times New Roman" w:eastAsia="Times New Roman" w:cs="Times New Roman"/>
          <w:i w:val="0"/>
          <w:iCs w:val="0"/>
          <w:lang w:val="pt-BR"/>
        </w:rPr>
        <w:t xml:space="preserve">, Prática isolada da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e Outras)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e histórico de treinamento no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w:t>
      </w:r>
      <w:r>
        <w:rPr>
          <w:rFonts w:hint="default" w:ascii="Times New Roman" w:hAnsi="Times New Roman" w:eastAsia="Times New Roman" w:cs="Times New Roman"/>
        </w:rPr>
        <w:t xml:space="preserve">).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pt-BR"/>
        </w:rPr>
        <w:t>3</w:t>
      </w:r>
      <w:r>
        <w:rPr>
          <w:rFonts w:hint="default" w:ascii="Times New Roman" w:hAnsi="Times New Roman" w:cs="Times New Roman"/>
        </w:rPr>
        <w:t xml:space="preserve"> </w:t>
      </w:r>
      <w:r>
        <w:rPr>
          <w:rFonts w:hint="default" w:ascii="Times New Roman" w:hAnsi="Times New Roman" w:eastAsia="SimSun" w:cs="Times New Roman"/>
          <w:sz w:val="24"/>
          <w:szCs w:val="24"/>
        </w:rPr>
        <w:t>Dimensionamento e Poder Amostral</w:t>
      </w:r>
    </w:p>
    <w:p w14:paraId="29336C30">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O dimensionamento amostral foi calculado a priori por meio do software G*Power (versão 3.1.9.7)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[40], [41]</w:t>
      </w:r>
      <w:r>
        <w:rPr>
          <w:rFonts w:hint="default" w:ascii="Times New Roman" w:hAnsi="Times New Roman" w:cs="Times New Roman"/>
        </w:rPr>
        <w:fldChar w:fldCharType="end"/>
      </w:r>
      <w:r>
        <w:rPr>
          <w:rFonts w:hint="default" w:ascii="Times New Roman" w:hAnsi="Times New Roman" w:cs="Times New Roman"/>
        </w:rPr>
        <w:t xml:space="preserve">, fundamentando-se nos delineamentos de regressão linear múltipla e regressão logística binária propostos: </w:t>
      </w:r>
    </w:p>
    <w:p w14:paraId="0EF7C61C">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Modelos Temáticos de Regressão Linear Múltipla: </w:t>
      </w:r>
      <w:r>
        <w:rPr>
          <w:rFonts w:hint="default" w:ascii="Times New Roman" w:hAnsi="Times New Roman" w:cs="Times New Roman"/>
        </w:rPr>
        <w:t>Para as análises organizadas por domínios, considerando o modelo linear fixo de desvio do R² em relação a zero (</w:t>
      </w:r>
      <w:r>
        <w:rPr>
          <w:rFonts w:hint="default" w:ascii="Times New Roman" w:hAnsi="Times New Roman" w:cs="Times New Roman"/>
          <w:i/>
          <w:iCs/>
        </w:rPr>
        <w:t>Linear</w:t>
      </w:r>
      <w:r>
        <w:rPr>
          <w:rFonts w:hint="default" w:ascii="Times New Roman" w:hAnsi="Times New Roman" w:cs="Times New Roman"/>
        </w:rPr>
        <w:t xml:space="preserve"> </w:t>
      </w:r>
      <w:r>
        <w:rPr>
          <w:rFonts w:hint="default" w:ascii="Times New Roman" w:hAnsi="Times New Roman" w:cs="Times New Roman"/>
          <w:i/>
          <w:iCs/>
        </w:rPr>
        <w:t>multiple</w:t>
      </w:r>
      <w:r>
        <w:rPr>
          <w:rFonts w:hint="default" w:ascii="Times New Roman" w:hAnsi="Times New Roman" w:cs="Times New Roman"/>
        </w:rPr>
        <w:t xml:space="preserve"> </w:t>
      </w:r>
      <w:r>
        <w:rPr>
          <w:rFonts w:hint="default" w:ascii="Times New Roman" w:hAnsi="Times New Roman" w:cs="Times New Roman"/>
          <w:i/>
          <w:iCs/>
        </w:rPr>
        <w:t>regression</w:t>
      </w:r>
      <w:r>
        <w:rPr>
          <w:rFonts w:hint="default" w:ascii="Times New Roman" w:hAnsi="Times New Roman" w:cs="Times New Roman"/>
        </w:rPr>
        <w:t xml:space="preserve">: </w:t>
      </w:r>
      <w:r>
        <w:rPr>
          <w:rFonts w:hint="default" w:ascii="Times New Roman" w:hAnsi="Times New Roman" w:cs="Times New Roman"/>
          <w:i/>
          <w:iCs/>
        </w:rPr>
        <w:t>Fixed</w:t>
      </w:r>
      <w:r>
        <w:rPr>
          <w:rFonts w:hint="default" w:ascii="Times New Roman" w:hAnsi="Times New Roman" w:cs="Times New Roman"/>
        </w:rPr>
        <w:t xml:space="preserve"> </w:t>
      </w:r>
      <w:r>
        <w:rPr>
          <w:rFonts w:hint="default" w:ascii="Times New Roman" w:hAnsi="Times New Roman" w:cs="Times New Roman"/>
          <w:i/>
          <w:iCs/>
        </w:rPr>
        <w:t>model</w:t>
      </w:r>
      <w:r>
        <w:rPr>
          <w:rFonts w:hint="default" w:ascii="Times New Roman" w:hAnsi="Times New Roman" w:cs="Times New Roman"/>
        </w:rPr>
        <w:t xml:space="preserve">, R² </w:t>
      </w:r>
      <w:r>
        <w:rPr>
          <w:rFonts w:hint="default" w:ascii="Times New Roman" w:hAnsi="Times New Roman" w:cs="Times New Roman"/>
          <w:i/>
          <w:iCs/>
        </w:rPr>
        <w:t>deviation</w:t>
      </w:r>
      <w:r>
        <w:rPr>
          <w:rFonts w:hint="default" w:ascii="Times New Roman" w:hAnsi="Times New Roman" w:cs="Times New Roman"/>
        </w:rPr>
        <w:t xml:space="preserve"> </w:t>
      </w:r>
      <w:r>
        <w:rPr>
          <w:rFonts w:hint="default" w:ascii="Times New Roman" w:hAnsi="Times New Roman" w:cs="Times New Roman"/>
          <w:i/>
          <w:iCs/>
        </w:rPr>
        <w:t>from</w:t>
      </w:r>
      <w:r>
        <w:rPr>
          <w:rFonts w:hint="default" w:ascii="Times New Roman" w:hAnsi="Times New Roman" w:cs="Times New Roman"/>
        </w:rPr>
        <w:t xml:space="preserve"> </w:t>
      </w:r>
      <w:r>
        <w:rPr>
          <w:rFonts w:hint="default" w:ascii="Times New Roman" w:hAnsi="Times New Roman" w:cs="Times New Roman"/>
          <w:i/>
          <w:iCs/>
        </w:rPr>
        <w:t>zero</w:t>
      </w:r>
      <w:r>
        <w:rPr>
          <w:rFonts w:hint="default" w:ascii="Times New Roman" w:hAnsi="Times New Roman" w:cs="Times New Roman"/>
        </w:rPr>
        <w:t xml:space="preserve">), adotou-se um tamanho de efeito moderado (f² = 0,15, correspondente a um R² aproximado de 0,13 sob as convenções de Cohen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[42]</w:t>
      </w:r>
      <w:r>
        <w:rPr>
          <w:rFonts w:hint="default" w:ascii="Times New Roman" w:hAnsi="Times New Roman" w:cs="Times New Roman"/>
        </w:rPr>
        <w:fldChar w:fldCharType="end"/>
      </w:r>
      <w:r>
        <w:rPr>
          <w:rFonts w:hint="default" w:ascii="Times New Roman" w:hAnsi="Times New Roman" w:cs="Times New Roman"/>
        </w:rP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398764AA">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 de Regressão Logística Binária (Autonomia no </w:t>
      </w:r>
      <w:r>
        <w:rPr>
          <w:rFonts w:hint="default" w:ascii="Times New Roman" w:hAnsi="Times New Roman" w:cs="Times New Roman"/>
          <w:i/>
          <w:iCs/>
          <w:u w:val="single"/>
        </w:rPr>
        <w:t>HS</w:t>
      </w:r>
      <w:r>
        <w:rPr>
          <w:rFonts w:hint="default" w:ascii="Times New Roman" w:hAnsi="Times New Roman" w:cs="Times New Roman"/>
          <w:u w:val="single"/>
        </w:rPr>
        <w:t>):</w:t>
      </w:r>
      <w:r>
        <w:rPr>
          <w:rFonts w:hint="default" w:ascii="Times New Roman" w:hAnsi="Times New Roman" w:cs="Times New Roman"/>
        </w:rPr>
        <w:t xml:space="preserve"> Para o modelo logístico</w:t>
      </w:r>
      <w:r>
        <w:rPr>
          <w:rFonts w:hint="default" w:ascii="Times New Roman" w:hAnsi="Times New Roman" w:cs="Times New Roman"/>
          <w:lang w:val="pt-BR"/>
        </w:rPr>
        <w:t xml:space="preserve"> de autonomia de estabilização</w:t>
      </w:r>
      <w:r>
        <w:rPr>
          <w:rFonts w:hint="default" w:ascii="Times New Roman" w:hAnsi="Times New Roman" w:cs="Times New Roman"/>
        </w:rPr>
        <w:t xml:space="preserve"> com 3 preditores (força relativa no SP, tempo de sustentação assistido e tempo de prática), adotou-se um nível de significância de α = 0,05, poder estatístico de (1 - β) = 0,80 e uma razão de chances (</w:t>
      </w:r>
      <w:r>
        <w:rPr>
          <w:rFonts w:hint="default" w:ascii="Times New Roman" w:hAnsi="Times New Roman" w:cs="Times New Roman"/>
          <w:i/>
          <w:iCs/>
        </w:rPr>
        <w:t>Odds</w:t>
      </w:r>
      <w:r>
        <w:rPr>
          <w:rFonts w:hint="default" w:ascii="Times New Roman" w:hAnsi="Times New Roman" w:cs="Times New Roman"/>
        </w:rPr>
        <w:t xml:space="preserve"> </w:t>
      </w:r>
      <w:r>
        <w:rPr>
          <w:rFonts w:hint="default" w:ascii="Times New Roman" w:hAnsi="Times New Roman" w:cs="Times New Roman"/>
          <w:i/>
          <w:iCs/>
        </w:rPr>
        <w:t>Ratio</w:t>
      </w:r>
      <w:r>
        <w:rPr>
          <w:rFonts w:hint="default" w:ascii="Times New Roman" w:hAnsi="Times New Roman" w:cs="Times New Roman"/>
        </w:rPr>
        <w:t xml:space="preserve">) mínima esperada de 2,0 para preditores contínuos padronizados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[41], [43]</w:t>
      </w:r>
      <w:r>
        <w:rPr>
          <w:rFonts w:hint="default" w:ascii="Times New Roman" w:hAnsi="Times New Roman" w:cs="Times New Roman"/>
        </w:rPr>
        <w:fldChar w:fldCharType="end"/>
      </w:r>
      <w:r>
        <w:rPr>
          <w:rFonts w:hint="default" w:ascii="Times New Roman" w:hAnsi="Times New Roman" w:cs="Times New Roman"/>
        </w:rPr>
        <w:t xml:space="preserve">. O cálculo indicou a necessidade de uma amostra mínima entre 70 e 90 participantes, atendendo adicionalmente ao pressuposto clássico de eventos por variável (EPV maior ou igual a 10 a 15 eventos para cada preditor no modelo)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[44]</w:t>
      </w:r>
      <w:r>
        <w:rPr>
          <w:rFonts w:hint="default" w:ascii="Times New Roman" w:hAnsi="Times New Roman" w:cs="Times New Roman"/>
        </w:rPr>
        <w:fldChar w:fldCharType="end"/>
      </w:r>
      <w:r>
        <w:rPr>
          <w:rFonts w:hint="default" w:ascii="Times New Roman" w:hAnsi="Times New Roman" w:cs="Times New Roman"/>
        </w:rPr>
        <w:t xml:space="preserve">. </w:t>
      </w:r>
    </w:p>
    <w:p w14:paraId="6310C0E3">
      <w:pPr>
        <w:pStyle w:val="11"/>
        <w:spacing w:line="360" w:lineRule="auto"/>
        <w:ind w:firstLine="360"/>
        <w:jc w:val="both"/>
        <w:rPr>
          <w:rFonts w:hint="default" w:ascii="Times New Roman" w:hAnsi="Times New Roman" w:cs="Times New Roman"/>
        </w:rPr>
      </w:pPr>
      <w:r>
        <w:rPr>
          <w:rFonts w:hint="default" w:ascii="Times New Roman" w:hAnsi="Times New Roman" w:cs="Times New Roman"/>
        </w:rPr>
        <w:t xml:space="preserve">Para mitigar a inflação da taxa de Erro Tipo I decorrente dos múltiplos modelos testados sem comprometer excessivamente o poder estatístico, será aplicada a correção de </w:t>
      </w:r>
      <w:r>
        <w:rPr>
          <w:rFonts w:hint="default" w:ascii="Times New Roman" w:hAnsi="Times New Roman" w:cs="Times New Roman"/>
          <w:i/>
          <w:iCs/>
        </w:rPr>
        <w:t>False Discovery Rate</w:t>
      </w:r>
      <w:r>
        <w:rPr>
          <w:rFonts w:hint="default" w:ascii="Times New Roman" w:hAnsi="Times New Roman" w:cs="Times New Roman"/>
        </w:rPr>
        <w:t xml:space="preserve"> (</w:t>
      </w:r>
      <w:r>
        <w:rPr>
          <w:rFonts w:hint="default" w:ascii="Times New Roman" w:hAnsi="Times New Roman" w:cs="Times New Roman"/>
          <w:i/>
          <w:iCs/>
        </w:rPr>
        <w:t>FDR</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[45]</w:t>
      </w:r>
      <w:r>
        <w:rPr>
          <w:rFonts w:hint="default" w:ascii="Times New Roman" w:hAnsi="Times New Roman" w:cs="Times New Roman"/>
        </w:rPr>
        <w:fldChar w:fldCharType="end"/>
      </w:r>
      <w:r>
        <w:rPr>
          <w:rFonts w:hint="default" w:ascii="Times New Roman" w:hAnsi="Times New Roman" w:cs="Times New Roman"/>
        </w:rPr>
        <w:t xml:space="preserve">, com taxa de falso-descoberta fixada em Q = 0,05. </w:t>
      </w:r>
    </w:p>
    <w:p w14:paraId="2253C75E">
      <w:pPr>
        <w:pStyle w:val="11"/>
        <w:numPr>
          <w:ilvl w:val="0"/>
          <w:numId w:val="3"/>
        </w:numPr>
        <w:spacing w:before="240" w:line="360" w:lineRule="auto"/>
        <w:ind w:left="709" w:hanging="283"/>
        <w:jc w:val="both"/>
        <w:rPr>
          <w:rFonts w:hint="default" w:ascii="Times New Roman" w:hAnsi="Times New Roman" w:cs="Times New Roman"/>
        </w:rPr>
      </w:pPr>
      <w:r>
        <w:rPr>
          <w:rFonts w:hint="default" w:ascii="Times New Roman" w:hAnsi="Times New Roman" w:cs="Times New Roman"/>
          <w:u w:val="single"/>
        </w:rPr>
        <w:t>Modelo Final Refinado:</w:t>
      </w:r>
      <w:r>
        <w:rPr>
          <w:rFonts w:hint="default" w:ascii="Times New Roman" w:hAnsi="Times New Roman" w:cs="Times New Roman"/>
        </w:rPr>
        <w:t xml:space="preserve"> A partir dos modelos temáticos, os preditores que apresentarem significância estatística após o controle da </w:t>
      </w:r>
      <w:r>
        <w:rPr>
          <w:rFonts w:hint="default" w:ascii="Times New Roman" w:hAnsi="Times New Roman" w:cs="Times New Roman"/>
          <w:i/>
          <w:iCs/>
        </w:rPr>
        <w:t>FDR</w:t>
      </w:r>
      <w:r>
        <w:rPr>
          <w:rFonts w:hint="default" w:ascii="Times New Roman" w:hAnsi="Times New Roman" w:cs="Times New Roman"/>
        </w:rPr>
        <w:t xml:space="preserve"> e maior relevância prática (maiores coeficientes β padronizados) serão combinados em um modelo de regressão linear múltipla final consolidado para cada desfecho (</w:t>
      </w:r>
      <w:r>
        <w:rPr>
          <w:rFonts w:hint="default" w:ascii="Times New Roman" w:hAnsi="Times New Roman" w:cs="Times New Roman"/>
          <w:i/>
          <w:iCs/>
        </w:rPr>
        <w:t xml:space="preserve">HS </w:t>
      </w:r>
      <w:r>
        <w:rPr>
          <w:rFonts w:hint="default" w:ascii="Times New Roman" w:hAnsi="Times New Roman" w:cs="Times New Roman"/>
        </w:rPr>
        <w:t xml:space="preserve">e </w:t>
      </w:r>
      <w:r>
        <w:rPr>
          <w:rFonts w:hint="default" w:ascii="Times New Roman" w:hAnsi="Times New Roman" w:cs="Times New Roman"/>
          <w:i/>
          <w:iCs/>
        </w:rPr>
        <w:t>HSW</w:t>
      </w:r>
      <w:r>
        <w:rPr>
          <w:rFonts w:hint="default" w:ascii="Times New Roman" w:hAnsi="Times New Roman" w:cs="Times New Roman"/>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rPr>
          <w:rFonts w:hint="default" w:ascii="Times New Roman" w:hAnsi="Times New Roman" w:cs="Times New Roman"/>
        </w:rPr>
      </w:pPr>
      <w:r>
        <w:rPr>
          <w:rFonts w:hint="default" w:ascii="Times New Roman" w:hAnsi="Times New Roman" w:cs="Times New Roman"/>
        </w:rPr>
        <w:t>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robustez para a regressão logística</w:t>
      </w:r>
      <w:r>
        <w:rPr>
          <w:rFonts w:hint="default" w:ascii="Times New Roman" w:hAnsi="Times New Roman" w:cs="Times New Roman"/>
          <w:lang w:val="pt-BR"/>
        </w:rPr>
        <w:t xml:space="preserve"> </w:t>
      </w:r>
      <w:r>
        <w:rPr>
          <w:rFonts w:hint="default" w:ascii="Times New Roman" w:hAnsi="Times New Roman" w:cs="Times New Roman"/>
        </w:rPr>
        <w:t xml:space="preserve"> e assegura uma amostra substancialmente superior à literatura prévia de biomecânica em </w:t>
      </w:r>
      <w:r>
        <w:rPr>
          <w:rFonts w:hint="default" w:ascii="Times New Roman" w:hAnsi="Times New Roman" w:cs="Times New Roman"/>
          <w:i/>
          <w:iCs/>
        </w:rPr>
        <w:t>HS</w:t>
      </w:r>
      <w:r>
        <w:rPr>
          <w:rFonts w:hint="default" w:ascii="Times New Roman" w:hAnsi="Times New Roman" w:cs="Times New Roman"/>
        </w:rPr>
        <w:t>, caracterizada predominantemente por amostras reduzidas e restritas a populações homogêneas</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p>
    <w:p w14:paraId="205AB1A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4</w:t>
      </w:r>
      <w:r>
        <w:rPr>
          <w:rFonts w:hint="default" w:ascii="Times New Roman" w:hAnsi="Times New Roman" w:eastAsia="Times New Roman" w:cs="Times New Roman"/>
        </w:rPr>
        <w:t xml:space="preserve"> Procedimentos</w:t>
      </w:r>
      <w:r>
        <w:rPr>
          <w:rFonts w:hint="default" w:ascii="Times New Roman" w:hAnsi="Times New Roman" w:eastAsia="Times New Roman" w:cs="Times New Roman"/>
          <w:lang w:val="pt-BR"/>
        </w:rPr>
        <w:t xml:space="preserve"> Experimentais</w:t>
      </w:r>
    </w:p>
    <w:p w14:paraId="525E84F3">
      <w:pPr>
        <w:widowControl w:val="0"/>
        <w:spacing w:line="360" w:lineRule="auto"/>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3.4.1 </w:t>
      </w:r>
      <w:r>
        <w:rPr>
          <w:rFonts w:hint="default" w:ascii="Times New Roman" w:hAnsi="Times New Roman" w:eastAsia="Times New Roman" w:cs="Times New Roman"/>
          <w:u w:val="none"/>
        </w:rPr>
        <w:t>Sessão 1 - Avaliação de Variáveis de Força e Composição Corporal</w:t>
      </w:r>
    </w:p>
    <w:p w14:paraId="1EC31854">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[46], [47]</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3C4FDAFE">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a) Composição Corporal por Bioimpedância Elétrica (BIA)</w:t>
      </w:r>
    </w:p>
    <w:p w14:paraId="2796D672">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[48], [49]</w:t>
      </w:r>
      <w:r>
        <w:rPr>
          <w:rFonts w:hint="default" w:ascii="Times New Roman" w:hAnsi="Times New Roman" w:cs="Times New Roman"/>
          <w:lang w:val="pt-BR"/>
        </w:rPr>
        <w:fldChar w:fldCharType="end"/>
      </w:r>
      <w:r>
        <w:rPr>
          <w:rFonts w:hint="default" w:ascii="Times New Roman" w:hAnsi="Times New Roman" w:cs="Times New Roman"/>
        </w:rPr>
        <w:t>. Para a estimativa da massa livre de gordura e percentual de gordura corporal, será padronizada a equação preditiva desenvolvida por Sun et al. (2003)</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{"citationID":"ZhKoA3QW","properties":{"unsorted":false,"formattedCitation":"[72]","plainCitation":"[72]","noteIndex":0},"citationItems":[{"id":453,"uris":["http://zotero.org/users/17274952/items/U3HW93FD"],"itemData":{"id":453,"type":"article-journal","container-title":"The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[72]</w:t>
      </w:r>
      <w:r>
        <w:rPr>
          <w:rFonts w:hint="default" w:ascii="Times New Roman" w:hAnsi="Times New Roman" w:cs="Times New Roman"/>
          <w:lang w:val="pt-BR"/>
        </w:rPr>
        <w:fldChar w:fldCharType="end"/>
      </w:r>
      <w:r>
        <w:rPr>
          <w:rFonts w:hint="default" w:ascii="Times New Roman" w:hAnsi="Times New Roman" w:cs="Times New Roman"/>
        </w:rPr>
        <w:t>, calibrada a partir de um modelo multicompartimental (4C: hidrodensitometria, diluição com deutério e DEXA). Diferentemente de equações populacionais empíricas que penalizam o pes</w:t>
      </w:r>
      <w:bookmarkStart w:id="5" w:name="_GoBack"/>
      <w:bookmarkEnd w:id="5"/>
      <w:r>
        <w:rPr>
          <w:rFonts w:hint="default" w:ascii="Times New Roman" w:hAnsi="Times New Roman" w:cs="Times New Roman"/>
        </w:rPr>
        <w:t>o corporal total elevado pelo IMC, a equação de Sun prioriza o índice de condutividade elétrica e volume tecidual (Estatura</w:t>
      </w:r>
      <w:r>
        <w:rPr>
          <w:rFonts w:hint="default" w:ascii="Times New Roman" w:hAnsi="Times New Roman" w:cs="Times New Roman"/>
          <w:lang w:val="pt-BR"/>
        </w:rPr>
        <w:t>2</w:t>
      </w:r>
      <w:r>
        <w:rPr>
          <w:rFonts w:hint="default" w:ascii="Times New Roman" w:hAnsi="Times New Roman" w:cs="Times New Roman"/>
        </w:rPr>
        <w:t>/Resist</w:t>
      </w:r>
      <w:r>
        <w:rPr>
          <w:rFonts w:hint="default" w:ascii="Times New Roman" w:hAnsi="Times New Roman" w:cs="Times New Roman"/>
          <w:lang w:val="pt-BR"/>
        </w:rPr>
        <w:t>ê</w:t>
      </w:r>
      <w:r>
        <w:rPr>
          <w:rFonts w:hint="default" w:ascii="Times New Roman" w:hAnsi="Times New Roman" w:cs="Times New Roman"/>
        </w:rPr>
        <w:t>ncia), apresentando elevada acurácia para populações ativas e com maior densidade musculoesquelética de membros superiores e tronco, evitando a superestimação de adiposidade</w:t>
      </w:r>
      <w:r>
        <w:rPr>
          <w:rFonts w:hint="default" w:ascii="Times New Roman" w:hAnsi="Times New Roman" w:cs="Times New Roman"/>
          <w:lang w:val="pt-BR"/>
        </w:rPr>
        <w:t xml:space="preserve">.  </w:t>
      </w:r>
      <w:r>
        <w:rPr>
          <w:rFonts w:hint="default" w:cs="Times New Roman"/>
          <w:lang w:val="pt-BR"/>
        </w:rPr>
        <w:t>A</w:t>
      </w:r>
      <w:r>
        <w:rPr>
          <w:rFonts w:hint="default" w:ascii="Times New Roman" w:hAnsi="Times New Roman" w:cs="Times New Roman"/>
        </w:rPr>
        <w:t xml:space="preserve">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[48]</w:t>
      </w:r>
      <w:r>
        <w:rPr>
          <w:rFonts w:hint="default" w:ascii="Times New Roman" w:hAnsi="Times New Roman" w:cs="Times New Roman"/>
        </w:rPr>
        <w:fldChar w:fldCharType="end"/>
      </w:r>
      <w:r>
        <w:rPr>
          <w:rFonts w:hint="default" w:ascii="Times New Roman" w:hAnsi="Times New Roman" w:cs="Times New Roman"/>
        </w:rPr>
        <w:t>.</w:t>
      </w:r>
    </w:p>
    <w:p w14:paraId="014F066F">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b) Avaliação da Força de Preensão Manual (FPM)</w:t>
      </w:r>
    </w:p>
    <w:p w14:paraId="273EA8E8">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[51]</w:t>
      </w:r>
      <w:r>
        <w:rPr>
          <w:rFonts w:hint="default" w:ascii="Times New Roman" w:hAnsi="Times New Roman" w:cs="Times New Roman"/>
        </w:rPr>
        <w:fldChar w:fldCharType="end"/>
      </w:r>
      <w:r>
        <w:rPr>
          <w:rFonts w:hint="default" w:ascii="Times New Roman" w:hAnsi="Times New Roman" w:cs="Times New Roman"/>
        </w:rP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rFonts w:hint="default" w:ascii="Times New Roman" w:hAnsi="Times New Roman" w:cs="Times New Roman"/>
          <w:i/>
          <w:iCs/>
        </w:rPr>
        <w:t>American Society of Hand Therapists</w:t>
      </w:r>
      <w:r>
        <w:rPr>
          <w:rFonts w:hint="default" w:ascii="Times New Roman" w:hAnsi="Times New Roman" w:cs="Times New Roman"/>
        </w:rPr>
        <w:t xml:space="preserve"> (ASHT)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[52]</w:t>
      </w:r>
      <w:r>
        <w:rPr>
          <w:rFonts w:hint="default" w:ascii="Times New Roman" w:hAnsi="Times New Roman" w:cs="Times New Roman"/>
        </w:rPr>
        <w:fldChar w:fldCharType="end"/>
      </w:r>
      <w:r>
        <w:rPr>
          <w:rFonts w:hint="default" w:ascii="Times New Roman" w:hAnsi="Times New Roman" w:cs="Times New Roman"/>
        </w:rP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[52]</w:t>
      </w:r>
      <w:r>
        <w:rPr>
          <w:rFonts w:hint="default" w:ascii="Times New Roman" w:hAnsi="Times New Roman" w:cs="Times New Roman"/>
        </w:rPr>
        <w:fldChar w:fldCharType="end"/>
      </w:r>
      <w:r>
        <w:rPr>
          <w:rFonts w:hint="default" w:ascii="Times New Roman" w:hAnsi="Times New Roman" w:cs="Times New Roman"/>
        </w:rPr>
        <w:t>. O maior valor de pico obtido em cada membro será registrado em quilogramas-força (</w:t>
      </w:r>
      <w:r>
        <w:rPr>
          <w:rFonts w:hint="default" w:ascii="Times New Roman" w:hAnsi="Times New Roman" w:cs="Times New Roman"/>
          <w:lang w:val="pt-BR"/>
        </w:rPr>
        <w:t>K</w:t>
      </w:r>
      <w:r>
        <w:rPr>
          <w:rFonts w:hint="default" w:ascii="Times New Roman" w:hAnsi="Times New Roman" w:cs="Times New Roman"/>
        </w:rPr>
        <w:t>gf) e posteriormente normalizado pela massa corporal total (</w:t>
      </w:r>
      <w:r>
        <w:rPr>
          <w:rFonts w:hint="default" w:ascii="Times New Roman" w:hAnsi="Times New Roman" w:cs="Times New Roman"/>
          <w:lang w:val="pt-BR"/>
        </w:rPr>
        <w:t>K</w:t>
      </w:r>
      <w:r>
        <w:rPr>
          <w:rFonts w:hint="default" w:ascii="Times New Roman" w:hAnsi="Times New Roman" w:cs="Times New Roman"/>
        </w:rPr>
        <w:t>gf/</w:t>
      </w:r>
      <w:r>
        <w:rPr>
          <w:rFonts w:hint="default" w:ascii="Times New Roman" w:hAnsi="Times New Roman" w:cs="Times New Roman"/>
          <w:lang w:val="pt-BR"/>
        </w:rPr>
        <w:t>K</w:t>
      </w:r>
      <w:r>
        <w:rPr>
          <w:rFonts w:hint="default" w:ascii="Times New Roman" w:hAnsi="Times New Roman" w:cs="Times New Roman"/>
        </w:rPr>
        <w:t>g)</w:t>
      </w:r>
      <w:r>
        <w:rPr>
          <w:rFonts w:hint="default" w:ascii="Times New Roman" w:hAnsi="Times New Roman" w:cs="Times New Roman"/>
          <w:lang w:val="pt-BR"/>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[53]</w:t>
      </w:r>
      <w:r>
        <w:rPr>
          <w:rFonts w:hint="default" w:ascii="Times New Roman" w:hAnsi="Times New Roman" w:cs="Times New Roman"/>
        </w:rPr>
        <w:fldChar w:fldCharType="end"/>
      </w:r>
      <w:r>
        <w:rPr>
          <w:rFonts w:hint="default" w:ascii="Times New Roman" w:hAnsi="Times New Roman" w:cs="Times New Roman"/>
        </w:rPr>
        <w:t xml:space="preserve">. </w:t>
      </w:r>
    </w:p>
    <w:p w14:paraId="1E58B391">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 Pico de Torque Isométrico dos Flexores de Punho (FFP)</w:t>
      </w:r>
    </w:p>
    <w:p w14:paraId="7581F6A6">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rFonts w:hint="default" w:ascii="Times New Roman" w:hAnsi="Times New Roman" w:cs="Times New Roman"/>
          <w:i/>
          <w:iCs/>
        </w:rPr>
        <w:t>Limb-Support Pad</w:t>
      </w:r>
      <w:r>
        <w:rPr>
          <w:rFonts w:hint="default" w:ascii="Times New Roman" w:hAnsi="Times New Roman" w:cs="Times New Roman"/>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hint="default" w:ascii="Times New Roman" w:hAnsi="Times New Roman" w:cs="Times New Roman"/>
          <w:i/>
          <w:iCs/>
        </w:rPr>
        <w:t>wrist attachment</w:t>
      </w:r>
      <w:r>
        <w:rPr>
          <w:rFonts w:hint="default" w:ascii="Times New Roman" w:hAnsi="Times New Roman" w:cs="Times New Roman"/>
        </w:rPr>
        <w:t xml:space="preserve">) será travada no modo isométrico no ângulo articular de </w:t>
      </w:r>
      <w:r>
        <w:rPr>
          <w:rFonts w:hint="default" w:ascii="Times New Roman" w:hAnsi="Times New Roman" w:cs="Times New Roman"/>
          <w:highlight w:val="none"/>
        </w:rPr>
        <w:t xml:space="preserve">70° de extensão de punho, </w:t>
      </w:r>
      <w:r>
        <w:rPr>
          <w:rFonts w:hint="default" w:ascii="Times New Roman" w:hAnsi="Times New Roman" w:cs="Times New Roman"/>
        </w:rPr>
        <w:t>simulando com alta especificidade a angulação funcional de suporte e a atuação da estratégia de punho (</w:t>
      </w:r>
      <w:r>
        <w:rPr>
          <w:rFonts w:hint="default" w:ascii="Times New Roman" w:hAnsi="Times New Roman" w:cs="Times New Roman"/>
          <w:i/>
          <w:iCs/>
        </w:rPr>
        <w:t>wrist strategy</w:t>
      </w:r>
      <w:r>
        <w:rPr>
          <w:rFonts w:hint="default" w:ascii="Times New Roman" w:hAnsi="Times New Roman" w:cs="Times New Roman"/>
        </w:rPr>
        <w:t xml:space="preserve">) durante o </w:t>
      </w:r>
      <w:r>
        <w:rPr>
          <w:rFonts w:hint="default" w:ascii="Times New Roman" w:hAnsi="Times New Roman" w:cs="Times New Roman"/>
          <w:i/>
          <w:iCs/>
          <w:lang w:val="pt-BR"/>
        </w:rPr>
        <w:t xml:space="preserve">HS </w:t>
      </w:r>
      <w:r>
        <w:rPr>
          <w:rFonts w:hint="default" w:ascii="Times New Roman" w:hAnsi="Times New Roman" w:cs="Times New Roman"/>
          <w:i w:val="0"/>
          <w:iCs w:val="0"/>
          <w:lang w:val="pt-BR"/>
        </w:rPr>
        <w:fldChar w:fldCharType="begin"/>
      </w:r>
      <w:r>
        <w:rPr>
          <w:rFonts w:hint="default" w:ascii="Times New Roman" w:hAnsi="Times New Roman" w:cs="Times New Roman"/>
          <w:i w:val="0"/>
          <w:iCs w:val="0"/>
          <w:lang w:val="pt-BR"/>
        </w:rPr>
        <w: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i w:val="0"/>
          <w:iCs w:val="0"/>
          <w:lang w:val="pt-BR"/>
        </w:rPr>
        <w:fldChar w:fldCharType="separate"/>
      </w:r>
      <w:r>
        <w:rPr>
          <w:rFonts w:hint="default" w:ascii="Times New Roman" w:hAnsi="Times New Roman" w:cs="Times New Roman"/>
          <w:i w:val="0"/>
          <w:iCs w:val="0"/>
          <w:lang w:val="pt-BR"/>
        </w:rPr>
        <w:t>[3], [9], [54]</w:t>
      </w:r>
      <w:r>
        <w:rPr>
          <w:rFonts w:hint="default" w:ascii="Times New Roman" w:hAnsi="Times New Roman" w:cs="Times New Roman"/>
          <w:i w:val="0"/>
          <w:iCs w:val="0"/>
          <w:lang w:val="pt-BR"/>
        </w:rPr>
        <w:fldChar w:fldCharType="end"/>
      </w:r>
      <w:r>
        <w:rPr>
          <w:rFonts w:hint="default" w:ascii="Times New Roman" w:hAnsi="Times New Roman" w:cs="Times New Roman"/>
          <w:i/>
          <w:iCs/>
          <w:lang w:val="pt-BR"/>
        </w:rPr>
        <w:t xml:space="preserve"> </w:t>
      </w:r>
      <w:r>
        <w:rPr>
          <w:rFonts w:hint="default" w:ascii="Times New Roman" w:hAnsi="Times New Roman" w:cs="Times New Roman"/>
        </w:rPr>
        <w:t>. Após a calibração do zero anatômico e a correção automática do peso do membro e da alavanca (</w:t>
      </w:r>
      <w:r>
        <w:rPr>
          <w:rFonts w:hint="default" w:ascii="Times New Roman" w:hAnsi="Times New Roman" w:cs="Times New Roman"/>
          <w:i/>
          <w:iCs/>
        </w:rPr>
        <w:t>gravity correction</w:t>
      </w:r>
      <w:r>
        <w:rPr>
          <w:rFonts w:hint="default" w:ascii="Times New Roman" w:hAnsi="Times New Roman" w:cs="Times New Roman"/>
        </w:rPr>
        <w:t xml:space="preserve">), o participante realizará contrações voluntárias máximas de flexão de punho com duração de 5 segundos cada, intercaladas por 60 segundos de repouso passivo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[55]</w:t>
      </w:r>
      <w:r>
        <w:rPr>
          <w:rFonts w:hint="default" w:ascii="Times New Roman" w:hAnsi="Times New Roman" w:cs="Times New Roman"/>
        </w:rPr>
        <w:fldChar w:fldCharType="end"/>
      </w:r>
      <w:r>
        <w:rPr>
          <w:rFonts w:hint="default" w:ascii="Times New Roman" w:hAnsi="Times New Roman" w:cs="Times New Roman"/>
        </w:rPr>
        <w:t xml:space="preserve">. O maior valor de pico de torque (PT, em N·m) será registrado e normalizado pela massa corporal (N·m/kg) (Jaric, 2002). Adicionalmente, será calculado será calculado o Índice de Simetria de Membros [LSI (%) = (PT não dominante / PT dominante) × 100] para posterior análise na locomoção dinâmica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[56]</w:t>
      </w:r>
      <w:r>
        <w:rPr>
          <w:rFonts w:hint="default" w:ascii="Times New Roman" w:hAnsi="Times New Roman" w:cs="Times New Roman"/>
        </w:rPr>
        <w:fldChar w:fldCharType="end"/>
      </w:r>
      <w:r>
        <w:rPr>
          <w:rFonts w:hint="default" w:ascii="Times New Roman" w:hAnsi="Times New Roman" w:cs="Times New Roman"/>
        </w:rP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d) Teste de 1 Repetição Máxima (1-RM) no </w:t>
      </w:r>
      <w:r>
        <w:rPr>
          <w:rFonts w:hint="default" w:ascii="Times New Roman" w:hAnsi="Times New Roman" w:cs="Times New Roman"/>
          <w:i/>
          <w:iCs/>
        </w:rPr>
        <w:t>SP</w:t>
      </w:r>
    </w:p>
    <w:p w14:paraId="1B36F705">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A força máxima dinâmica dos músculos de membros superiores em empurrar acima da cabeça será mensurada pelo teste de 1-RM no shoulder press com barra e pesos livres, seguindo protocolo adaptado de teste progressivo de carga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[47], [57], [58]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Os participantes realizarão um aquecimento constituído por 10 repetições do movimento apenas com a barra metálica olímpica (FlexFit®, Franca, Brasil), pesando 20 kg para homens, e 15 kg ou 10 kg para mulheres. Em seguida, anilhas calibradas (FlexFit®, Franca, Brasil) serão adicionadas para a progressão da carga. A distância de pegada das mãos na barra será padronizada ligeiramente além da largura dos ombros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[59]</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[47]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w:t>
      </w:r>
      <w:r>
        <w:rPr>
          <w:rFonts w:hint="default" w:ascii="Times New Roman" w:hAnsi="Times New Roman" w:cs="Times New Roman"/>
          <w:highlight w:val="none"/>
        </w:rPr>
        <w:t xml:space="preserve"> </w:t>
      </w:r>
      <w:r>
        <w:rPr>
          <w:rFonts w:hint="default" w:ascii="Times New Roman" w:hAnsi="Times New Roman" w:eastAsia="Times New Roman" w:cs="Times New Roman"/>
          <w:highlight w:val="none"/>
        </w:rPr>
        <w:t xml:space="preserve">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[53], [59]</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e) Teste de Resistência em Posição Invertida (</w:t>
      </w:r>
      <w:r>
        <w:rPr>
          <w:rFonts w:hint="default" w:ascii="Times New Roman" w:hAnsi="Times New Roman" w:cs="Times New Roman"/>
          <w:i/>
          <w:iCs/>
        </w:rPr>
        <w:t>wall-supported HS</w:t>
      </w:r>
      <w:r>
        <w:rPr>
          <w:rFonts w:hint="default" w:ascii="Times New Roman" w:hAnsi="Times New Roman" w:cs="Times New Roman"/>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A resistência muscular isométrica dos membros superiores em posição invertida será avaliada por meio do tempo máximo de sustentação (em segundos) no HS com o ventre voltado para 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padronização da base de sustentação, será fixada uma fita adesiva no solo demarcando o limite de posicionamento das mãos a 20 cm da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participante assumirá a postura invertida por meio de escalada pela parede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walk</w:t>
      </w:r>
      <w:r>
        <w:rPr>
          <w:rFonts w:hint="default" w:ascii="Times New Roman" w:hAnsi="Times New Roman" w:eastAsia="Times New Roman" w:cs="Times New Roman"/>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[46], [47]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hint="default" w:ascii="Times New Roman" w:hAnsi="Times New Roman" w:cs="Times New Roman"/>
          <w:u w:val="none"/>
        </w:rPr>
      </w:pPr>
      <w:r>
        <w:rPr>
          <w:rFonts w:hint="default" w:ascii="Times New Roman" w:hAnsi="Times New Roman" w:eastAsia="Times New Roman" w:cs="Times New Roman"/>
          <w:u w:val="none"/>
          <w:lang w:val="pt-BR"/>
        </w:rPr>
        <w:t xml:space="preserve">3.4.2 </w:t>
      </w:r>
      <w:r>
        <w:rPr>
          <w:rFonts w:hint="default" w:ascii="Times New Roman" w:hAnsi="Times New Roman" w:eastAsia="Times New Roman" w:cs="Times New Roman"/>
          <w:u w:val="none"/>
        </w:rPr>
        <w:t xml:space="preserve">Sessão 2 - Avaliação de desempenho </w:t>
      </w:r>
      <w:r>
        <w:rPr>
          <w:rFonts w:hint="default" w:ascii="Times New Roman" w:hAnsi="Times New Roman" w:eastAsia="Times New Roman" w:cs="Times New Roman"/>
          <w:i/>
          <w:u w:val="none"/>
        </w:rPr>
        <w:t xml:space="preserve">do </w:t>
      </w:r>
      <w:r>
        <w:rPr>
          <w:rFonts w:hint="default" w:ascii="Times New Roman" w:hAnsi="Times New Roman" w:eastAsia="Times New Roman" w:cs="Times New Roman"/>
          <w:i/>
          <w:iCs/>
          <w:u w:val="none"/>
        </w:rPr>
        <w:t>HS</w:t>
      </w:r>
      <w:r>
        <w:rPr>
          <w:rFonts w:hint="default" w:ascii="Times New Roman" w:hAnsi="Times New Roman" w:eastAsia="Times New Roman" w:cs="Times New Roman"/>
          <w:i/>
          <w:u w:val="none"/>
        </w:rPr>
        <w:t xml:space="preserve"> </w:t>
      </w:r>
      <w:r>
        <w:rPr>
          <w:rFonts w:hint="default" w:ascii="Times New Roman" w:hAnsi="Times New Roman" w:eastAsia="Times New Roman" w:cs="Times New Roman"/>
          <w:u w:val="none"/>
        </w:rPr>
        <w:t xml:space="preserve">e </w:t>
      </w:r>
      <w:r>
        <w:rPr>
          <w:rFonts w:hint="default" w:ascii="Times New Roman" w:hAnsi="Times New Roman" w:eastAsia="Times New Roman" w:cs="Times New Roman"/>
          <w:i/>
          <w:iCs/>
          <w:u w:val="none"/>
        </w:rPr>
        <w:t>HSW</w:t>
      </w:r>
    </w:p>
    <w:p w14:paraId="3AB26515">
      <w:pPr>
        <w:widowControl w:val="0"/>
        <w:spacing w:line="360" w:lineRule="auto"/>
        <w:ind w:firstLine="720"/>
        <w:rPr>
          <w:rFonts w:hint="default" w:ascii="Times New Roman" w:hAnsi="Times New Roman" w:cs="Times New Roman"/>
        </w:rPr>
      </w:pPr>
      <w:r>
        <w:rPr>
          <w:rFonts w:hint="default" w:ascii="Times New Roman" w:hAnsi="Times New Roman" w:cs="Times New Roman"/>
        </w:rPr>
        <w:t xml:space="preserve">Para a captura da cinemática tridimensional, serão fixados 39 marcadores esféricos retrorrefletivos sobre pontos anatômicos através de todo o corpo, seguindo o protocolo padronizado Plug-in Gait Full Body (Vicon®, Oxford, Reino Unido), fundamentado no modelo biomecânico de Davis et al. (1991) e Kadaba et al. (1990)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[61], [62]</w:t>
      </w:r>
      <w:r>
        <w:rPr>
          <w:rFonts w:hint="default" w:ascii="Times New Roman" w:hAnsi="Times New Roman" w:cs="Times New Roman"/>
        </w:rPr>
        <w:fldChar w:fldCharType="end"/>
      </w:r>
      <w:r>
        <w:rPr>
          <w:rFonts w:hint="default" w:ascii="Times New Roman" w:hAnsi="Times New Roman" w:cs="Times New Roman"/>
        </w:rPr>
        <w:t xml:space="preserve">. Adicionalmente a este protocolo padrão, e de forma específica para solucionar o desafio de oclusão óptica impostos pela tarefa de locomoção invertida (HSW),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[63], [64]</w:t>
      </w:r>
      <w:r>
        <w:rPr>
          <w:rFonts w:hint="default" w:ascii="Times New Roman" w:hAnsi="Times New Roman" w:cs="Times New Roman"/>
        </w:rPr>
        <w:fldChar w:fldCharType="end"/>
      </w:r>
      <w:r>
        <w:rPr>
          <w:rFonts w:hint="default" w:ascii="Times New Roman" w:hAnsi="Times New Roman" w:cs="Times New Roman"/>
          <w:color w:val="101010"/>
          <w:shd w:val="clear" w:color="auto" w:fill="F2F2F2"/>
        </w:rPr>
        <w:t>.  </w:t>
      </w:r>
      <w:r>
        <w:rPr>
          <w:rFonts w:hint="default" w:ascii="Times New Roman" w:hAnsi="Times New Roman" w:cs="Times New Roman"/>
        </w:rPr>
        <w:t>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hint="default" w:ascii="Times New Roman" w:hAnsi="Times New Roman" w:eastAsia="Times New Roman" w:cs="Times New Roman"/>
        </w:rPr>
      </w:pPr>
      <w:r>
        <w:rPr>
          <w:rFonts w:hint="default" w:ascii="Times New Roman" w:hAnsi="Times New Roman" w:cs="Times New Roman"/>
        </w:rPr>
        <w:t>Será rea</w:t>
      </w:r>
      <w:r>
        <w:rPr>
          <w:rFonts w:hint="default" w:ascii="Times New Roman" w:hAnsi="Times New Roman" w:eastAsia="Times New Roman" w:cs="Times New Roman"/>
        </w:rPr>
        <w:t xml:space="preserve">lizado um aquecimento com exercícios de peso corporal </w:t>
      </w:r>
      <w:r>
        <w:rPr>
          <w:rFonts w:hint="default" w:ascii="Times New Roman" w:hAnsi="Times New Roman" w:eastAsia="Times New Roman" w:cs="Times New Roman"/>
          <w:lang w:val="pt-BR"/>
        </w:rPr>
        <w:t xml:space="preserve">contemplando mobilidade articular, ativação de musculatura dos ombros e </w:t>
      </w:r>
      <w:r>
        <w:rPr>
          <w:rFonts w:hint="default" w:ascii="Times New Roman" w:hAnsi="Times New Roman" w:eastAsia="Times New Roman" w:cs="Times New Roman"/>
          <w:i/>
          <w:iCs/>
          <w:lang w:val="pt-BR"/>
        </w:rPr>
        <w:t xml:space="preserve">core </w:t>
      </w:r>
      <w:r>
        <w:rPr>
          <w:rFonts w:hint="default" w:ascii="Times New Roman" w:hAnsi="Times New Roman" w:eastAsia="Times New Roman" w:cs="Times New Roman"/>
          <w:i w:val="0"/>
          <w:iCs w:val="0"/>
          <w:lang w:val="pt-BR"/>
        </w:rPr>
        <w:t>e ativação submáxima em inversão</w:t>
      </w:r>
      <w:r>
        <w:rPr>
          <w:rFonts w:hint="default" w:ascii="Times New Roman" w:hAnsi="Times New Roman" w:eastAsia="Times New Roman" w:cs="Times New Roman"/>
        </w:rPr>
        <w:t xml:space="preserve">. A seguir, a coleta começará com 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que servirá também como um aquecimento específico para o próximo teste, do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4A83A963">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a) Teste de desempenho no </w:t>
      </w:r>
      <w:r>
        <w:rPr>
          <w:rFonts w:hint="default" w:ascii="Times New Roman" w:hAnsi="Times New Roman" w:eastAsia="Times New Roman" w:cs="Times New Roman"/>
          <w:i/>
          <w:iCs/>
        </w:rPr>
        <w:t>HS</w:t>
      </w:r>
    </w:p>
    <w:p w14:paraId="6275B03C">
      <w:pPr>
        <w:widowControl w:val="0"/>
        <w:shd w:val="clear" w:color="auto" w:fill="FFFFFF"/>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avaliação do equilíbrio estático, os participantes irão realizar 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ApEn).</w:t>
      </w:r>
    </w:p>
    <w:p w14:paraId="380607EB">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O protocolo de coleta consistirá em seis tentativas totais, organizadas em dois blocos: três tentativas com entrada assistida e três tentativas de entrada livre. Os participantes posicionarão as mãos sobre a plataforma utilizando a distância e rotação das mãos de sua preferência.</w:t>
      </w:r>
      <w:r>
        <w:rPr>
          <w:rStyle w:val="8"/>
          <w:rFonts w:hint="default" w:ascii="Times New Roman" w:hAnsi="Times New Roman" w:cs="Times New Roman"/>
          <w:b w:val="0"/>
          <w:bCs w:val="0"/>
          <w:color w:val="101010"/>
          <w:shd w:val="clear" w:color="auto" w:fill="F2F2F2"/>
        </w:rPr>
        <w:t>.</w:t>
      </w:r>
      <w:r>
        <w:rPr>
          <w:rFonts w:hint="default" w:ascii="Times New Roman" w:hAnsi="Times New Roman" w:cs="Times New Roman"/>
          <w:color w:val="101010"/>
          <w:sz w:val="21"/>
          <w:szCs w:val="21"/>
          <w:shd w:val="clear" w:color="auto" w:fill="F2F2F2"/>
        </w:rPr>
        <w:t> </w:t>
      </w:r>
      <w:r>
        <w:rPr>
          <w:rFonts w:hint="default" w:ascii="Times New Roman" w:hAnsi="Times New Roman" w:cs="Times New Roman"/>
        </w:rPr>
        <w:t>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Uma pausa de 3 minutos será feita após esse bloco, antes das tentativas livres.  Neste bloco o participante utilizará a técnica de entrada (</w:t>
      </w:r>
      <w:r>
        <w:rPr>
          <w:rFonts w:hint="default" w:ascii="Times New Roman" w:hAnsi="Times New Roman" w:cs="Times New Roman"/>
          <w:i/>
          <w:iCs/>
        </w:rPr>
        <w:t>kick-up</w:t>
      </w:r>
      <w:r>
        <w:rPr>
          <w:rFonts w:hint="default" w:ascii="Times New Roman" w:hAnsi="Times New Roman" w:cs="Times New Roman"/>
        </w:rPr>
        <w:t>) que lhe for mais natural e eficiente. Entre cada tentativa, será respeitado um intervalo de repouso entre 90 segundos, visando minimizar os efeitos da fadiga muscular acumulada nos membros superiores e estabilizadores do tronco.</w:t>
      </w:r>
    </w:p>
    <w:p w14:paraId="5A6A8AC0">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b) Teste de desempenho no </w:t>
      </w:r>
      <w:r>
        <w:rPr>
          <w:rFonts w:hint="default" w:ascii="Times New Roman" w:hAnsi="Times New Roman" w:eastAsia="Times New Roman" w:cs="Times New Roman"/>
          <w:i/>
          <w:iCs/>
        </w:rPr>
        <w:t>HSW</w:t>
      </w:r>
    </w:p>
    <w:p w14:paraId="2B19B52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Após um intervalo de 10 minutos, para assegurar a recuperação plena dos sistemas neuromusculares após os testes estático da </w:t>
      </w:r>
      <w:r>
        <w:rPr>
          <w:rFonts w:hint="default" w:ascii="Times New Roman" w:hAnsi="Times New Roman" w:cs="Times New Roman"/>
          <w:i/>
          <w:iCs/>
        </w:rPr>
        <w:t>HS</w:t>
      </w:r>
      <w:r>
        <w:rPr>
          <w:rFonts w:hint="default" w:ascii="Times New Roman" w:hAnsi="Times New Roman" w:cs="Times New Roman"/>
        </w:rPr>
        <w:t xml:space="preserve">, será iniciada a avaliação DO </w:t>
      </w:r>
      <w:r>
        <w:rPr>
          <w:rFonts w:hint="default" w:ascii="Times New Roman" w:hAnsi="Times New Roman" w:cs="Times New Roman"/>
          <w:i/>
          <w:iCs/>
        </w:rPr>
        <w:t>HSW</w:t>
      </w:r>
      <w:r>
        <w:rPr>
          <w:rFonts w:hint="default" w:ascii="Times New Roman" w:hAnsi="Times New Roman" w:cs="Times New Roman"/>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Pr>
          <w:rFonts w:hint="default" w:ascii="Times New Roman" w:hAnsi="Times New Roman" w:cs="Times New Roman"/>
          <w:i/>
          <w:iCs/>
        </w:rPr>
        <w:t>kick-up</w:t>
      </w:r>
      <w:r>
        <w:rPr>
          <w:rFonts w:hint="default" w:ascii="Times New Roman" w:hAnsi="Times New Roman" w:cs="Times New Roman"/>
        </w:rPr>
        <w:t xml:space="preserve">) ou já com as mãos posicionadas sobre a área demarcada antes do impulso inicial. O protocolo consistirá em cinco tentativas totais com um intervalo de recuperação de 90 segundos entre elas.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{"citationID":"HRx9Z8K3","properties":{"unsorted":false,"formattedCitation":"[19]","plainCitation":"[19]","noteIndex":0},"citationItems":[{"id":339,"uris":["http://zotero.org/users/17274952/items/9539FXDG"],"itemData":{"id":339,"type":"article-journal","container-title":"Journal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w:t>
      </w:r>
    </w:p>
    <w:p w14:paraId="3B354366">
      <w:pPr>
        <w:shd w:val="clear" w:color="auto" w:fill="FFFFFF" w:themeFill="background1"/>
        <w:suppressAutoHyphens w:val="0"/>
        <w:spacing w:line="360" w:lineRule="auto"/>
        <w:jc w:val="left"/>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c) </w:t>
      </w:r>
      <w:r>
        <w:rPr>
          <w:rFonts w:hint="default" w:ascii="Times New Roman" w:hAnsi="Times New Roman" w:eastAsia="Times New Roman" w:cs="Times New Roman"/>
          <w:u w:val="none"/>
        </w:rPr>
        <w:t>Processamento e Tratamento de Dados</w:t>
      </w:r>
    </w:p>
    <w:p w14:paraId="0567637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[65]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17AEA55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Devido à natureza da locomoção invertida do </w:t>
      </w:r>
      <w:r>
        <w:rPr>
          <w:rFonts w:hint="default" w:ascii="Times New Roman" w:hAnsi="Times New Roman" w:eastAsia="Times New Roman" w:cs="Times New Roman"/>
          <w:i/>
          <w:iCs/>
        </w:rPr>
        <w:t>HSW</w:t>
      </w:r>
      <w:r>
        <w:rPr>
          <w:rFonts w:hint="default" w:ascii="Times New Roman" w:hAnsi="Times New Roman" w:eastAsia="Times New Roman" w:cs="Times New Roman"/>
        </w:rPr>
        <w:t>, na qual os braços assumem a função de suporte, ocorre a oclusão inevitável dos marcadores dos ombros impostos pelos limites do volume de captura e pela própria cabeça do participante. Para solucionar falhas de rastreamento (</w:t>
      </w:r>
      <w:r>
        <w:rPr>
          <w:rFonts w:hint="default" w:ascii="Times New Roman" w:hAnsi="Times New Roman" w:eastAsia="Times New Roman" w:cs="Times New Roman"/>
          <w:i/>
          <w:iCs/>
        </w:rPr>
        <w:t>gaps</w:t>
      </w:r>
      <w:r>
        <w:rPr>
          <w:rFonts w:hint="default" w:ascii="Times New Roman" w:hAnsi="Times New Roman" w:eastAsia="Times New Roman" w:cs="Times New Roman"/>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[63], [64]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algoritmo utilizará os marcadores fixos dorsais do tronco superior (ex: C7, T10 e dois referências extras) como um cluster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hint="default" w:ascii="Times New Roman" w:hAnsi="Times New Roman" w:eastAsia="Times New Roman" w:cs="Times New Roman"/>
          <w:i/>
          <w:iCs/>
        </w:rPr>
        <w:t>Soft Tissue Artifacts</w:t>
      </w:r>
      <w:r>
        <w:rPr>
          <w:rFonts w:hint="default" w:ascii="Times New Roman" w:hAnsi="Times New Roman" w:eastAsia="Times New Roman" w:cs="Times New Roman"/>
        </w:rPr>
        <w:t>)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Portanto, para solucionar as falhas de rastreamento de forma fidedigna nestes marcadores, o pipeline aplicará primariamente um filtro não-linear de mediana móvel para a exclusão de ruídos instantâneos e valores atípicos (picos artificiais / </w:t>
      </w:r>
      <w:r>
        <w:rPr>
          <w:rFonts w:hint="default" w:ascii="Times New Roman" w:hAnsi="Times New Roman" w:eastAsia="Times New Roman" w:cs="Times New Roman"/>
          <w:i/>
          <w:iCs/>
        </w:rPr>
        <w:t>spikes </w:t>
      </w:r>
      <w:r>
        <w:rPr>
          <w:rFonts w:hint="default" w:ascii="Times New Roman" w:hAnsi="Times New Roman" w:eastAsia="Times New Roman" w:cs="Times New Roman"/>
        </w:rPr>
        <w:t xml:space="preserve">&gt; 60 mm), preservando os limites reais do sinal cinemático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Sequencialmente, será realizado o preenchimento temporal das lacunas </w:t>
      </w:r>
      <w:r>
        <w:rPr>
          <w:rFonts w:hint="default" w:ascii="Times New Roman" w:hAnsi="Times New Roman" w:eastAsia="Times New Roman" w:cs="Times New Roman"/>
          <w:i/>
          <w:iCs/>
        </w:rPr>
        <w:t>(gap filling</w:t>
      </w:r>
      <w:r>
        <w:rPr>
          <w:rFonts w:hint="default" w:ascii="Times New Roman" w:hAnsi="Times New Roman" w:eastAsia="Times New Roman" w:cs="Times New Roman"/>
        </w:rPr>
        <w:t>) via interpolação matemática (</w:t>
      </w:r>
      <w:r>
        <w:rPr>
          <w:rFonts w:hint="default" w:ascii="Times New Roman" w:hAnsi="Times New Roman" w:eastAsia="Times New Roman" w:cs="Times New Roman"/>
          <w:i/>
          <w:iCs/>
        </w:rPr>
        <w:t>Spline</w:t>
      </w:r>
      <w:r>
        <w:rPr>
          <w:rFonts w:hint="default" w:ascii="Times New Roman" w:hAnsi="Times New Roman" w:eastAsia="Times New Roman" w:cs="Times New Roman"/>
        </w:rPr>
        <w:t xml:space="preserve">/PCHIP), um método validado para restaurar trajetórias de marcadores ocluídos garantindo a integridade e suavidade do sinal biomecânico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hint="default" w:ascii="Times New Roman" w:hAnsi="Times New Roman" w:eastAsia="Times New Roman" w:cs="Times New Roman"/>
          <w:b/>
          <w:bCs/>
        </w:rPr>
        <w:t xml:space="preserve">. </w:t>
      </w:r>
      <w:r>
        <w:rPr>
          <w:rFonts w:hint="default" w:ascii="Times New Roman" w:hAnsi="Times New Roman" w:eastAsia="Times New Roman" w:cs="Times New Roman"/>
        </w:rPr>
        <w:t>Para a extração das métricas, os sinais brutos passarão por pré-processamento para eliminação de ruídos experimentais e vibrações inerentes aos equipamentos sem que ocorra atraso de fase (</w:t>
      </w:r>
      <w:r>
        <w:rPr>
          <w:rFonts w:hint="default" w:ascii="Times New Roman" w:hAnsi="Times New Roman" w:eastAsia="Times New Roman" w:cs="Times New Roman"/>
          <w:i/>
          <w:iCs/>
        </w:rPr>
        <w:t>phase</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shift</w:t>
      </w:r>
      <w:r>
        <w:rPr>
          <w:rFonts w:hint="default" w:ascii="Times New Roman" w:hAnsi="Times New Roman" w:eastAsia="Times New Roman" w:cs="Times New Roman"/>
        </w:rPr>
        <w:t xml:space="preserve">). Será aplicado um filtro digital passa-baixa Butterworth de 4ª ordem bidirecional (função filtfilt da biblioteca SciPy).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[9], [22]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05A40BD4">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 separação da fase de estabilização no </w:t>
      </w:r>
      <w:r>
        <w:rPr>
          <w:rFonts w:hint="default" w:ascii="Times New Roman" w:hAnsi="Times New Roman" w:cs="Times New Roman"/>
          <w:i/>
          <w:iCs/>
        </w:rPr>
        <w:t xml:space="preserve">HS </w:t>
      </w:r>
      <w:r>
        <w:rPr>
          <w:rFonts w:hint="default" w:ascii="Times New Roman" w:hAnsi="Times New Roman" w:cs="Times New Roman"/>
        </w:rPr>
        <w:t>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HSW, a delimitação temporal do percurso válido será estabelecida pela ciclicidade do contato palmar. O início da locomoção será identificado algoritmicamente pelo instante do primeiro evento de quebra de contato com o solo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de uma das mãos. Consecutivamente, o término da marcha válida será demarcado pelo último evento de toque (</w:t>
      </w:r>
      <w:r>
        <w:rPr>
          <w:rFonts w:hint="default" w:ascii="Times New Roman" w:hAnsi="Times New Roman" w:cs="Times New Roman"/>
          <w:i/>
          <w:iCs/>
        </w:rPr>
        <w:t>touchdown</w:t>
      </w:r>
      <w:r>
        <w:rPr>
          <w:rFonts w:hint="default" w:ascii="Times New Roman" w:hAnsi="Times New Roman" w:cs="Times New Roman"/>
        </w:rP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[34], [35]</w:t>
      </w:r>
      <w:r>
        <w:rPr>
          <w:rFonts w:hint="default" w:ascii="Times New Roman" w:hAnsi="Times New Roman" w:cs="Times New Roman"/>
        </w:rPr>
        <w:fldChar w:fldCharType="end"/>
      </w:r>
      <w:r>
        <w:rPr>
          <w:rFonts w:hint="default" w:ascii="Times New Roman" w:hAnsi="Times New Roman" w:cs="Times New Roman"/>
        </w:rPr>
        <w:t>. Concomitantemente, a velocidade média do CoP e a ApEn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rFonts w:hint="default" w:ascii="Times New Roman" w:hAnsi="Times New Roman" w:cs="Times New Roman"/>
          <w:i/>
          <w:iCs/>
        </w:rPr>
        <w:t>Gimbal Lock</w:t>
      </w:r>
      <w:r>
        <w:rPr>
          <w:rFonts w:hint="default" w:ascii="Times New Roman" w:hAnsi="Times New Roman" w:cs="Times New Roman"/>
        </w:rPr>
        <w:t> durante a inversão, mas calculado rigorosamente por meio do produto escalar (</w:t>
      </w:r>
      <w:r>
        <w:rPr>
          <w:rFonts w:hint="default" w:ascii="Times New Roman" w:hAnsi="Times New Roman" w:cs="Times New Roman"/>
          <w:i/>
          <w:iCs/>
        </w:rPr>
        <w:t>Dot Product</w:t>
      </w:r>
      <w:r>
        <w:rPr>
          <w:rFonts w:hint="default" w:ascii="Times New Roman" w:hAnsi="Times New Roman" w:cs="Times New Roman"/>
        </w:rPr>
        <w:t xml:space="preserve">) de vetores 3D absolutos no espaço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[67], [69]</w:t>
      </w:r>
      <w:r>
        <w:rPr>
          <w:rFonts w:hint="default" w:ascii="Times New Roman" w:hAnsi="Times New Roman" w:cs="Times New Roman"/>
        </w:rPr>
        <w:fldChar w:fldCharType="end"/>
      </w:r>
      <w:r>
        <w:rPr>
          <w:rFonts w:hint="default" w:ascii="Times New Roman" w:hAnsi="Times New Roman" w:cs="Times New Roman"/>
        </w:rPr>
        <w:t>. Para a tarefa dinâmica (</w:t>
      </w:r>
      <w:r>
        <w:rPr>
          <w:rFonts w:hint="default" w:ascii="Times New Roman" w:hAnsi="Times New Roman" w:cs="Times New Roman"/>
          <w:i/>
          <w:iCs/>
        </w:rPr>
        <w:t>HSW</w:t>
      </w:r>
      <w:r>
        <w:rPr>
          <w:rFonts w:hint="default" w:ascii="Times New Roman" w:hAnsi="Times New Roman" w:cs="Times New Roman"/>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(touchdown) e de propulsão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[70], [71]</w:t>
      </w:r>
      <w:r>
        <w:rPr>
          <w:rFonts w:hint="default" w:ascii="Times New Roman" w:hAnsi="Times New Roman" w:cs="Times New Roman"/>
        </w:rPr>
        <w:fldChar w:fldCharType="end"/>
      </w:r>
      <w:r>
        <w:rPr>
          <w:rFonts w:hint="default" w:ascii="Times New Roman" w:hAnsi="Times New Roman" w:cs="Times New Roman"/>
        </w:rPr>
        <w:t>. Para mitigar de forma automatizada a perda de dados decorrente de oclusões críticas, o algoritmo incorpora salvaguardas anatômicas dinâmicas (</w:t>
      </w:r>
      <w:r>
        <w:rPr>
          <w:rFonts w:hint="default" w:ascii="Times New Roman" w:hAnsi="Times New Roman" w:cs="Times New Roman"/>
          <w:i/>
          <w:iCs/>
        </w:rPr>
        <w:t>failsafes</w:t>
      </w:r>
      <w:r>
        <w:rPr>
          <w:rFonts w:hint="default" w:ascii="Times New Roman" w:hAnsi="Times New Roman" w:cs="Times New Roman"/>
        </w:rP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5</w:t>
      </w:r>
      <w:r>
        <w:rPr>
          <w:rFonts w:hint="default" w:ascii="Times New Roman" w:hAnsi="Times New Roman" w:eastAsia="Times New Roman" w:cs="Times New Roman"/>
        </w:rPr>
        <w:t xml:space="preserve"> Análise Estatística</w:t>
      </w:r>
    </w:p>
    <w:p w14:paraId="36A10CE7">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análise estatística será conduzida no </w:t>
      </w:r>
      <w:r>
        <w:rPr>
          <w:rFonts w:hint="default" w:ascii="Times New Roman" w:hAnsi="Times New Roman" w:cs="Times New Roman"/>
          <w:i/>
          <w:iCs/>
        </w:rPr>
        <w:t xml:space="preserve">software </w:t>
      </w:r>
      <w:r>
        <w:rPr>
          <w:rFonts w:hint="default" w:ascii="Times New Roman" w:hAnsi="Times New Roman" w:cs="Times New Roman"/>
        </w:rPr>
        <w:t xml:space="preserve">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w:t>
      </w:r>
      <w:r>
        <w:rPr>
          <w:rFonts w:hint="default" w:ascii="Times New Roman" w:hAnsi="Times New Roman" w:cs="Times New Roman"/>
          <w:lang w:val="pt-BR"/>
        </w:rPr>
        <w:t>e</w:t>
      </w:r>
      <w:r>
        <w:rPr>
          <w:rFonts w:hint="default" w:ascii="Times New Roman" w:hAnsi="Times New Roman" w:cs="Times New Roman"/>
        </w:rPr>
        <w:t xml:space="preserve"> intervalo interquartil.</w:t>
      </w:r>
    </w:p>
    <w:p w14:paraId="10E4FBA1">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variáveis categóricas</w:t>
      </w:r>
      <w:r>
        <w:rPr>
          <w:rFonts w:hint="default" w:ascii="Times New Roman" w:hAnsi="Times New Roman" w:cs="Times New Roman"/>
          <w:lang w:val="pt-BR"/>
        </w:rPr>
        <w:t xml:space="preserve">: </w:t>
      </w:r>
      <w:r>
        <w:rPr>
          <w:rFonts w:hint="default" w:ascii="Times New Roman" w:hAnsi="Times New Roman" w:cs="Times New Roman"/>
        </w:rPr>
        <w:t xml:space="preserve">distribuição das modalidades esportivas praticadas e </w:t>
      </w:r>
      <w:r>
        <w:rPr>
          <w:rFonts w:hint="default" w:ascii="Times New Roman" w:hAnsi="Times New Roman" w:cs="Times New Roman"/>
          <w:lang w:val="pt-BR"/>
        </w:rPr>
        <w:t>o</w:t>
      </w:r>
      <w:r>
        <w:rPr>
          <w:rFonts w:hint="default" w:ascii="Times New Roman" w:hAnsi="Times New Roman" w:cs="Times New Roman"/>
        </w:rPr>
        <w:t xml:space="preserve"> perfil de prática  modalidade </w:t>
      </w:r>
      <w:r>
        <w:rPr>
          <w:rFonts w:hint="default" w:ascii="Times New Roman" w:hAnsi="Times New Roman" w:cs="Times New Roman"/>
          <w:lang w:val="pt-BR"/>
        </w:rPr>
        <w:t>(</w:t>
      </w:r>
      <w:r>
        <w:rPr>
          <w:rFonts w:hint="default" w:ascii="Times New Roman" w:hAnsi="Times New Roman" w:cs="Times New Roman"/>
        </w:rPr>
        <w:t>exclusiva vs. praticantes multimodais de duas ou mais modalidades</w:t>
      </w:r>
      <w:r>
        <w:rPr>
          <w:rFonts w:hint="default" w:ascii="Times New Roman" w:hAnsi="Times New Roman" w:cs="Times New Roman"/>
          <w:lang w:val="pt-BR"/>
        </w:rPr>
        <w:t xml:space="preserve">) </w:t>
      </w:r>
      <w:r>
        <w:rPr>
          <w:rFonts w:hint="default" w:ascii="Times New Roman" w:hAnsi="Times New Roman" w:cs="Times New Roman"/>
        </w:rPr>
        <w:t>serão empregadas com finalidade estritamente descritiva para contextualizar a heterogeneidade da amostra, sendo expressas em frequências absolutas (</w:t>
      </w:r>
      <w:r>
        <w:rPr>
          <w:rFonts w:hint="default" w:ascii="Times New Roman" w:hAnsi="Times New Roman" w:cs="Times New Roman"/>
        </w:rPr>
        <w:t>n</w:t>
      </w:r>
      <w:r>
        <w:rPr>
          <w:rFonts w:hint="default" w:ascii="Times New Roman" w:hAnsi="Times New Roman" w:cs="Times New Roman"/>
        </w:rPr>
        <w:t>) e relativas (%), sem compor os modelos de regressão.</w:t>
      </w:r>
    </w:p>
    <w:p w14:paraId="5EEC2138">
      <w:pPr>
        <w:pStyle w:val="11"/>
        <w:spacing w:before="0" w:beforeAutospacing="0" w:after="0" w:afterAutospacing="0" w:line="360" w:lineRule="auto"/>
        <w:ind w:firstLine="708"/>
        <w:jc w:val="both"/>
        <w:rPr>
          <w:rFonts w:hint="default" w:ascii="Times New Roman" w:hAnsi="Times New Roman" w:eastAsia="Times New Roman" w:cs="Times New Roman"/>
        </w:rPr>
      </w:pPr>
      <w:r>
        <w:rPr>
          <w:rFonts w:hint="default" w:ascii="Times New Roman" w:hAnsi="Times New Roman" w:cs="Times New Roman"/>
        </w:rPr>
        <w:t>Subsequentemente, para testar as hipóteses</w:t>
      </w:r>
      <w:r>
        <w:rPr>
          <w:rFonts w:hint="default" w:ascii="Times New Roman" w:hAnsi="Times New Roman" w:cs="Times New Roman"/>
          <w:lang w:val="pt-BR"/>
        </w:rPr>
        <w:t xml:space="preserve"> </w:t>
      </w:r>
      <w:r>
        <w:rPr>
          <w:rFonts w:hint="default" w:ascii="Times New Roman" w:hAnsi="Times New Roman" w:cs="Times New Roman"/>
        </w:rPr>
        <w:t>preditivas do estudo, as variáveis quantitativas serão submetidas aos modelos temáticos de regressão linear múltipla e ao modelo de regressão logística binária descritos a seguir, adotando-se um nível de significância de </w:t>
      </w:r>
      <w:r>
        <w:rPr>
          <w:rFonts w:hint="default" w:ascii="Times New Roman" w:hAnsi="Times New Roman" w:cs="Times New Roman"/>
        </w:rPr>
        <w:t>α</w:t>
      </w:r>
      <w:r>
        <w:rPr>
          <w:rFonts w:hint="default" w:ascii="Times New Roman" w:hAnsi="Times New Roman" w:cs="Times New Roman"/>
          <w:lang w:val="pt-BR"/>
        </w:rPr>
        <w:t>=</w:t>
      </w:r>
      <w:r>
        <w:rPr>
          <w:rFonts w:hint="default" w:ascii="Times New Roman" w:hAnsi="Times New Roman" w:cs="Times New Roman"/>
        </w:rPr>
        <w:t>0,05</w:t>
      </w:r>
      <w:r>
        <w:rPr>
          <w:rFonts w:hint="default" w:ascii="Times New Roman" w:hAnsi="Times New Roman" w:cs="Times New Roman"/>
          <w:lang w:val="pt-BR"/>
        </w:rPr>
        <w:t xml:space="preserve">. </w:t>
      </w:r>
      <w:r>
        <w:rPr>
          <w:rFonts w:hint="default" w:ascii="Times New Roman" w:hAnsi="Times New Roman" w:eastAsia="Times New Roman" w:cs="Times New Roman"/>
        </w:rPr>
        <w:t>Esta abordagem permite testar hipóteses específicas com maior poder estatístico, evitando os desafios de um único grande modelo com excesso de preditores.</w:t>
      </w:r>
    </w:p>
    <w:p w14:paraId="39C09C0C">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A estruturação dos modelos preditivos fundamenta-se na transposição dos princípios de controle postural e análise da marcha bípede para as tarefas de suporte invertido, seja no equilíbrio estático (</w:t>
      </w:r>
      <w:r>
        <w:rPr>
          <w:rFonts w:hint="default" w:ascii="Times New Roman" w:hAnsi="Times New Roman" w:eastAsia="Times New Roman" w:cs="Times New Roman"/>
          <w:i/>
          <w:iCs/>
        </w:rPr>
        <w:t>HS</w:t>
      </w:r>
      <w:r>
        <w:rPr>
          <w:rFonts w:hint="default" w:ascii="Times New Roman" w:hAnsi="Times New Roman" w:eastAsia="Times New Roman" w:cs="Times New Roman"/>
        </w:rPr>
        <w:t>) quanto a locomoção dinâmica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w:t>
      </w:r>
      <w:r>
        <w:rPr>
          <w:rFonts w:hint="default" w:ascii="Times New Roman" w:hAnsi="Times New Roman" w:cs="Times New Roman"/>
          <w:lang w:val="pt-BR"/>
        </w:rPr>
        <w:t xml:space="preserve"> </w:t>
      </w:r>
      <w:r>
        <w:rPr>
          <w:rFonts w:hint="default" w:ascii="Times New Roman" w:hAnsi="Times New Roman" w:cs="Times New Roman"/>
        </w:rPr>
        <w:t>Ressalta-se que a articulação do punho não foi incluída no cálculo do índice de verticalidade porque atua em ~70° a 90° como a base de apoio que gera torques de correção no solo, função que já é avaliada pela plataforma de força e pelo dinamômetro isocinético</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[3]</w:t>
      </w:r>
      <w:r>
        <w:rPr>
          <w:rFonts w:hint="default" w:ascii="Times New Roman" w:hAnsi="Times New Roman" w:cs="Times New Roman"/>
          <w:lang w:val="pt-BR"/>
        </w:rPr>
        <w:fldChar w:fldCharType="end"/>
      </w:r>
      <w:r>
        <w:rPr>
          <w:rFonts w:hint="default" w:ascii="Times New Roman" w:hAnsi="Times New Roman" w:cs="Times New Roman"/>
        </w:rPr>
        <w:t xml:space="preserve">. Além disso, a flexão plantar do tornozelo ('ponta de pé') será extraída a partir dos marcadores dos pés do protocolo </w:t>
      </w:r>
      <w:r>
        <w:rPr>
          <w:rFonts w:hint="default" w:ascii="Times New Roman" w:hAnsi="Times New Roman" w:cs="Times New Roman"/>
          <w:i/>
          <w:iCs/>
        </w:rPr>
        <w:t xml:space="preserve">Plug-in Gait </w:t>
      </w:r>
      <w:r>
        <w:rPr>
          <w:rFonts w:hint="default" w:ascii="Times New Roman" w:hAnsi="Times New Roman" w:cs="Times New Roman"/>
          <w:i/>
          <w:iCs/>
        </w:rPr>
        <w:fldChar w:fldCharType="begin"/>
      </w:r>
      <w:r>
        <w:rPr>
          <w:rFonts w:hint="default" w:ascii="Times New Roman" w:hAnsi="Times New Roman" w:cs="Times New Roman"/>
          <w:i/>
          <w:iCs/>
          <w:lang w:val="pt-BR"/>
        </w:rPr>
        <w: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rFonts w:hint="default" w:ascii="Times New Roman" w:hAnsi="Times New Roman" w:cs="Times New Roman"/>
          <w:i/>
          <w:iCs/>
        </w:rPr>
        <w:fldChar w:fldCharType="separate"/>
      </w:r>
      <w:r>
        <w:rPr>
          <w:rFonts w:hint="default" w:ascii="Times New Roman" w:hAnsi="Times New Roman" w:cs="Times New Roman"/>
          <w:i/>
          <w:iCs/>
          <w:lang w:val="pt-BR"/>
        </w:rPr>
        <w:t>[61]</w:t>
      </w:r>
      <w:r>
        <w:rPr>
          <w:rFonts w:hint="default" w:ascii="Times New Roman" w:hAnsi="Times New Roman" w:cs="Times New Roman"/>
          <w:i/>
          <w:iCs/>
        </w:rPr>
        <w:fldChar w:fldCharType="end"/>
      </w:r>
      <w:r>
        <w:rPr>
          <w:rFonts w:hint="default" w:ascii="Times New Roman" w:hAnsi="Times New Roman" w:cs="Times New Roman"/>
        </w:rPr>
        <w:t>, permitindo avaliar se a rigidez da cadeia dos membros inferiores contribui para a estabilidade na postura invertida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[28], [31]</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648B149D">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eastAsia="SimSun" w:cs="Times New Roman"/>
          <w:sz w:val="24"/>
          <w:szCs w:val="24"/>
          <w:lang w:val="pt-BR"/>
        </w:rPr>
        <w:t xml:space="preserve">3.5.1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sz w:val="24"/>
          <w:szCs w:val="24"/>
          <w:lang w:val="pt-BR"/>
        </w:rPr>
        <w:t>HS</w:t>
      </w:r>
    </w:p>
    <w:p w14:paraId="7B83C27E">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análise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os modelos preditivos 1 a 5 utilizarão como variável dependente o tempo de sustentação extraído exclusivamente do bloco de tentativas com entrada assistida. Esta decisão metodológica tem o propósito de isolar o controle postural da habilidade coordenativa de ascensão (</w:t>
      </w:r>
      <w:r>
        <w:rPr>
          <w:rFonts w:hint="default" w:ascii="Times New Roman" w:hAnsi="Times New Roman" w:eastAsia="Times New Roman" w:cs="Times New Roman"/>
          <w:i/>
          <w:iCs/>
        </w:rPr>
        <w:t>kick-up</w:t>
      </w:r>
      <w:r>
        <w:rPr>
          <w:rFonts w:hint="default" w:ascii="Times New Roman" w:hAnsi="Times New Roman" w:eastAsia="Times New Roman" w:cs="Times New Roman"/>
        </w:rPr>
        <w:t>)</w:t>
      </w:r>
      <w:r>
        <w:rPr>
          <w:rFonts w:hint="default" w:ascii="Times New Roman" w:hAnsi="Times New Roman" w:eastAsia="Times New Roman" w:cs="Times New Roman"/>
          <w:lang w:val="pt-BR"/>
        </w:rPr>
        <w:t xml:space="preserve"> e busca autonoma pelo equilíbrio</w:t>
      </w:r>
      <w:r>
        <w:rPr>
          <w:rFonts w:hint="default" w:ascii="Times New Roman" w:hAnsi="Times New Roman" w:eastAsia="Times New Roman" w:cs="Times New Roman"/>
        </w:rPr>
        <w:t xml:space="preserve">. A habilidade de ascensão exige uma coordenação sensório-motora distinta da mera manutenção do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sendo caracterizada pela necessidade de gerar momento angular suficiente para elevar o CoM, freando-o precisamente no ponto de instabilidade vertical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Assim sendo, para o tempo de sustentação</w:t>
      </w:r>
      <w:r>
        <w:rPr>
          <w:rFonts w:hint="default" w:ascii="Times New Roman" w:hAnsi="Times New Roman" w:cs="Times New Roman"/>
          <w:lang w:val="pt-BR"/>
        </w:rPr>
        <w:t xml:space="preserve"> (s)</w:t>
      </w:r>
      <w:r>
        <w:rPr>
          <w:rFonts w:hint="default" w:ascii="Times New Roman" w:hAnsi="Times New Roman" w:cs="Times New Roman"/>
        </w:rPr>
        <w:t xml:space="preserve"> no </w:t>
      </w:r>
      <w:r>
        <w:rPr>
          <w:rFonts w:hint="default" w:ascii="Times New Roman" w:hAnsi="Times New Roman" w:cs="Times New Roman"/>
          <w:i/>
          <w:iCs/>
        </w:rPr>
        <w:t>HS</w:t>
      </w:r>
      <w:r>
        <w:rPr>
          <w:rFonts w:hint="default" w:ascii="Times New Roman" w:hAnsi="Times New Roman" w:cs="Times New Roman"/>
        </w:rPr>
        <w:t xml:space="preserve"> como variável dependente, serão testados os modelos abaixo:</w:t>
      </w:r>
    </w:p>
    <w:p w14:paraId="736D671E">
      <w:pPr>
        <w:pStyle w:val="5"/>
        <w:spacing w:before="0" w:line="360" w:lineRule="auto"/>
        <w:rPr>
          <w:rFonts w:hint="default" w:ascii="Times New Roman" w:hAnsi="Times New Roman" w:eastAsia="Times New Roman" w:cs="Times New Roman"/>
          <w:i w:val="0"/>
          <w:iCs w:val="0"/>
          <w:color w:val="auto"/>
          <w:u w:val="single"/>
        </w:rPr>
      </w:pPr>
      <w:r>
        <w:rPr>
          <w:rFonts w:hint="default"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eastAsia="SimSun" w:cs="Times New Roman"/>
          <w:sz w:val="24"/>
          <w:szCs w:val="24"/>
        </w:rPr>
        <w:t>Avalia a contribuição da força máxima e da resistência muscular específica sobre a capacidade de gerar torques articulares de sustentação e correção postural contínua</w:t>
      </w:r>
      <w:r>
        <w:rPr>
          <w:rFonts w:hint="default" w:ascii="Times New Roman" w:hAnsi="Times New Roman" w:cs="Times New Roman"/>
        </w:rPr>
        <w:t xml:space="preserve">. </w:t>
      </w:r>
    </w:p>
    <w:p w14:paraId="45AD166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1C41F1DF">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28E8BA2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Resistência em wall-supported HS (segundos).</w:t>
      </w:r>
    </w:p>
    <w:p w14:paraId="05838490">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do pico de torque dos flexores de punho relativo (N·m/kg)</w:t>
      </w:r>
    </w:p>
    <w:p w14:paraId="033B12B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da força de preensão manual relativa (kgf/kg).</w:t>
      </w:r>
    </w:p>
    <w:p w14:paraId="2326A4CA">
      <w:pPr>
        <w:pStyle w:val="5"/>
        <w:spacing w:before="0" w:line="360" w:lineRule="auto"/>
        <w:rPr>
          <w:rFonts w:hint="default" w:ascii="Times New Roman" w:hAnsi="Times New Roman" w:cs="Times New Roman"/>
          <w:i w:val="0"/>
          <w:iCs w:val="0"/>
          <w:color w:val="auto"/>
          <w:u w:val="single"/>
        </w:rPr>
      </w:pPr>
      <w:r>
        <w:rPr>
          <w:rFonts w:hint="default" w:ascii="Times New Roman" w:hAnsi="Times New Roman" w:cs="Times New Roman"/>
          <w:i w:val="0"/>
          <w:iCs w:val="0"/>
          <w:color w:val="auto"/>
          <w:u w:val="single"/>
        </w:rPr>
        <w:t xml:space="preserve">Modelo 2: Eficiência do Controle Postural </w:t>
      </w:r>
    </w:p>
    <w:p w14:paraId="4513D0C4">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precisão e a qualidade das correções neuromusculares na base de sustentação frente ao erro real do pêndulo invertido</w:t>
      </w:r>
      <w:r>
        <w:rPr>
          <w:rFonts w:hint="default" w:ascii="Times New Roman" w:hAnsi="Times New Roman" w:eastAsia="SimSun" w:cs="Times New Roman"/>
          <w:sz w:val="24"/>
          <w:szCs w:val="24"/>
          <w:lang w:val="pt-BR"/>
        </w:rPr>
        <w:t>.</w:t>
      </w:r>
    </w:p>
    <w:p w14:paraId="5865D9B6">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565E00E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Distância média CoP-CoM (milímetros).</w:t>
      </w:r>
    </w:p>
    <w:p w14:paraId="151835B3">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Velocidade média do CoP (milímetros/segundo)</w:t>
      </w:r>
    </w:p>
    <w:p w14:paraId="6F55A815">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Entropia Aproximada (unidades arbitrárias).</w:t>
      </w:r>
    </w:p>
    <w:p w14:paraId="14274E51">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3: Técnica</w:t>
      </w:r>
    </w:p>
    <w:p w14:paraId="37BFFD7B">
      <w:pPr>
        <w:pStyle w:val="11"/>
        <w:spacing w:before="0" w:beforeAutospacing="0" w:after="0" w:afterAutospacing="0" w:line="360" w:lineRule="auto"/>
        <w:ind w:firstLine="708"/>
        <w:rPr>
          <w:rFonts w:hint="default" w:ascii="Times New Roman" w:hAnsi="Times New Roman" w:cs="Times New Roman"/>
          <w:lang w:val="pt-BR"/>
        </w:rPr>
      </w:pPr>
      <w:r>
        <w:rPr>
          <w:rFonts w:hint="default" w:ascii="Times New Roman" w:hAnsi="Times New Roman" w:cs="Times New Roman"/>
        </w:rPr>
        <w:t>Testa como a conformação segmentar e a geometria da base de apoio influenciam a estabilidade e a economia mecânica da postura</w:t>
      </w:r>
      <w:r>
        <w:rPr>
          <w:rFonts w:hint="default" w:ascii="Times New Roman" w:hAnsi="Times New Roman" w:cs="Times New Roman"/>
          <w:lang w:val="pt-BR"/>
        </w:rPr>
        <w:t>.</w:t>
      </w:r>
    </w:p>
    <w:p w14:paraId="30763D09">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431041E2">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61BC5D1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24CC52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2633412E">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497150B">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6E2C552F">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35CCD0A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0D6C8157">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06EF2A8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839BF4C">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4085B94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Times New Roman" w:cs="Times New Roman"/>
          <w:sz w:val="24"/>
          <w:szCs w:val="24"/>
          <w:lang w:val="pt-BR" w:eastAsia="pt-BR" w:bidi="ar-SA"/>
        </w:rPr>
        <w:t>Volume de Prática Acumulada</w:t>
      </w:r>
      <w:r>
        <w:rPr>
          <w:rFonts w:hint="default" w:ascii="Times New Roman" w:hAnsi="Times New Roman" w:cs="Times New Roman"/>
        </w:rPr>
        <w:t xml:space="preserve"> (</w:t>
      </w:r>
      <w:r>
        <w:rPr>
          <w:rFonts w:hint="default" w:ascii="Times New Roman" w:hAnsi="Times New Roman" w:cs="Times New Roman"/>
          <w:lang w:val="pt-BR"/>
        </w:rPr>
        <w:t>horas</w:t>
      </w:r>
      <w:r>
        <w:rPr>
          <w:rFonts w:hint="default" w:ascii="Times New Roman" w:hAnsi="Times New Roman" w:cs="Times New Roman"/>
        </w:rPr>
        <w:t>).</w:t>
      </w:r>
    </w:p>
    <w:p w14:paraId="6522353B">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p>
    <w:p w14:paraId="50AA2C06">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Autonomia de Estabilização </w:t>
      </w:r>
    </w:p>
    <w:p w14:paraId="74371808">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Este modelo avalia os fatores determinantes para a capacidade do praticante de realizar a entrada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de forma autônoma e atingir a fase de estabilização sem auxílio externo, considerando nível de força de membros superiores, proficiência intrínseca no controle postural (medida previamente no bloco assistido) ou tempo de prática acumulada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{"citationID":"OEBC5iKX","properties":{"unsorted":false,"formattedCitation":"[9], [26]","plainCitation":"[9], [26]","noteIndex":0},"citationItems":[{"id":300,"uris":["http://zotero.org/users/17274952/items/GA9H6F87"],"itemData":{"id":300,"type":"article-journal","abstract":"The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[9], [26]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w:t>
      </w:r>
    </w:p>
    <w:p w14:paraId="098FC700">
      <w:pPr>
        <w:suppressAutoHyphens w:val="0"/>
        <w:spacing w:line="360" w:lineRule="auto"/>
        <w:ind w:firstLine="708"/>
        <w:jc w:val="left"/>
        <w:rPr>
          <w:rFonts w:hint="default" w:ascii="Times New Roman" w:hAnsi="Times New Roman" w:eastAsia="Times New Roman" w:cs="Times New Roman"/>
          <w:color w:val="101010"/>
        </w:rPr>
      </w:pPr>
      <w:r>
        <w:rPr>
          <w:rFonts w:hint="default" w:ascii="Times New Roman" w:hAnsi="Times New Roman" w:eastAsia="Times New Roman" w:cs="Times New Roman"/>
          <w:b/>
          <w:bCs/>
          <w:color w:val="101010"/>
        </w:rPr>
        <w:t>Variáveis:</w:t>
      </w:r>
    </w:p>
    <w:p w14:paraId="6BD1F3E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Força relativa no SP (1-RM / massa corporal).</w:t>
      </w:r>
    </w:p>
    <w:p w14:paraId="7087123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Tempo médio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Assistido (segundos).</w:t>
      </w:r>
    </w:p>
    <w:p w14:paraId="08D31A28">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Tempo de prática (meses).</w:t>
      </w:r>
    </w:p>
    <w:p w14:paraId="49F82710">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eastAsia="SimSun" w:cs="Times New Roman"/>
          <w:sz w:val="24"/>
          <w:szCs w:val="24"/>
          <w:lang w:val="pt-BR"/>
        </w:rPr>
        <w:t xml:space="preserve">3.5.2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i/>
          <w:iCs/>
          <w:sz w:val="24"/>
          <w:szCs w:val="24"/>
          <w:lang w:val="pt-BR"/>
        </w:rPr>
        <w:t>HSW</w:t>
      </w:r>
    </w:p>
    <w:p w14:paraId="18F4D991">
      <w:pPr>
        <w:spacing w:line="360" w:lineRule="auto"/>
        <w:ind w:firstLine="708" w:firstLineChars="0"/>
        <w:rPr>
          <w:rFonts w:hint="default" w:ascii="Times New Roman" w:hAnsi="Times New Roman" w:eastAsia="Times New Roman" w:cs="Times New Roman"/>
        </w:rPr>
      </w:pPr>
      <w:r>
        <w:rPr>
          <w:rFonts w:hint="default" w:ascii="Times New Roman" w:hAnsi="Times New Roman" w:eastAsia="SimSun" w:cs="Times New Roman"/>
          <w:sz w:val="24"/>
          <w:szCs w:val="24"/>
        </w:rPr>
        <w:t xml:space="preserve">Para os modelos de regressão do HSW, a variável dependente será a </w:t>
      </w:r>
      <w:r>
        <w:rPr>
          <w:rFonts w:hint="default" w:ascii="Times New Roman" w:hAnsi="Times New Roman" w:eastAsia="SimSun" w:cs="Times New Roman"/>
          <w:b w:val="0"/>
          <w:bCs w:val="0"/>
          <w:sz w:val="24"/>
          <w:szCs w:val="24"/>
        </w:rPr>
        <w:t>mediana da distância linear percorrida (m),</w:t>
      </w:r>
      <w:r>
        <w:rPr>
          <w:rFonts w:hint="default" w:ascii="Times New Roman" w:hAnsi="Times New Roman" w:eastAsia="SimSun" w:cs="Times New Roman"/>
          <w:sz w:val="24"/>
          <w:szCs w:val="24"/>
        </w:rPr>
        <w:t xml:space="preserve"> adotada por sua robustez frente a quedas prematuras ou tentativas extremas isoladas</w:t>
      </w:r>
      <w:r>
        <w:rPr>
          <w:rFonts w:hint="default" w:ascii="Times New Roman" w:hAnsi="Times New Roman" w:eastAsia="Times New Roman" w:cs="Times New Roman"/>
        </w:rPr>
        <w:t>:</w:t>
      </w:r>
    </w:p>
    <w:p w14:paraId="45C30B0E">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371DEA52">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11B30EEE">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Resistência em </w:t>
      </w:r>
      <w:r>
        <w:rPr>
          <w:rFonts w:hint="default" w:ascii="Times New Roman" w:hAnsi="Times New Roman" w:cs="Times New Roman"/>
          <w:i/>
          <w:iCs/>
        </w:rPr>
        <w:t>wall-supported HS</w:t>
      </w:r>
      <w:r>
        <w:rPr>
          <w:rFonts w:hint="default" w:ascii="Times New Roman" w:hAnsi="Times New Roman" w:cs="Times New Roman"/>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Índice de Simetria de Membros nos flexores de punho (%)</w:t>
      </w:r>
    </w:p>
    <w:p w14:paraId="10CEEF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w:t>
      </w:r>
      <w:r>
        <w:rPr>
          <w:rFonts w:hint="default" w:ascii="Times New Roman" w:hAnsi="Times New Roman" w:eastAsia="SimSun" w:cs="Times New Roman"/>
          <w:sz w:val="24"/>
          <w:szCs w:val="24"/>
        </w:rPr>
        <w:t>erifica se a consistência espaço-temporal das passadas e o equilíbrio de força bilateral determinam o alcance da marcha invertida.</w:t>
      </w:r>
    </w:p>
    <w:p w14:paraId="2ED5414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eastAsia="SimSun" w:cs="Times New Roman"/>
          <w:sz w:val="24"/>
          <w:szCs w:val="24"/>
        </w:rPr>
        <w:t xml:space="preserve"> </w:t>
      </w:r>
      <w:r>
        <w:rPr>
          <w:rFonts w:hint="default" w:ascii="Times New Roman" w:hAnsi="Times New Roman" w:cs="Times New Roman"/>
          <w:b/>
          <w:bCs/>
        </w:rPr>
        <w:t>Variáveis:</w:t>
      </w:r>
    </w:p>
    <w:p w14:paraId="03980F35">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Espacial: coeficiente de variação do comprimento das passadas (%).</w:t>
      </w:r>
    </w:p>
    <w:p w14:paraId="7B8C12C8">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Temporal: Coeficiente de variação do tempo entre passadas (%).</w:t>
      </w:r>
    </w:p>
    <w:p w14:paraId="47B97B24">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médio das passadas (Milímetros).</w:t>
      </w:r>
    </w:p>
    <w:p w14:paraId="31B5F0EA">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Cadência: passos por segundo (passos/s).</w:t>
      </w:r>
    </w:p>
    <w:p w14:paraId="2BE916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eastAsia="SimSun" w:cs="Times New Roman"/>
          <w:sz w:val="24"/>
          <w:szCs w:val="24"/>
        </w:rPr>
        <w:t>Testa como o alinhamento corporal médio e a rotação das mãos modulam a progressão linear do centro de gravidade</w:t>
      </w:r>
      <w:r>
        <w:rPr>
          <w:rFonts w:hint="default" w:ascii="Times New Roman" w:hAnsi="Times New Roman" w:cs="Times New Roman"/>
        </w:rPr>
        <w:t>.</w:t>
      </w:r>
    </w:p>
    <w:p w14:paraId="50125B6D">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6B4A458D">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1B5B3413">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4E98E81">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5B8356CF">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13A5004">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Investiga se a proficiência no equilíbrio estático e a regularidade do sinal estabilométrico transferem-se diretamente para a capacidade locomotora</w:t>
      </w:r>
      <w:r>
        <w:rPr>
          <w:rFonts w:hint="default" w:ascii="Times New Roman" w:hAnsi="Times New Roman" w:eastAsia="SimSun" w:cs="Times New Roman"/>
          <w:sz w:val="24"/>
          <w:szCs w:val="24"/>
          <w:lang w:val="pt-BR"/>
        </w:rPr>
        <w:t>.</w:t>
      </w:r>
    </w:p>
    <w:p w14:paraId="6FC56255">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038C32E9">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Tempo médio de sustentação no </w:t>
      </w:r>
      <w:r>
        <w:rPr>
          <w:rFonts w:hint="default" w:ascii="Times New Roman" w:hAnsi="Times New Roman" w:cs="Times New Roman"/>
          <w:i/>
          <w:iCs/>
        </w:rPr>
        <w:t>HS</w:t>
      </w:r>
      <w:r>
        <w:rPr>
          <w:rFonts w:hint="default" w:ascii="Times New Roman" w:hAnsi="Times New Roman" w:cs="Times New Roman"/>
        </w:rPr>
        <w:t xml:space="preserve"> (segundos).</w:t>
      </w:r>
    </w:p>
    <w:p w14:paraId="3489CFB0">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ApEn no </w:t>
      </w:r>
      <w:r>
        <w:rPr>
          <w:rFonts w:hint="default" w:ascii="Times New Roman" w:hAnsi="Times New Roman" w:cs="Times New Roman"/>
          <w:i/>
          <w:iCs/>
        </w:rPr>
        <w:t>HS</w:t>
      </w:r>
      <w:r>
        <w:rPr>
          <w:rFonts w:hint="default" w:ascii="Times New Roman" w:hAnsi="Times New Roman" w:cs="Times New Roman"/>
        </w:rPr>
        <w:t xml:space="preserve"> (unidades arbitrárias).</w:t>
      </w:r>
    </w:p>
    <w:p w14:paraId="47B22A0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influência das proporções anatômicas e da composição corporal sobre o custo mecânico da locomoção</w:t>
      </w:r>
      <w:r>
        <w:rPr>
          <w:rFonts w:hint="default" w:ascii="Times New Roman" w:hAnsi="Times New Roman" w:eastAsia="SimSun" w:cs="Times New Roman"/>
          <w:sz w:val="24"/>
          <w:szCs w:val="24"/>
          <w:lang w:val="pt-BR"/>
        </w:rPr>
        <w:t>.</w:t>
      </w:r>
    </w:p>
    <w:p w14:paraId="1DB74D72">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1C22DF90">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00E7664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484BE99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234D355A">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5F171E0">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Determina a contribuição relativa da experiência prática acumulada em horas frente à idade cronológica no deslocamento dinâmico</w:t>
      </w:r>
      <w:r>
        <w:rPr>
          <w:rFonts w:hint="default" w:ascii="Times New Roman" w:hAnsi="Times New Roman" w:eastAsia="SimSun" w:cs="Times New Roman"/>
          <w:sz w:val="24"/>
          <w:szCs w:val="24"/>
          <w:lang w:val="pt-BR"/>
        </w:rPr>
        <w:t>.</w:t>
      </w:r>
    </w:p>
    <w:p w14:paraId="3BF79D29">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Volume de Prática Acumulada (horas totais estimadas)</w:t>
      </w:r>
      <w:r>
        <w:rPr>
          <w:rFonts w:hint="default" w:ascii="Times New Roman" w:hAnsi="Times New Roman" w:cs="Times New Roman"/>
        </w:rPr>
        <w:t>.</w:t>
      </w:r>
    </w:p>
    <w:p w14:paraId="479865AE">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r>
        <w:rPr>
          <w:rFonts w:hint="default" w:ascii="Times New Roman" w:hAnsi="Times New Roman" w:cs="Times New Roman"/>
          <w:lang w:val="pt-BR"/>
        </w:rPr>
        <w:t>.</w:t>
      </w:r>
    </w:p>
    <w:p w14:paraId="68677DB7">
      <w:pPr>
        <w:pStyle w:val="11"/>
        <w:spacing w:before="0" w:beforeAutospacing="0" w:after="0" w:afterAutospacing="0" w:line="360" w:lineRule="auto"/>
        <w:ind w:firstLine="1064" w:firstLineChars="0"/>
        <w:jc w:val="both"/>
        <w:rPr>
          <w:rFonts w:hint="default" w:ascii="Times New Roman" w:hAnsi="Times New Roman" w:cs="Times New Roman"/>
          <w:i/>
          <w:iCs/>
        </w:rPr>
      </w:pPr>
      <w:r>
        <w:rPr>
          <w:rFonts w:hint="default" w:ascii="Times New Roman" w:hAnsi="Times New Roman" w:cs="Times New Roman"/>
        </w:rP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Pr>
          <w:rFonts w:hint="default" w:ascii="Times New Roman" w:hAnsi="Times New Roman" w:cs="Times New Roman"/>
          <w:i/>
          <w:iCs/>
        </w:rPr>
        <w:t>CrossFit</w:t>
      </w:r>
      <w:r>
        <w:rPr>
          <w:rFonts w:hint="default" w:ascii="Times New Roman" w:hAnsi="Times New Roman" w:cs="Times New Roman"/>
        </w:rPr>
        <w:t xml:space="preserve"> vs.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rFonts w:hint="default" w:ascii="Times New Roman" w:hAnsi="Times New Roman" w:cs="Times New Roman"/>
          <w:i/>
          <w:iCs/>
        </w:rPr>
        <w:t>HSW.</w:t>
      </w:r>
    </w:p>
    <w:p w14:paraId="1608FB77">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cs="Times New Roman"/>
          <w:lang w:val="pt-BR"/>
        </w:rPr>
        <w:t xml:space="preserve">3.5.3 </w:t>
      </w:r>
      <w:r>
        <w:rPr>
          <w:rFonts w:hint="default" w:ascii="Times New Roman" w:hAnsi="Times New Roman" w:eastAsia="SimSun" w:cs="Times New Roman"/>
          <w:sz w:val="24"/>
          <w:szCs w:val="24"/>
        </w:rPr>
        <w:t>Seleção de Preditores e Modelo Final Consolidado</w:t>
      </w:r>
    </w:p>
    <w:p w14:paraId="1BD00213">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4    CRONOGRAMA DE ATIVIDADES</w:t>
      </w:r>
    </w:p>
    <w:p w14:paraId="5254D9CC">
      <w:pPr>
        <w:spacing w:line="360" w:lineRule="auto"/>
        <w:ind w:firstLine="720"/>
        <w:rPr>
          <w:rFonts w:hint="default" w:ascii="Times New Roman" w:hAnsi="Times New Roman" w:eastAsia="Times New Roman" w:cs="Times New Roman"/>
          <w:b/>
          <w:shd w:val="clear" w:color="auto" w:fill="FFFF00"/>
        </w:rPr>
      </w:pPr>
      <w:r>
        <w:rPr>
          <w:rFonts w:hint="default"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ao Comitê de ética em Pesquisa</w:t>
            </w:r>
          </w:p>
          <w:p w14:paraId="011EDE1E">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183BE53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45E57F74">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Testes piloto</w:t>
            </w:r>
          </w:p>
          <w:p w14:paraId="1057591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Realização das sessões de avaliação</w:t>
            </w:r>
          </w:p>
          <w:p w14:paraId="781D7777">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372E5EA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da dissertação</w:t>
            </w:r>
          </w:p>
          <w:p w14:paraId="08F10788">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de artigos científicos</w:t>
            </w:r>
          </w:p>
          <w:p w14:paraId="21BA92FF">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de trabalhos científicos</w:t>
            </w:r>
          </w:p>
        </w:tc>
      </w:tr>
    </w:tbl>
    <w:p w14:paraId="51D39C2F">
      <w:pPr>
        <w:pStyle w:val="18"/>
        <w:spacing w:line="360" w:lineRule="auto"/>
        <w:rPr>
          <w:rFonts w:hint="default" w:ascii="Times New Roman" w:hAnsi="Times New Roman" w:eastAsia="Times New Roman" w:cs="Times New Roman"/>
          <w:lang w:val="en-US"/>
        </w:rPr>
      </w:pPr>
    </w:p>
    <w:p w14:paraId="29248428">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5   REFERÊNCIAS BIBLIOGRÁFICAS</w:t>
      </w:r>
    </w:p>
    <w:p w14:paraId="7AF837A1">
      <w:pPr>
        <w:pStyle w:val="18"/>
        <w:spacing w:line="360" w:lineRule="auto"/>
        <w:rPr>
          <w:rFonts w:hint="default" w:ascii="Times New Roman" w:hAnsi="Times New Roman" w:eastAsia="Times New Roman" w:cs="Times New Roman"/>
          <w:lang w:val="en-US"/>
        </w:rPr>
      </w:pPr>
    </w:p>
    <w:p w14:paraId="60D825FE">
      <w:pPr>
        <w:tabs>
          <w:tab w:val="left" w:pos="0"/>
        </w:tabs>
        <w:spacing w:after="0" w:line="240" w:lineRule="auto"/>
        <w:ind w:left="504" w:hanging="504"/>
        <w:rPr>
          <w:rFonts w:hint="default" w:ascii="Times New Roman" w:hAnsi="Times New Roman" w:cs="Times New Roman"/>
          <w:lang w:val="pt-BR"/>
        </w:rPr>
      </w:pPr>
      <w:r>
        <w:rPr>
          <w:rFonts w:hint="default" w:ascii="Times New Roman" w:hAnsi="Times New Roman" w:eastAsia="Times New Roman" w:cs="Times New Roman"/>
          <w:szCs w:val="23"/>
          <w:lang w:val="en-US"/>
        </w:rPr>
        <w:fldChar w:fldCharType="begin"/>
      </w:r>
      <w:r>
        <w:rPr>
          <w:rFonts w:hint="default" w:ascii="Times New Roman" w:hAnsi="Times New Roman" w:eastAsia="Times New Roman" w:cs="Times New Roman"/>
          <w:szCs w:val="23"/>
          <w:lang w:val="en-US"/>
        </w:rPr>
        <w:instrText xml:space="preserve"> ADDIN ZOTERO_BIBL {"uncited":[],"omitted":[],"custom":[]} CSL_BIBLIOGRAPHY </w:instrText>
      </w:r>
      <w:r>
        <w:rPr>
          <w:rFonts w:hint="default" w:ascii="Times New Roman" w:hAnsi="Times New Roman" w:eastAsia="Times New Roman" w:cs="Times New Roman"/>
          <w:szCs w:val="23"/>
          <w:lang w:val="en-US"/>
        </w:rPr>
        <w:fldChar w:fldCharType="separate"/>
      </w:r>
      <w:r>
        <w:rPr>
          <w:rFonts w:hint="default" w:ascii="Times New Roman" w:hAnsi="Times New Roman" w:cs="Times New Roman"/>
          <w:lang w:val="pt-BR"/>
        </w:rPr>
        <w:t>[1]</w:t>
      </w:r>
      <w:r>
        <w:rPr>
          <w:rFonts w:hint="default" w:ascii="Times New Roman" w:hAnsi="Times New Roman" w:cs="Times New Roman"/>
          <w:lang w:val="pt-BR"/>
        </w:rPr>
        <w:tab/>
        <w:t xml:space="preserve">R. Malíř, J. Chrudimský, A. Provazník, e V. Třebický, “Are the shoulder joint function, stability, and mobility tests predictive of handstand execution?”, </w:t>
      </w:r>
      <w:r>
        <w:rPr>
          <w:rFonts w:hint="default" w:ascii="Times New Roman" w:hAnsi="Times New Roman" w:cs="Times New Roman"/>
          <w:i/>
          <w:lang w:val="pt-BR"/>
        </w:rPr>
        <w:t>PLOS ONE</w:t>
      </w:r>
      <w:r>
        <w:rPr>
          <w:rFonts w:hint="default" w:ascii="Times New Roman" w:hAnsi="Times New Roman" w:cs="Times New Roman"/>
          <w:lang w:val="pt-BR"/>
        </w:rPr>
        <w:t>, v. 19, n. 5, p. e0302922, maio 2024, doi: 10.1371/journal.pone.0302922.</w:t>
      </w:r>
    </w:p>
    <w:p w14:paraId="3996DF2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w:t>
      </w:r>
      <w:r>
        <w:rPr>
          <w:rFonts w:hint="default" w:ascii="Times New Roman" w:hAnsi="Times New Roman" w:eastAsia="Times New Roman" w:cs="Times New Roman"/>
          <w:sz w:val="23"/>
          <w:szCs w:val="23"/>
          <w:lang w:val="pt-BR"/>
        </w:rPr>
        <w:tab/>
        <w:t xml:space="preserve">J. Rohleder e T. Vogt, “Performance control in handstands: challenging entrenched coaching strategies for young gymnasts”, </w:t>
      </w:r>
      <w:r>
        <w:rPr>
          <w:rFonts w:hint="default" w:ascii="Times New Roman" w:hAnsi="Times New Roman" w:eastAsia="Times New Roman" w:cs="Times New Roman"/>
          <w:i/>
          <w:sz w:val="23"/>
          <w:szCs w:val="23"/>
          <w:lang w:val="pt-BR"/>
        </w:rPr>
        <w:t>Int. J. Perform. Anal. Sport</w:t>
      </w:r>
      <w:r>
        <w:rPr>
          <w:rFonts w:hint="default" w:ascii="Times New Roman" w:hAnsi="Times New Roman" w:eastAsia="Times New Roman" w:cs="Times New Roman"/>
          <w:sz w:val="23"/>
          <w:szCs w:val="23"/>
          <w:lang w:val="pt-BR"/>
        </w:rPr>
        <w:t>, v. 18, n. 1, p. 17–31, jan. 2018, doi: 10.1080/24748668.2018.1440459.</w:t>
      </w:r>
    </w:p>
    <w:p w14:paraId="27E02AA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w:t>
      </w:r>
      <w:r>
        <w:rPr>
          <w:rFonts w:hint="default" w:ascii="Times New Roman" w:hAnsi="Times New Roman" w:eastAsia="Times New Roman" w:cs="Times New Roman"/>
          <w:sz w:val="23"/>
          <w:szCs w:val="23"/>
          <w:lang w:val="pt-BR"/>
        </w:rPr>
        <w:tab/>
        <w:t xml:space="preserve">D. G. Kerwin e G. Trewartha, “Strategies for maintaining a handstand in the anterior-posterior direction”:, </w:t>
      </w:r>
      <w:r>
        <w:rPr>
          <w:rFonts w:hint="default" w:ascii="Times New Roman" w:hAnsi="Times New Roman" w:eastAsia="Times New Roman" w:cs="Times New Roman"/>
          <w:i/>
          <w:sz w:val="23"/>
          <w:szCs w:val="23"/>
          <w:lang w:val="pt-BR"/>
        </w:rPr>
        <w:t>Med. Sci. Sports Exerc.</w:t>
      </w:r>
      <w:r>
        <w:rPr>
          <w:rFonts w:hint="default" w:ascii="Times New Roman" w:hAnsi="Times New Roman" w:eastAsia="Times New Roman" w:cs="Times New Roman"/>
          <w:sz w:val="23"/>
          <w:szCs w:val="23"/>
          <w:lang w:val="pt-BR"/>
        </w:rPr>
        <w:t>, v. 33, n. 7, p. 1182–1188, jul. 2001, doi: 10.1097/00005768-200107000-00016.</w:t>
      </w:r>
    </w:p>
    <w:p w14:paraId="1C3A5FF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w:t>
      </w:r>
      <w:r>
        <w:rPr>
          <w:rFonts w:hint="default" w:ascii="Times New Roman" w:hAnsi="Times New Roman" w:eastAsia="Times New Roman" w:cs="Times New Roman"/>
          <w:sz w:val="23"/>
          <w:szCs w:val="23"/>
          <w:lang w:val="pt-BR"/>
        </w:rPr>
        <w:tab/>
        <w:t xml:space="preserve">H. E. Wyatt, D. Vicinanza, K. M. Newell, G. Irwin, e G. K. R. Williams, “Bidirectional causal control in the dynamics of handstand balance”, </w:t>
      </w:r>
      <w:r>
        <w:rPr>
          <w:rFonts w:hint="default" w:ascii="Times New Roman" w:hAnsi="Times New Roman" w:eastAsia="Times New Roman" w:cs="Times New Roman"/>
          <w:i/>
          <w:sz w:val="23"/>
          <w:szCs w:val="23"/>
          <w:lang w:val="pt-BR"/>
        </w:rPr>
        <w:t>Sci. Rep.</w:t>
      </w:r>
      <w:r>
        <w:rPr>
          <w:rFonts w:hint="default" w:ascii="Times New Roman" w:hAnsi="Times New Roman" w:eastAsia="Times New Roman" w:cs="Times New Roman"/>
          <w:sz w:val="23"/>
          <w:szCs w:val="23"/>
          <w:lang w:val="pt-BR"/>
        </w:rPr>
        <w:t>, v. 11, n. 1, p. 405, jan. 2021, doi: 10.1038/s41598-020-79730-z.</w:t>
      </w:r>
    </w:p>
    <w:p w14:paraId="43AB099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w:t>
      </w:r>
      <w:r>
        <w:rPr>
          <w:rFonts w:hint="default" w:ascii="Times New Roman" w:hAnsi="Times New Roman" w:eastAsia="Times New Roman" w:cs="Times New Roman"/>
          <w:sz w:val="23"/>
          <w:szCs w:val="23"/>
          <w:lang w:val="pt-BR"/>
        </w:rPr>
        <w:tab/>
        <w:t xml:space="preserve">M. Pryhoda, K. M. Newell, C. Wilson, e G. Irwin, “Task Specific and General Patterns of Joint Motion Variability in Upright- and Hand-Standing Postures”, </w:t>
      </w:r>
      <w:r>
        <w:rPr>
          <w:rFonts w:hint="default" w:ascii="Times New Roman" w:hAnsi="Times New Roman" w:eastAsia="Times New Roman" w:cs="Times New Roman"/>
          <w:i/>
          <w:sz w:val="23"/>
          <w:szCs w:val="23"/>
          <w:lang w:val="pt-BR"/>
        </w:rPr>
        <w:t>Entropy</w:t>
      </w:r>
      <w:r>
        <w:rPr>
          <w:rFonts w:hint="default" w:ascii="Times New Roman" w:hAnsi="Times New Roman" w:eastAsia="Times New Roman" w:cs="Times New Roman"/>
          <w:sz w:val="23"/>
          <w:szCs w:val="23"/>
          <w:lang w:val="pt-BR"/>
        </w:rPr>
        <w:t>, v. 24, n. 7, p. 909, jun. 2022, doi: 10.3390/e24070909.</w:t>
      </w:r>
    </w:p>
    <w:p w14:paraId="7ADEA19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w:t>
      </w:r>
      <w:r>
        <w:rPr>
          <w:rFonts w:hint="default" w:ascii="Times New Roman" w:hAnsi="Times New Roman" w:eastAsia="Times New Roman" w:cs="Times New Roman"/>
          <w:sz w:val="23"/>
          <w:szCs w:val="23"/>
          <w:lang w:val="pt-BR"/>
        </w:rPr>
        <w:tab/>
        <w:t xml:space="preserve">A. Kochanowicz, B. Niespodziński, J. Mieszkowski, M. Marina, K. Kochanowicz, e M. Zasada, “Changes in the Muscle Activity of Gymnasts During a Handstand on Various Apparatus”, </w:t>
      </w:r>
      <w:r>
        <w:rPr>
          <w:rFonts w:hint="default" w:ascii="Times New Roman" w:hAnsi="Times New Roman" w:eastAsia="Times New Roman" w:cs="Times New Roman"/>
          <w:i/>
          <w:sz w:val="23"/>
          <w:szCs w:val="23"/>
          <w:lang w:val="pt-BR"/>
        </w:rPr>
        <w:t>J. Strength Cond. Res.</w:t>
      </w:r>
      <w:r>
        <w:rPr>
          <w:rFonts w:hint="default" w:ascii="Times New Roman" w:hAnsi="Times New Roman" w:eastAsia="Times New Roman" w:cs="Times New Roman"/>
          <w:sz w:val="23"/>
          <w:szCs w:val="23"/>
          <w:lang w:val="pt-BR"/>
        </w:rPr>
        <w:t>, v. 33, n. 6, p. 1609–1618, jun. 2019, doi: 10.1519/JSC.0000000000002124.</w:t>
      </w:r>
    </w:p>
    <w:p w14:paraId="6610A42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w:t>
      </w:r>
      <w:r>
        <w:rPr>
          <w:rFonts w:hint="default" w:ascii="Times New Roman" w:hAnsi="Times New Roman" w:eastAsia="Times New Roman" w:cs="Times New Roman"/>
          <w:sz w:val="23"/>
          <w:szCs w:val="23"/>
          <w:lang w:val="pt-BR"/>
        </w:rPr>
        <w:tab/>
        <w:t xml:space="preserve">G. M. Blenkinsop, M. T. G. Pain, e M. J. Hiley, “Balance control strategies during perturbed and unperturbed balance in standing and handstand”, </w:t>
      </w:r>
      <w:r>
        <w:rPr>
          <w:rFonts w:hint="default" w:ascii="Times New Roman" w:hAnsi="Times New Roman" w:eastAsia="Times New Roman" w:cs="Times New Roman"/>
          <w:i/>
          <w:sz w:val="23"/>
          <w:szCs w:val="23"/>
          <w:lang w:val="pt-BR"/>
        </w:rPr>
        <w:t>R. Soc. Open Sci.</w:t>
      </w:r>
      <w:r>
        <w:rPr>
          <w:rFonts w:hint="default" w:ascii="Times New Roman" w:hAnsi="Times New Roman" w:eastAsia="Times New Roman" w:cs="Times New Roman"/>
          <w:sz w:val="23"/>
          <w:szCs w:val="23"/>
          <w:lang w:val="pt-BR"/>
        </w:rPr>
        <w:t>, v. 4, n. 7, p. 161018, jul. 2017, doi: 10.1098/rsos.161018.</w:t>
      </w:r>
    </w:p>
    <w:p w14:paraId="66A0D00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[8]</w:t>
      </w:r>
      <w:r>
        <w:rPr>
          <w:rFonts w:hint="default" w:ascii="Times New Roman" w:hAnsi="Times New Roman" w:eastAsia="Times New Roman" w:cs="Times New Roman"/>
          <w:sz w:val="23"/>
          <w:szCs w:val="23"/>
          <w:lang w:val="pt-BR"/>
        </w:rPr>
        <w:tab/>
        <w:t>M. K. Pryhoda, K. M. Newell, e G. Irwin, “HANDSTAND BALANCE MOTOR CONTROL MECHANISMS”, 2021.</w:t>
      </w:r>
    </w:p>
    <w:p w14:paraId="6C6AAD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[9]</w:t>
      </w:r>
      <w:r>
        <w:rPr>
          <w:rFonts w:hint="default" w:ascii="Times New Roman" w:hAnsi="Times New Roman" w:eastAsia="Times New Roman" w:cs="Times New Roman"/>
          <w:sz w:val="23"/>
          <w:szCs w:val="23"/>
          <w:lang w:val="pt-BR"/>
        </w:rPr>
        <w:tab/>
        <w:t xml:space="preserve">J. Rohleder e T. Vogt, “EFFICACY OF WRIST STRATEGY COACHING ON HANDSTAND PERFORMANCES IN NOVICES: INVERTING EXPLICIT AND IMPLICIT LEARNING OF SKILL-RELATED MOTOR TASKS”,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11, n. 2, p. 209–222, jun. 2019, doi: 10.52165/sgj.11.2.209-222.</w:t>
      </w:r>
    </w:p>
    <w:p w14:paraId="5CD1C5F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[10]</w:t>
      </w:r>
      <w:r>
        <w:rPr>
          <w:rFonts w:hint="default" w:ascii="Times New Roman" w:hAnsi="Times New Roman" w:eastAsia="Times New Roman" w:cs="Times New Roman"/>
          <w:sz w:val="23"/>
          <w:szCs w:val="23"/>
          <w:lang w:val="pt-BR"/>
        </w:rPr>
        <w:tab/>
        <w:t xml:space="preserve">A. Kochanowicz, B. Niespodziński, M. Marina, J. Mieszkowski, L. Biskup, e K. Kochanowicz, “Relationship between postural control and muscle activity during a handstand in young and adult gymnasts”,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58, p. 195–204, abr. 2018, doi: 10.1016/j.humov.2018.02.007.</w:t>
      </w:r>
    </w:p>
    <w:p w14:paraId="61D40D0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[11]</w:t>
      </w:r>
      <w:r>
        <w:rPr>
          <w:rFonts w:hint="default" w:ascii="Times New Roman" w:hAnsi="Times New Roman" w:eastAsia="Times New Roman" w:cs="Times New Roman"/>
          <w:sz w:val="23"/>
          <w:szCs w:val="23"/>
          <w:lang w:val="pt-BR"/>
        </w:rPr>
        <w:tab/>
        <w:t>P. Hedbávný, J. Sklenaříková, D. Hupka, e M. Kalichová, “BALANCING IN HANDSTAND ON THE FLOOR”, v. 5, n. 3.</w:t>
      </w:r>
    </w:p>
    <w:p w14:paraId="2BCCEBF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[12]</w:t>
      </w:r>
      <w:r>
        <w:rPr>
          <w:rFonts w:hint="default" w:ascii="Times New Roman" w:hAnsi="Times New Roman" w:eastAsia="Times New Roman" w:cs="Times New Roman"/>
          <w:sz w:val="23"/>
          <w:szCs w:val="23"/>
          <w:lang w:val="pt-BR"/>
        </w:rPr>
        <w:tab/>
        <w:t xml:space="preserve">“Analyzing optimal muscle dynamics during handstands: a comprehensive investigation of skilled gymnasts”, </w:t>
      </w:r>
      <w:r>
        <w:rPr>
          <w:rFonts w:hint="default" w:ascii="Times New Roman" w:hAnsi="Times New Roman" w:eastAsia="Times New Roman" w:cs="Times New Roman"/>
          <w:i/>
          <w:sz w:val="23"/>
          <w:szCs w:val="23"/>
          <w:lang w:val="pt-BR"/>
        </w:rPr>
        <w:t>J. Phys. Educ. Sport</w:t>
      </w:r>
      <w:r>
        <w:rPr>
          <w:rFonts w:hint="default" w:ascii="Times New Roman" w:hAnsi="Times New Roman" w:eastAsia="Times New Roman" w:cs="Times New Roman"/>
          <w:sz w:val="23"/>
          <w:szCs w:val="23"/>
          <w:lang w:val="pt-BR"/>
        </w:rPr>
        <w:t>, v. 24, n. 4.</w:t>
      </w:r>
    </w:p>
    <w:p w14:paraId="70E406E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[13]</w:t>
      </w:r>
      <w:r>
        <w:rPr>
          <w:rFonts w:hint="default" w:ascii="Times New Roman" w:hAnsi="Times New Roman" w:eastAsia="Times New Roman" w:cs="Times New Roman"/>
          <w:sz w:val="23"/>
          <w:szCs w:val="23"/>
          <w:lang w:val="pt-BR"/>
        </w:rPr>
        <w:tab/>
        <w:t xml:space="preserve">P. S. B. Belčič, “Kinematic Analysis of handstands in gymnastics”, </w:t>
      </w:r>
      <w:r>
        <w:rPr>
          <w:rFonts w:hint="default" w:ascii="Times New Roman" w:hAnsi="Times New Roman" w:eastAsia="Times New Roman" w:cs="Times New Roman"/>
          <w:i/>
          <w:sz w:val="23"/>
          <w:szCs w:val="23"/>
          <w:lang w:val="pt-BR"/>
        </w:rPr>
        <w:t>Science of Gymnastics Journal</w:t>
      </w:r>
      <w:r>
        <w:rPr>
          <w:rFonts w:hint="default" w:ascii="Times New Roman" w:hAnsi="Times New Roman" w:eastAsia="Times New Roman" w:cs="Times New Roman"/>
          <w:sz w:val="23"/>
          <w:szCs w:val="23"/>
          <w:lang w:val="pt-BR"/>
        </w:rPr>
        <w:t>, v. 7, p. 19–30, 2015.</w:t>
      </w:r>
    </w:p>
    <w:p w14:paraId="711C23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[14]</w:t>
      </w:r>
      <w:r>
        <w:rPr>
          <w:rFonts w:hint="default" w:ascii="Times New Roman" w:hAnsi="Times New Roman" w:eastAsia="Times New Roman" w:cs="Times New Roman"/>
          <w:sz w:val="23"/>
          <w:szCs w:val="23"/>
          <w:lang w:val="pt-BR"/>
        </w:rPr>
        <w:tab/>
        <w:t xml:space="preserve">C. Eyssartier, P. Billard, P. Thoreux, e C. Sauret, “Spine Kinematics Behavior During the Handstand Posture: A Biplanar Radiographic Analysis”,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9, n. 4, p. 252, dez. 2024, doi: 10.3390/jfmk9040252.</w:t>
      </w:r>
    </w:p>
    <w:p w14:paraId="6DB412C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[15]</w:t>
      </w:r>
      <w:r>
        <w:rPr>
          <w:rFonts w:hint="default" w:ascii="Times New Roman" w:hAnsi="Times New Roman" w:eastAsia="Times New Roman" w:cs="Times New Roman"/>
          <w:sz w:val="23"/>
          <w:szCs w:val="23"/>
          <w:lang w:val="pt-BR"/>
        </w:rPr>
        <w:tab/>
        <w:t xml:space="preserve">M. McDonald, J. S. Baker, Y. Gu, e U. C. Ugbolue, “Biomechanical analyses of the handstand: a systematic review”, </w:t>
      </w:r>
      <w:r>
        <w:rPr>
          <w:rFonts w:hint="default" w:ascii="Times New Roman" w:hAnsi="Times New Roman" w:eastAsia="Times New Roman" w:cs="Times New Roman"/>
          <w:i/>
          <w:sz w:val="23"/>
          <w:szCs w:val="23"/>
          <w:lang w:val="pt-BR"/>
        </w:rPr>
        <w:t>Front. Sports Act. Living</w:t>
      </w:r>
      <w:r>
        <w:rPr>
          <w:rFonts w:hint="default" w:ascii="Times New Roman" w:hAnsi="Times New Roman" w:eastAsia="Times New Roman" w:cs="Times New Roman"/>
          <w:sz w:val="23"/>
          <w:szCs w:val="23"/>
          <w:lang w:val="pt-BR"/>
        </w:rPr>
        <w:t>, v. 7, p. 1694648, dez. 2025, doi: 10.3389/fspor.2025.1694648.</w:t>
      </w:r>
    </w:p>
    <w:p w14:paraId="6857143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[16]</w:t>
      </w:r>
      <w:r>
        <w:rPr>
          <w:rFonts w:hint="default" w:ascii="Times New Roman" w:hAnsi="Times New Roman" w:eastAsia="Times New Roman" w:cs="Times New Roman"/>
          <w:sz w:val="23"/>
          <w:szCs w:val="23"/>
          <w:lang w:val="pt-BR"/>
        </w:rPr>
        <w:tab/>
        <w:t xml:space="preserve">D. Milosis e T. Satras, “THE EFFECTIVENESS OF DIFFERENT HANDSTAND PLACEMENT TECHNIQUES IN HANDSTAND BALANCE CONTROL AND GENDER DIFFERENCESDSTAND BALANCE CONTROL AND GENDER DIFFERENCES”,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15, n. 3, p. 375–394, out. 2023, doi: 10.52165/sgj.15.3.375-394.</w:t>
      </w:r>
    </w:p>
    <w:p w14:paraId="63639AC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[17]</w:t>
      </w:r>
      <w:r>
        <w:rPr>
          <w:rFonts w:hint="default" w:ascii="Times New Roman" w:hAnsi="Times New Roman" w:eastAsia="Times New Roman" w:cs="Times New Roman"/>
          <w:sz w:val="23"/>
          <w:szCs w:val="23"/>
          <w:lang w:val="pt-BR"/>
        </w:rPr>
        <w:tab/>
        <w:t xml:space="preserve">R. Farana, P. Brtva, G. Irwin, e K. M. Newell, “Neck Angle in the Handstand Changes the Pattern of Multi-Joint Variability”, </w:t>
      </w:r>
      <w:r>
        <w:rPr>
          <w:rFonts w:hint="default" w:ascii="Times New Roman" w:hAnsi="Times New Roman" w:eastAsia="Times New Roman" w:cs="Times New Roman"/>
          <w:i/>
          <w:sz w:val="23"/>
          <w:szCs w:val="23"/>
          <w:lang w:val="pt-BR"/>
        </w:rPr>
        <w:t>J. Mot. Behav.</w:t>
      </w:r>
      <w:r>
        <w:rPr>
          <w:rFonts w:hint="default" w:ascii="Times New Roman" w:hAnsi="Times New Roman" w:eastAsia="Times New Roman" w:cs="Times New Roman"/>
          <w:sz w:val="23"/>
          <w:szCs w:val="23"/>
          <w:lang w:val="pt-BR"/>
        </w:rPr>
        <w:t>, v. 57, n. 6, p. 768–776, nov. 2025, doi: 10.1080/00222895.2025.2558711.</w:t>
      </w:r>
    </w:p>
    <w:p w14:paraId="2042948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[18]</w:t>
      </w:r>
      <w:r>
        <w:rPr>
          <w:rFonts w:hint="default" w:ascii="Times New Roman" w:hAnsi="Times New Roman" w:eastAsia="Times New Roman" w:cs="Times New Roman"/>
          <w:sz w:val="23"/>
          <w:szCs w:val="23"/>
          <w:lang w:val="pt-BR"/>
        </w:rPr>
        <w:tab/>
        <w:t xml:space="preserve">E. Thomas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“Evaluation of Posturographic and Neuromuscular Parameters during Upright Stance and Hand Standing: A Pilot Study”,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8, n. 2, p. 40, mar. 2023, doi: 10.3390/jfmk8020040.</w:t>
      </w:r>
    </w:p>
    <w:p w14:paraId="00E6478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[19]</w:t>
      </w:r>
      <w:r>
        <w:rPr>
          <w:rFonts w:hint="default" w:ascii="Times New Roman" w:hAnsi="Times New Roman" w:eastAsia="Times New Roman" w:cs="Times New Roman"/>
          <w:sz w:val="23"/>
          <w:szCs w:val="23"/>
          <w:lang w:val="pt-BR"/>
        </w:rPr>
        <w:tab/>
        <w:t xml:space="preserve">R. Sabido, F. García-Aguilar, C. Caballero, e F. J. Moreno, “How does fatigue affect handstand balance? a non-linear approach to study fatigue influence in handstand performance”, </w:t>
      </w:r>
      <w:r>
        <w:rPr>
          <w:rFonts w:hint="default" w:ascii="Times New Roman" w:hAnsi="Times New Roman" w:eastAsia="Times New Roman" w:cs="Times New Roman"/>
          <w:i/>
          <w:sz w:val="23"/>
          <w:szCs w:val="23"/>
          <w:lang w:val="pt-BR"/>
        </w:rPr>
        <w:t>J. NeuroEngineering Rehabil.</w:t>
      </w:r>
      <w:r>
        <w:rPr>
          <w:rFonts w:hint="default" w:ascii="Times New Roman" w:hAnsi="Times New Roman" w:eastAsia="Times New Roman" w:cs="Times New Roman"/>
          <w:sz w:val="23"/>
          <w:szCs w:val="23"/>
          <w:lang w:val="pt-BR"/>
        </w:rPr>
        <w:t>, v. 21, n. 1, p. 171, set. 2024, doi: 10.1186/s12984-024-01442-6.</w:t>
      </w:r>
    </w:p>
    <w:p w14:paraId="778D8B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[20]</w:t>
      </w:r>
      <w:r>
        <w:rPr>
          <w:rFonts w:hint="default" w:ascii="Times New Roman" w:hAnsi="Times New Roman" w:eastAsia="Times New Roman" w:cs="Times New Roman"/>
          <w:sz w:val="23"/>
          <w:szCs w:val="23"/>
          <w:lang w:val="pt-BR"/>
        </w:rPr>
        <w:tab/>
        <w:t xml:space="preserve">J. Omorczyk, A. Zajac, e E. Puszczalowska-Lizis, “Relationships between postural stability in standing and handstand and psychological factors in athletes practicing artistic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p. 96–106, dez. 2019, doi: 10.29359/BJHPA.11.4.11.</w:t>
      </w:r>
    </w:p>
    <w:p w14:paraId="6856B62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[21]</w:t>
      </w:r>
      <w:r>
        <w:rPr>
          <w:rFonts w:hint="default" w:ascii="Times New Roman" w:hAnsi="Times New Roman" w:eastAsia="Times New Roman" w:cs="Times New Roman"/>
          <w:sz w:val="23"/>
          <w:szCs w:val="23"/>
          <w:lang w:val="pt-BR"/>
        </w:rPr>
        <w:tab/>
        <w:t xml:space="preserve">J. Omorczyk, P. Bujas, E. Puszczałowska-Lizis, e L. Biskup, “Balance in handstand and postural stability in standing position in athletes practicing gymnastics”, </w:t>
      </w:r>
      <w:r>
        <w:rPr>
          <w:rFonts w:hint="default" w:ascii="Times New Roman" w:hAnsi="Times New Roman" w:eastAsia="Times New Roman" w:cs="Times New Roman"/>
          <w:i/>
          <w:sz w:val="23"/>
          <w:szCs w:val="23"/>
          <w:lang w:val="pt-BR"/>
        </w:rPr>
        <w:t>Acta Bioeng. Biomech. 022018 ISSN 1509-409X</w:t>
      </w:r>
      <w:r>
        <w:rPr>
          <w:rFonts w:hint="default" w:ascii="Times New Roman" w:hAnsi="Times New Roman" w:eastAsia="Times New Roman" w:cs="Times New Roman"/>
          <w:sz w:val="23"/>
          <w:szCs w:val="23"/>
          <w:lang w:val="pt-BR"/>
        </w:rPr>
        <w:t>, 2018, doi: 10.5277/ABB-01110-2018-02.</w:t>
      </w:r>
    </w:p>
    <w:p w14:paraId="75E4730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[22]</w:t>
      </w:r>
      <w:r>
        <w:rPr>
          <w:rFonts w:hint="default" w:ascii="Times New Roman" w:hAnsi="Times New Roman" w:eastAsia="Times New Roman" w:cs="Times New Roman"/>
          <w:sz w:val="23"/>
          <w:szCs w:val="23"/>
          <w:lang w:val="pt-BR"/>
        </w:rPr>
        <w:tab/>
        <w:t xml:space="preserve">A. Kochanowicz, K. Kochanowicz, B. Niespodzinski, J. Mieszkowski, e L. Biskup, “The level of body balance in a handstand and the effectiveness of sports training in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v. 7, n. 4, p. 117–124, dez. 2015, doi: 10.29359/BJHPA.07.4.11.</w:t>
      </w:r>
    </w:p>
    <w:p w14:paraId="5E3F67C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[23]</w:t>
      </w:r>
      <w:r>
        <w:rPr>
          <w:rFonts w:hint="default" w:ascii="Times New Roman" w:hAnsi="Times New Roman" w:eastAsia="Times New Roman" w:cs="Times New Roman"/>
          <w:sz w:val="23"/>
          <w:szCs w:val="23"/>
          <w:lang w:val="pt-BR"/>
        </w:rPr>
        <w:tab/>
        <w:t xml:space="preserve">M. Grabowiecki, L. Rum, L. Laudani, e G. Vannozzi, “Biomechanical characteristics of handstand walking initiation”,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86, p. 311–318, maio 2021, doi: 10.1016/j.gaitpost.2021.03.036.</w:t>
      </w:r>
    </w:p>
    <w:p w14:paraId="45EBDC8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[24]</w:t>
      </w:r>
      <w:r>
        <w:rPr>
          <w:rFonts w:hint="default" w:ascii="Times New Roman" w:hAnsi="Times New Roman" w:eastAsia="Times New Roman" w:cs="Times New Roman"/>
          <w:sz w:val="23"/>
          <w:szCs w:val="23"/>
          <w:lang w:val="pt-BR"/>
        </w:rPr>
        <w:tab/>
        <w:t xml:space="preserve">M. Grabowiecki, L. Rum, L. Laudani, e G. Vannozzi, “Effects of an external load on anticipatory mechanisms of handstand walking initiation in experienced gymnasts”,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43, n. 4, p. 370–380, fev. 2025, doi: 10.1080/02640414.2025.2458995.</w:t>
      </w:r>
    </w:p>
    <w:p w14:paraId="0E452D5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[25]</w:t>
      </w:r>
      <w:r>
        <w:rPr>
          <w:rFonts w:hint="default" w:ascii="Times New Roman" w:hAnsi="Times New Roman" w:eastAsia="Times New Roman" w:cs="Times New Roman"/>
          <w:sz w:val="23"/>
          <w:szCs w:val="23"/>
          <w:lang w:val="pt-BR"/>
        </w:rPr>
        <w:tab/>
        <w:t>G. M. Earhart e C. Mosiman, “COORDINATION OF HANDWALKING IN GYMNASTS: A COMPARISON TO BIPEDAL WALKING”, v. 2, n. 2.</w:t>
      </w:r>
    </w:p>
    <w:p w14:paraId="27EA400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[26]</w:t>
      </w:r>
      <w:r>
        <w:rPr>
          <w:rFonts w:hint="default" w:ascii="Times New Roman" w:hAnsi="Times New Roman" w:eastAsia="Times New Roman" w:cs="Times New Roman"/>
          <w:sz w:val="23"/>
          <w:szCs w:val="23"/>
          <w:lang w:val="pt-BR"/>
        </w:rPr>
        <w:tab/>
        <w:t xml:space="preserve">N. F. A. Ambrósio, G. M. Lage, L. E. A. Bicalho, C. R. Couto, I. M. S. Aleixo, e T. Apolinario-Souza, “THE RELATIONSHIP BETWEEN STRENGTH CAPACITY AND MOTOR PERFORMANCE IN THE GYMNASTIC HANDSTAND: A MACHINE LEARNING STUDY”,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16, n. 2, p. 211–223, jun. 2024, doi: 10.52165/sgj.16.2.211-223.</w:t>
      </w:r>
    </w:p>
    <w:p w14:paraId="05D6A57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[27]</w:t>
      </w:r>
      <w:r>
        <w:rPr>
          <w:rFonts w:hint="default" w:ascii="Times New Roman" w:hAnsi="Times New Roman" w:eastAsia="Times New Roman" w:cs="Times New Roman"/>
          <w:sz w:val="23"/>
          <w:szCs w:val="23"/>
          <w:lang w:val="pt-BR"/>
        </w:rPr>
        <w:tab/>
        <w:t>P. Hedbávný, G. Bago, e M. Kalichová, “Influence of Strength Abilities on Quality of the Handstand”, v. 7, n. 10, 2013.</w:t>
      </w:r>
    </w:p>
    <w:p w14:paraId="1FDD22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[28]</w:t>
      </w:r>
      <w:r>
        <w:rPr>
          <w:rFonts w:hint="default" w:ascii="Times New Roman" w:hAnsi="Times New Roman" w:eastAsia="Times New Roman" w:cs="Times New Roman"/>
          <w:sz w:val="23"/>
          <w:szCs w:val="23"/>
          <w:lang w:val="pt-BR"/>
        </w:rPr>
        <w:tab/>
        <w:t xml:space="preserve">M. Jemni, Org., </w:t>
      </w:r>
      <w:r>
        <w:rPr>
          <w:rFonts w:hint="default" w:ascii="Times New Roman" w:hAnsi="Times New Roman" w:eastAsia="Times New Roman" w:cs="Times New Roman"/>
          <w:i/>
          <w:sz w:val="23"/>
          <w:szCs w:val="23"/>
          <w:lang w:val="pt-BR"/>
        </w:rPr>
        <w:t>The Science of Gymnastics: Advanced Concepts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Routledge, 2017. doi: 10.4324/9781315203805.</w:t>
      </w:r>
    </w:p>
    <w:p w14:paraId="402A56A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[29]</w:t>
      </w:r>
      <w:r>
        <w:rPr>
          <w:rFonts w:hint="default" w:ascii="Times New Roman" w:hAnsi="Times New Roman" w:eastAsia="Times New Roman" w:cs="Times New Roman"/>
          <w:sz w:val="23"/>
          <w:szCs w:val="23"/>
          <w:lang w:val="pt-BR"/>
        </w:rPr>
        <w:tab/>
        <w:t xml:space="preserve">D. A. Winter, </w:t>
      </w:r>
      <w:r>
        <w:rPr>
          <w:rFonts w:hint="default" w:ascii="Times New Roman" w:hAnsi="Times New Roman" w:eastAsia="Times New Roman" w:cs="Times New Roman"/>
          <w:i/>
          <w:sz w:val="23"/>
          <w:szCs w:val="23"/>
          <w:lang w:val="pt-BR"/>
        </w:rPr>
        <w:t>Biomechanics and motor control of human movement</w:t>
      </w:r>
      <w:r>
        <w:rPr>
          <w:rFonts w:hint="default" w:ascii="Times New Roman" w:hAnsi="Times New Roman" w:eastAsia="Times New Roman" w:cs="Times New Roman"/>
          <w:sz w:val="23"/>
          <w:szCs w:val="23"/>
          <w:lang w:val="pt-BR"/>
        </w:rPr>
        <w:t>, 4th ed. Hoboken, N.J: Wiley, 2009.</w:t>
      </w:r>
    </w:p>
    <w:p w14:paraId="37321B0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[30]</w:t>
      </w:r>
      <w:r>
        <w:rPr>
          <w:rFonts w:hint="default" w:ascii="Times New Roman" w:hAnsi="Times New Roman" w:eastAsia="Times New Roman" w:cs="Times New Roman"/>
          <w:sz w:val="23"/>
          <w:szCs w:val="23"/>
          <w:lang w:val="pt-BR"/>
        </w:rPr>
        <w:tab/>
        <w:t xml:space="preserve">S. M. Slobounov e K. M. Newell, “Postural Dynamics in Upright and Inverted Stances”, </w:t>
      </w:r>
      <w:r>
        <w:rPr>
          <w:rFonts w:hint="default" w:ascii="Times New Roman" w:hAnsi="Times New Roman" w:eastAsia="Times New Roman" w:cs="Times New Roman"/>
          <w:i/>
          <w:sz w:val="23"/>
          <w:szCs w:val="23"/>
          <w:lang w:val="pt-BR"/>
        </w:rPr>
        <w:t>J. Appl. Biomech.</w:t>
      </w:r>
      <w:r>
        <w:rPr>
          <w:rFonts w:hint="default" w:ascii="Times New Roman" w:hAnsi="Times New Roman" w:eastAsia="Times New Roman" w:cs="Times New Roman"/>
          <w:sz w:val="23"/>
          <w:szCs w:val="23"/>
          <w:lang w:val="pt-BR"/>
        </w:rPr>
        <w:t>, v. 12, n. 2, p. 185–196, maio 1996, doi: 10.1123/jab.12.2.185.</w:t>
      </w:r>
    </w:p>
    <w:p w14:paraId="1C1A5A7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[31]</w:t>
      </w:r>
      <w:r>
        <w:rPr>
          <w:rFonts w:hint="default" w:ascii="Times New Roman" w:hAnsi="Times New Roman" w:eastAsia="Times New Roman" w:cs="Times New Roman"/>
          <w:sz w:val="23"/>
          <w:szCs w:val="23"/>
          <w:lang w:val="pt-BR"/>
        </w:rPr>
        <w:tab/>
        <w:t xml:space="preserve">G. Gautier, R. Thouvarecq, e D. Chollet, “Visual and postural control of an arbitrary posture: The handstand”,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25, n. 11, p. 1271–1278, set. 2007, doi: 10.1080/02640410601049144.</w:t>
      </w:r>
    </w:p>
    <w:p w14:paraId="28E534A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[32]</w:t>
      </w:r>
      <w:r>
        <w:rPr>
          <w:rFonts w:hint="default" w:ascii="Times New Roman" w:hAnsi="Times New Roman" w:eastAsia="Times New Roman" w:cs="Times New Roman"/>
          <w:sz w:val="23"/>
          <w:szCs w:val="23"/>
          <w:lang w:val="pt-BR"/>
        </w:rPr>
        <w:tab/>
        <w:t xml:space="preserve">W.-L. Hsu, J. P. Scholz, G. Schöner, J. J. Jeka, e T. Kiemel, “Control and Estimation of Posture During Quiet Stance Depends on Multijoint Coordination”, </w:t>
      </w:r>
      <w:r>
        <w:rPr>
          <w:rFonts w:hint="default" w:ascii="Times New Roman" w:hAnsi="Times New Roman" w:eastAsia="Times New Roman" w:cs="Times New Roman"/>
          <w:i/>
          <w:sz w:val="23"/>
          <w:szCs w:val="23"/>
          <w:lang w:val="pt-BR"/>
        </w:rPr>
        <w:t>J. Neurophysiol.</w:t>
      </w:r>
      <w:r>
        <w:rPr>
          <w:rFonts w:hint="default" w:ascii="Times New Roman" w:hAnsi="Times New Roman" w:eastAsia="Times New Roman" w:cs="Times New Roman"/>
          <w:sz w:val="23"/>
          <w:szCs w:val="23"/>
          <w:lang w:val="pt-BR"/>
        </w:rPr>
        <w:t>, v. 97, n. 4, p. 3024–3035, abr. 2007, doi: 10.1152/jn.01142.2006.</w:t>
      </w:r>
    </w:p>
    <w:p w14:paraId="042575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[33]</w:t>
      </w:r>
      <w:r>
        <w:rPr>
          <w:rFonts w:hint="default" w:ascii="Times New Roman" w:hAnsi="Times New Roman" w:eastAsia="Times New Roman" w:cs="Times New Roman"/>
          <w:sz w:val="23"/>
          <w:szCs w:val="23"/>
          <w:lang w:val="pt-BR"/>
        </w:rPr>
        <w:tab/>
        <w:t xml:space="preserve">M. C. Kilby, P. C. M. Molenaar, e K. M. Newell, “Models of Postural Control: Shared Variance in Joint and COM Motions”, </w:t>
      </w:r>
      <w:r>
        <w:rPr>
          <w:rFonts w:hint="default" w:ascii="Times New Roman" w:hAnsi="Times New Roman" w:eastAsia="Times New Roman" w:cs="Times New Roman"/>
          <w:i/>
          <w:sz w:val="23"/>
          <w:szCs w:val="23"/>
          <w:lang w:val="pt-BR"/>
        </w:rPr>
        <w:t>PLOS ONE</w:t>
      </w:r>
      <w:r>
        <w:rPr>
          <w:rFonts w:hint="default" w:ascii="Times New Roman" w:hAnsi="Times New Roman" w:eastAsia="Times New Roman" w:cs="Times New Roman"/>
          <w:sz w:val="23"/>
          <w:szCs w:val="23"/>
          <w:lang w:val="pt-BR"/>
        </w:rPr>
        <w:t>, v. 10, n. 5, p. e0126379, maio 2015, doi: 10.1371/journal.pone.0126379.</w:t>
      </w:r>
    </w:p>
    <w:p w14:paraId="48C113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[34]</w:t>
      </w:r>
      <w:r>
        <w:rPr>
          <w:rFonts w:hint="default" w:ascii="Times New Roman" w:hAnsi="Times New Roman" w:eastAsia="Times New Roman" w:cs="Times New Roman"/>
          <w:sz w:val="23"/>
          <w:szCs w:val="23"/>
          <w:lang w:val="pt-BR"/>
        </w:rPr>
        <w:tab/>
        <w:t xml:space="preserve">W. H. Gage, D. A. Winter, J. S. Frank, e A. L. Adkin, “Kinematic and kinetic validity of the inverted pendulum model in quiet standing”,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19, n. 2, p. 124–132, abr. 2004, doi: 10.1016/S0966-6362(03)00037-7.</w:t>
      </w:r>
    </w:p>
    <w:p w14:paraId="557C622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[35]</w:t>
      </w:r>
      <w:r>
        <w:rPr>
          <w:rFonts w:hint="default" w:ascii="Times New Roman" w:hAnsi="Times New Roman" w:eastAsia="Times New Roman" w:cs="Times New Roman"/>
          <w:sz w:val="23"/>
          <w:szCs w:val="23"/>
          <w:lang w:val="pt-BR"/>
        </w:rPr>
        <w:tab/>
        <w:t xml:space="preserve">D. Winter, “Human balance and posture control during standing and walking”,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 n. 4, p. 193–214, dez. 1995, doi: 10.1016/0966-6362(96)82849-9.</w:t>
      </w:r>
    </w:p>
    <w:p w14:paraId="60F740F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[36]</w:t>
      </w:r>
      <w:r>
        <w:rPr>
          <w:rFonts w:hint="default" w:ascii="Times New Roman" w:hAnsi="Times New Roman" w:eastAsia="Times New Roman" w:cs="Times New Roman"/>
          <w:sz w:val="23"/>
          <w:szCs w:val="23"/>
          <w:lang w:val="pt-BR"/>
        </w:rPr>
        <w:tab/>
        <w:t xml:space="preserve">D. Abrahamová e F. Hlavačka, “Age-related changes of human balance during quiet stance”, </w:t>
      </w:r>
      <w:r>
        <w:rPr>
          <w:rFonts w:hint="default" w:ascii="Times New Roman" w:hAnsi="Times New Roman" w:eastAsia="Times New Roman" w:cs="Times New Roman"/>
          <w:i/>
          <w:sz w:val="23"/>
          <w:szCs w:val="23"/>
          <w:lang w:val="pt-BR"/>
        </w:rPr>
        <w:t>Physiol. Res.</w:t>
      </w:r>
      <w:r>
        <w:rPr>
          <w:rFonts w:hint="default" w:ascii="Times New Roman" w:hAnsi="Times New Roman" w:eastAsia="Times New Roman" w:cs="Times New Roman"/>
          <w:sz w:val="23"/>
          <w:szCs w:val="23"/>
          <w:lang w:val="pt-BR"/>
        </w:rPr>
        <w:t>, p. 957–964, 2008, doi: 10.33549/physiolres.931238.</w:t>
      </w:r>
    </w:p>
    <w:p w14:paraId="7B6AEB4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[37]</w:t>
      </w:r>
      <w:r>
        <w:rPr>
          <w:rFonts w:hint="default" w:ascii="Times New Roman" w:hAnsi="Times New Roman" w:eastAsia="Times New Roman" w:cs="Times New Roman"/>
          <w:sz w:val="23"/>
          <w:szCs w:val="23"/>
          <w:lang w:val="pt-BR"/>
        </w:rPr>
        <w:tab/>
        <w:t xml:space="preserve">Y. Laufer, “Effect of Age on Characteristics of Forward and Backward Gait at Preferred and Accelerated Walking Speed”, </w:t>
      </w:r>
      <w:r>
        <w:rPr>
          <w:rFonts w:hint="default" w:ascii="Times New Roman" w:hAnsi="Times New Roman" w:eastAsia="Times New Roman" w:cs="Times New Roman"/>
          <w:i/>
          <w:sz w:val="23"/>
          <w:szCs w:val="23"/>
          <w:lang w:val="pt-BR"/>
        </w:rPr>
        <w:t>J. Gerontol. A. Biol. Sci. Med. Sci.</w:t>
      </w:r>
      <w:r>
        <w:rPr>
          <w:rFonts w:hint="default" w:ascii="Times New Roman" w:hAnsi="Times New Roman" w:eastAsia="Times New Roman" w:cs="Times New Roman"/>
          <w:sz w:val="23"/>
          <w:szCs w:val="23"/>
          <w:lang w:val="pt-BR"/>
        </w:rPr>
        <w:t>, v. 60, n. 5, p. 627–632, maio 2005, doi: 10.1093/gerona/60.5.627.</w:t>
      </w:r>
    </w:p>
    <w:p w14:paraId="286F6C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[38]</w:t>
      </w:r>
      <w:r>
        <w:rPr>
          <w:rFonts w:hint="default" w:ascii="Times New Roman" w:hAnsi="Times New Roman" w:eastAsia="Times New Roman" w:cs="Times New Roman"/>
          <w:sz w:val="23"/>
          <w:szCs w:val="23"/>
          <w:lang w:val="pt-BR"/>
        </w:rPr>
        <w:tab/>
        <w:t xml:space="preserve">K. A. Ericsson, R. T. Krampe, e C. Tesch-Römer, “The role of deliberate practice in the acquisition of expert performance.”, </w:t>
      </w:r>
      <w:r>
        <w:rPr>
          <w:rFonts w:hint="default" w:ascii="Times New Roman" w:hAnsi="Times New Roman" w:eastAsia="Times New Roman" w:cs="Times New Roman"/>
          <w:i/>
          <w:sz w:val="23"/>
          <w:szCs w:val="23"/>
          <w:lang w:val="pt-BR"/>
        </w:rPr>
        <w:t>Psychol. Rev.</w:t>
      </w:r>
      <w:r>
        <w:rPr>
          <w:rFonts w:hint="default" w:ascii="Times New Roman" w:hAnsi="Times New Roman" w:eastAsia="Times New Roman" w:cs="Times New Roman"/>
          <w:sz w:val="23"/>
          <w:szCs w:val="23"/>
          <w:lang w:val="pt-BR"/>
        </w:rPr>
        <w:t>, v. 100, n. 3, p. 363–406, jul. 1993, doi: 10.1037/0033-295X.100.3.363.</w:t>
      </w:r>
    </w:p>
    <w:p w14:paraId="16F811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[39]</w:t>
      </w:r>
      <w:r>
        <w:rPr>
          <w:rFonts w:hint="default" w:ascii="Times New Roman" w:hAnsi="Times New Roman" w:eastAsia="Times New Roman" w:cs="Times New Roman"/>
          <w:sz w:val="23"/>
          <w:szCs w:val="23"/>
          <w:lang w:val="pt-BR"/>
        </w:rPr>
        <w:tab/>
        <w:t xml:space="preserve">R. D. Seidler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“Motor control and aging: Links to age-related brain structural, functional, and biochemical effects”, </w:t>
      </w:r>
      <w:r>
        <w:rPr>
          <w:rFonts w:hint="default" w:ascii="Times New Roman" w:hAnsi="Times New Roman" w:eastAsia="Times New Roman" w:cs="Times New Roman"/>
          <w:i/>
          <w:sz w:val="23"/>
          <w:szCs w:val="23"/>
          <w:lang w:val="pt-BR"/>
        </w:rPr>
        <w:t>Neurosci. Biobehav. Rev.</w:t>
      </w:r>
      <w:r>
        <w:rPr>
          <w:rFonts w:hint="default" w:ascii="Times New Roman" w:hAnsi="Times New Roman" w:eastAsia="Times New Roman" w:cs="Times New Roman"/>
          <w:sz w:val="23"/>
          <w:szCs w:val="23"/>
          <w:lang w:val="pt-BR"/>
        </w:rPr>
        <w:t>, v. 34, n. 5, p. 721–733, abr. 2010, doi: 10.1016/j.neubiorev.2009.10.005.</w:t>
      </w:r>
    </w:p>
    <w:p w14:paraId="44ADB4F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[40]</w:t>
      </w:r>
      <w:r>
        <w:rPr>
          <w:rFonts w:hint="default" w:ascii="Times New Roman" w:hAnsi="Times New Roman" w:eastAsia="Times New Roman" w:cs="Times New Roman"/>
          <w:sz w:val="23"/>
          <w:szCs w:val="23"/>
          <w:lang w:val="pt-BR"/>
        </w:rPr>
        <w:tab/>
        <w:t xml:space="preserve">F. Faul, E. Erdfelder, A.-G. Lang, e A. Buchner, “G*Power 3: A flexible statistical power analysis program for the social, behavioral, and biomedical sciences”,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39, n. 2, p. 175–191, maio 2007, doi: 10.3758/BF03193146.</w:t>
      </w:r>
    </w:p>
    <w:p w14:paraId="50A8C81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[41]</w:t>
      </w:r>
      <w:r>
        <w:rPr>
          <w:rFonts w:hint="default" w:ascii="Times New Roman" w:hAnsi="Times New Roman" w:eastAsia="Times New Roman" w:cs="Times New Roman"/>
          <w:sz w:val="23"/>
          <w:szCs w:val="23"/>
          <w:lang w:val="pt-BR"/>
        </w:rPr>
        <w:tab/>
        <w:t xml:space="preserve">F. Faul, E. Erdfelder, A. Buchner, e A.-G. Lang, “Statistical power analyses using G*Power 3.1: Tests for correlation and regression analyses”,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41, n. 4, p. 1149–1160, nov. 2009, doi: 10.3758/BRM.41.4.1149.</w:t>
      </w:r>
    </w:p>
    <w:p w14:paraId="71D199F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[42]</w:t>
      </w:r>
      <w:r>
        <w:rPr>
          <w:rFonts w:hint="default" w:ascii="Times New Roman" w:hAnsi="Times New Roman" w:eastAsia="Times New Roman" w:cs="Times New Roman"/>
          <w:sz w:val="23"/>
          <w:szCs w:val="23"/>
          <w:lang w:val="pt-BR"/>
        </w:rPr>
        <w:tab/>
        <w:t xml:space="preserve">J. Cohen, </w:t>
      </w:r>
      <w:r>
        <w:rPr>
          <w:rFonts w:hint="default" w:ascii="Times New Roman" w:hAnsi="Times New Roman" w:eastAsia="Times New Roman" w:cs="Times New Roman"/>
          <w:i/>
          <w:sz w:val="23"/>
          <w:szCs w:val="23"/>
          <w:lang w:val="pt-BR"/>
        </w:rPr>
        <w:t>Statistical power analysis for the behavioral sciences</w:t>
      </w:r>
      <w:r>
        <w:rPr>
          <w:rFonts w:hint="default" w:ascii="Times New Roman" w:hAnsi="Times New Roman" w:eastAsia="Times New Roman" w:cs="Times New Roman"/>
          <w:sz w:val="23"/>
          <w:szCs w:val="23"/>
          <w:lang w:val="pt-BR"/>
        </w:rPr>
        <w:t>, 2. ed., Reprint. New York, NY: Psychology Press, 2009.</w:t>
      </w:r>
    </w:p>
    <w:p w14:paraId="1A372D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[43]</w:t>
      </w:r>
      <w:r>
        <w:rPr>
          <w:rFonts w:hint="default" w:ascii="Times New Roman" w:hAnsi="Times New Roman" w:eastAsia="Times New Roman" w:cs="Times New Roman"/>
          <w:sz w:val="23"/>
          <w:szCs w:val="23"/>
          <w:lang w:val="pt-BR"/>
        </w:rPr>
        <w:tab/>
        <w:t xml:space="preserve">H. Chen, P. Cohen, e S. Chen, “How Big is a Big Odds Ratio? Interpreting the Magnitudes of Odds Ratios in Epidemiological Studies”, </w:t>
      </w:r>
      <w:r>
        <w:rPr>
          <w:rFonts w:hint="default" w:ascii="Times New Roman" w:hAnsi="Times New Roman" w:eastAsia="Times New Roman" w:cs="Times New Roman"/>
          <w:i/>
          <w:sz w:val="23"/>
          <w:szCs w:val="23"/>
          <w:lang w:val="pt-BR"/>
        </w:rPr>
        <w:t>Commun. Stat. - Simul. Comput.</w:t>
      </w:r>
      <w:r>
        <w:rPr>
          <w:rFonts w:hint="default" w:ascii="Times New Roman" w:hAnsi="Times New Roman" w:eastAsia="Times New Roman" w:cs="Times New Roman"/>
          <w:sz w:val="23"/>
          <w:szCs w:val="23"/>
          <w:lang w:val="pt-BR"/>
        </w:rPr>
        <w:t>, v. 39, n. 4, p. 860–864, mar. 2010, doi: 10.1080/03610911003650383.</w:t>
      </w:r>
    </w:p>
    <w:p w14:paraId="12D9337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[44]</w:t>
      </w:r>
      <w:r>
        <w:rPr>
          <w:rFonts w:hint="default" w:ascii="Times New Roman" w:hAnsi="Times New Roman" w:eastAsia="Times New Roman" w:cs="Times New Roman"/>
          <w:sz w:val="23"/>
          <w:szCs w:val="23"/>
          <w:lang w:val="pt-BR"/>
        </w:rPr>
        <w:tab/>
        <w:t xml:space="preserve">P. Peduzzi, J. Concato, E. Kemper, T. R. Holford, e A. R. Feinstein, “A simulation study of the number of events per variable in logistic regression analysis”, </w:t>
      </w:r>
      <w:r>
        <w:rPr>
          <w:rFonts w:hint="default" w:ascii="Times New Roman" w:hAnsi="Times New Roman" w:eastAsia="Times New Roman" w:cs="Times New Roman"/>
          <w:i/>
          <w:sz w:val="23"/>
          <w:szCs w:val="23"/>
          <w:lang w:val="pt-BR"/>
        </w:rPr>
        <w:t>J. Clin. Epidemiol.</w:t>
      </w:r>
      <w:r>
        <w:rPr>
          <w:rFonts w:hint="default" w:ascii="Times New Roman" w:hAnsi="Times New Roman" w:eastAsia="Times New Roman" w:cs="Times New Roman"/>
          <w:sz w:val="23"/>
          <w:szCs w:val="23"/>
          <w:lang w:val="pt-BR"/>
        </w:rPr>
        <w:t>, v. 49, n. 12, p. 1373–1379, dez. 1996, doi: 10.1016/S0895-4356(96)00236-3.</w:t>
      </w:r>
    </w:p>
    <w:p w14:paraId="55C7846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[45]</w:t>
      </w:r>
      <w:r>
        <w:rPr>
          <w:rFonts w:hint="default" w:ascii="Times New Roman" w:hAnsi="Times New Roman" w:eastAsia="Times New Roman" w:cs="Times New Roman"/>
          <w:sz w:val="23"/>
          <w:szCs w:val="23"/>
          <w:lang w:val="pt-BR"/>
        </w:rPr>
        <w:tab/>
        <w:t xml:space="preserve">Y. Benjamini e Y. Hochberg, “Controlling the False Discovery Rate: A Practical and Powerful Approach to Multiple Testing”, </w:t>
      </w:r>
      <w:r>
        <w:rPr>
          <w:rFonts w:hint="default" w:ascii="Times New Roman" w:hAnsi="Times New Roman" w:eastAsia="Times New Roman" w:cs="Times New Roman"/>
          <w:i/>
          <w:sz w:val="23"/>
          <w:szCs w:val="23"/>
          <w:lang w:val="pt-BR"/>
        </w:rPr>
        <w:t>J. R. Stat. Soc. Ser. B Stat. Methodol.</w:t>
      </w:r>
      <w:r>
        <w:rPr>
          <w:rFonts w:hint="default" w:ascii="Times New Roman" w:hAnsi="Times New Roman" w:eastAsia="Times New Roman" w:cs="Times New Roman"/>
          <w:sz w:val="23"/>
          <w:szCs w:val="23"/>
          <w:lang w:val="pt-BR"/>
        </w:rPr>
        <w:t>, v. 57, n. 1, p. 289–300, jan. 1995, doi: 10.1111/j.2517-6161.1995.tb02031.x.</w:t>
      </w:r>
    </w:p>
    <w:p w14:paraId="593BDD2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[46]</w:t>
      </w:r>
      <w:r>
        <w:rPr>
          <w:rFonts w:hint="default" w:ascii="Times New Roman" w:hAnsi="Times New Roman" w:eastAsia="Times New Roman" w:cs="Times New Roman"/>
          <w:sz w:val="23"/>
          <w:szCs w:val="23"/>
          <w:lang w:val="pt-BR"/>
        </w:rPr>
        <w:tab/>
        <w:t xml:space="preserve">American College of Sports Medicine, C. Ozemek, A. R. Bonikowske, J. W. Christle, e P. M. Gallo, Org., </w:t>
      </w:r>
      <w:r>
        <w:rPr>
          <w:rFonts w:hint="default" w:ascii="Times New Roman" w:hAnsi="Times New Roman" w:eastAsia="Times New Roman" w:cs="Times New Roman"/>
          <w:i/>
          <w:sz w:val="23"/>
          <w:szCs w:val="23"/>
          <w:lang w:val="pt-BR"/>
        </w:rPr>
        <w:t>ACSM’s guidelines for exercise testing and prescription</w:t>
      </w:r>
      <w:r>
        <w:rPr>
          <w:rFonts w:hint="default" w:ascii="Times New Roman" w:hAnsi="Times New Roman" w:eastAsia="Times New Roman" w:cs="Times New Roman"/>
          <w:sz w:val="23"/>
          <w:szCs w:val="23"/>
          <w:lang w:val="pt-BR"/>
        </w:rPr>
        <w:t>, Twelfth edition. Philadelphia, PA: Wolters Kluwer, 2026.</w:t>
      </w:r>
    </w:p>
    <w:p w14:paraId="443BD1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[47]</w:t>
      </w:r>
      <w:r>
        <w:rPr>
          <w:rFonts w:hint="default" w:ascii="Times New Roman" w:hAnsi="Times New Roman" w:eastAsia="Times New Roman" w:cs="Times New Roman"/>
          <w:sz w:val="23"/>
          <w:szCs w:val="23"/>
          <w:lang w:val="pt-BR"/>
        </w:rPr>
        <w:tab/>
        <w:t xml:space="preserve">G. Haff, N. T. Triplett, e National Strength &amp; Conditioning Association, Org., </w:t>
      </w:r>
      <w:r>
        <w:rPr>
          <w:rFonts w:hint="default" w:ascii="Times New Roman" w:hAnsi="Times New Roman" w:eastAsia="Times New Roman" w:cs="Times New Roman"/>
          <w:i/>
          <w:sz w:val="23"/>
          <w:szCs w:val="23"/>
          <w:lang w:val="pt-BR"/>
        </w:rPr>
        <w:t>Essentials of strength training and conditioning</w:t>
      </w:r>
      <w:r>
        <w:rPr>
          <w:rFonts w:hint="default" w:ascii="Times New Roman" w:hAnsi="Times New Roman" w:eastAsia="Times New Roman" w:cs="Times New Roman"/>
          <w:sz w:val="23"/>
          <w:szCs w:val="23"/>
          <w:lang w:val="pt-BR"/>
        </w:rPr>
        <w:t>, Fifth edition. Champaign, IL: Human Kinetics, 2027.</w:t>
      </w:r>
    </w:p>
    <w:p w14:paraId="1D17191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[48]</w:t>
      </w:r>
      <w:r>
        <w:rPr>
          <w:rFonts w:hint="default" w:ascii="Times New Roman" w:hAnsi="Times New Roman" w:eastAsia="Times New Roman" w:cs="Times New Roman"/>
          <w:sz w:val="23"/>
          <w:szCs w:val="23"/>
          <w:lang w:val="pt-BR"/>
        </w:rPr>
        <w:tab/>
        <w:t xml:space="preserve">U. Kyle, “Bioelectrical impedance analysis?part I: review of principles and methods”, </w:t>
      </w:r>
      <w:r>
        <w:rPr>
          <w:rFonts w:hint="default" w:ascii="Times New Roman" w:hAnsi="Times New Roman" w:eastAsia="Times New Roman" w:cs="Times New Roman"/>
          <w:i/>
          <w:sz w:val="23"/>
          <w:szCs w:val="23"/>
          <w:lang w:val="pt-BR"/>
        </w:rPr>
        <w:t>Clin. Nutr.</w:t>
      </w:r>
      <w:r>
        <w:rPr>
          <w:rFonts w:hint="default" w:ascii="Times New Roman" w:hAnsi="Times New Roman" w:eastAsia="Times New Roman" w:cs="Times New Roman"/>
          <w:sz w:val="23"/>
          <w:szCs w:val="23"/>
          <w:lang w:val="pt-BR"/>
        </w:rPr>
        <w:t>, v. 23, n. 5, p. 1226–1243, out. 2004, doi: 10.1016/j.clnu.2004.06.004.</w:t>
      </w:r>
    </w:p>
    <w:p w14:paraId="4BCFDE2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[49]</w:t>
      </w:r>
      <w:r>
        <w:rPr>
          <w:rFonts w:hint="default" w:ascii="Times New Roman" w:hAnsi="Times New Roman" w:eastAsia="Times New Roman" w:cs="Times New Roman"/>
          <w:sz w:val="23"/>
          <w:szCs w:val="23"/>
          <w:lang w:val="pt-BR"/>
        </w:rPr>
        <w:tab/>
        <w:t xml:space="preserve">H. C. Lukaski, W. W. Bolonchuk, C. B. Hall, e W. A. Siders, “Validation of tetrapolar bioelectrical impedance method to assess human body composition”, </w:t>
      </w:r>
      <w:r>
        <w:rPr>
          <w:rFonts w:hint="default" w:ascii="Times New Roman" w:hAnsi="Times New Roman" w:eastAsia="Times New Roman" w:cs="Times New Roman"/>
          <w:i/>
          <w:sz w:val="23"/>
          <w:szCs w:val="23"/>
          <w:lang w:val="pt-BR"/>
        </w:rPr>
        <w:t>J. Appl. Physiol.</w:t>
      </w:r>
      <w:r>
        <w:rPr>
          <w:rFonts w:hint="default" w:ascii="Times New Roman" w:hAnsi="Times New Roman" w:eastAsia="Times New Roman" w:cs="Times New Roman"/>
          <w:sz w:val="23"/>
          <w:szCs w:val="23"/>
          <w:lang w:val="pt-BR"/>
        </w:rPr>
        <w:t>, v. 60, n. 4, p. 1327–1332, abr. 1986, doi: 10.1152/jappl.1986.60.4.1327.</w:t>
      </w:r>
    </w:p>
    <w:p w14:paraId="0F9FFF4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[50]</w:t>
      </w:r>
      <w:r>
        <w:rPr>
          <w:rFonts w:hint="default" w:ascii="Times New Roman" w:hAnsi="Times New Roman" w:eastAsia="Times New Roman" w:cs="Times New Roman"/>
          <w:sz w:val="23"/>
          <w:szCs w:val="23"/>
          <w:lang w:val="pt-BR"/>
        </w:rPr>
        <w:tab/>
        <w:t xml:space="preserve">V. Mathiowetz, “Comparison of Rolyan and Jamar dynamometers for measuring grip strength”, </w:t>
      </w:r>
      <w:r>
        <w:rPr>
          <w:rFonts w:hint="default" w:ascii="Times New Roman" w:hAnsi="Times New Roman" w:eastAsia="Times New Roman" w:cs="Times New Roman"/>
          <w:i/>
          <w:sz w:val="23"/>
          <w:szCs w:val="23"/>
          <w:lang w:val="pt-BR"/>
        </w:rPr>
        <w:t>Occup. Ther. Int.</w:t>
      </w:r>
      <w:r>
        <w:rPr>
          <w:rFonts w:hint="default" w:ascii="Times New Roman" w:hAnsi="Times New Roman" w:eastAsia="Times New Roman" w:cs="Times New Roman"/>
          <w:sz w:val="23"/>
          <w:szCs w:val="23"/>
          <w:lang w:val="pt-BR"/>
        </w:rPr>
        <w:t>, v. 9, n. 3, p. 201–209, ago. 2002, doi: 10.1002/oti.165.</w:t>
      </w:r>
    </w:p>
    <w:p w14:paraId="393DEF1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[51]</w:t>
      </w:r>
      <w:r>
        <w:rPr>
          <w:rFonts w:hint="default" w:ascii="Times New Roman" w:hAnsi="Times New Roman" w:eastAsia="Times New Roman" w:cs="Times New Roman"/>
          <w:sz w:val="23"/>
          <w:szCs w:val="23"/>
          <w:lang w:val="pt-BR"/>
        </w:rPr>
        <w:tab/>
        <w:t xml:space="preserve">M. M. Reis e P. M. M. Arantes, “Medida da força de preensão manual- validade e confiabilidade do dinamômetro saehan”, </w:t>
      </w:r>
      <w:r>
        <w:rPr>
          <w:rFonts w:hint="default" w:ascii="Times New Roman" w:hAnsi="Times New Roman" w:eastAsia="Times New Roman" w:cs="Times New Roman"/>
          <w:i/>
          <w:sz w:val="23"/>
          <w:szCs w:val="23"/>
          <w:lang w:val="pt-BR"/>
        </w:rPr>
        <w:t>Fisioter. E Pesqui.</w:t>
      </w:r>
      <w:r>
        <w:rPr>
          <w:rFonts w:hint="default" w:ascii="Times New Roman" w:hAnsi="Times New Roman" w:eastAsia="Times New Roman" w:cs="Times New Roman"/>
          <w:sz w:val="23"/>
          <w:szCs w:val="23"/>
          <w:lang w:val="pt-BR"/>
        </w:rPr>
        <w:t>, v. 18, n. 2, p. 176–181, jun. 2011, doi: 10.1590/S1809-29502011000200013.</w:t>
      </w:r>
    </w:p>
    <w:p w14:paraId="1335CDB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[52]</w:t>
      </w:r>
      <w:r>
        <w:rPr>
          <w:rFonts w:hint="default" w:ascii="Times New Roman" w:hAnsi="Times New Roman" w:eastAsia="Times New Roman" w:cs="Times New Roman"/>
          <w:sz w:val="23"/>
          <w:szCs w:val="23"/>
          <w:lang w:val="pt-BR"/>
        </w:rPr>
        <w:tab/>
        <w:t xml:space="preserve">H. C. Roberts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“A review of the measurement of grip strength in clinical and epidemiological studies: towards a standardised approach”, </w:t>
      </w:r>
      <w:r>
        <w:rPr>
          <w:rFonts w:hint="default" w:ascii="Times New Roman" w:hAnsi="Times New Roman" w:eastAsia="Times New Roman" w:cs="Times New Roman"/>
          <w:i/>
          <w:sz w:val="23"/>
          <w:szCs w:val="23"/>
          <w:lang w:val="pt-BR"/>
        </w:rPr>
        <w:t>Age Ageing</w:t>
      </w:r>
      <w:r>
        <w:rPr>
          <w:rFonts w:hint="default" w:ascii="Times New Roman" w:hAnsi="Times New Roman" w:eastAsia="Times New Roman" w:cs="Times New Roman"/>
          <w:sz w:val="23"/>
          <w:szCs w:val="23"/>
          <w:lang w:val="pt-BR"/>
        </w:rPr>
        <w:t>, v. 40, n. 4, p. 423–429, jul. 2011, doi: 10.1093/ageing/afr051.</w:t>
      </w:r>
    </w:p>
    <w:p w14:paraId="074741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[53]</w:t>
      </w:r>
      <w:r>
        <w:rPr>
          <w:rFonts w:hint="default" w:ascii="Times New Roman" w:hAnsi="Times New Roman" w:eastAsia="Times New Roman" w:cs="Times New Roman"/>
          <w:sz w:val="23"/>
          <w:szCs w:val="23"/>
          <w:lang w:val="pt-BR"/>
        </w:rPr>
        <w:tab/>
        <w:t xml:space="preserve">S. Jaric, “Muscle Strength Testing: Use of Normalisation for Body Size”,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32, n. 10, p. 615–631, 2002, doi: 10.2165/00007256-200232100-00002.</w:t>
      </w:r>
    </w:p>
    <w:p w14:paraId="2DFCB06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[54]</w:t>
      </w:r>
      <w:r>
        <w:rPr>
          <w:rFonts w:hint="default" w:ascii="Times New Roman" w:hAnsi="Times New Roman" w:eastAsia="Times New Roman" w:cs="Times New Roman"/>
          <w:sz w:val="23"/>
          <w:szCs w:val="23"/>
          <w:lang w:val="pt-BR"/>
        </w:rPr>
        <w:tab/>
        <w:t xml:space="preserve">R. L. Lieber e J. Fridén, “Musculoskeletal balance of the human wrist elucidated using intraoperative laser diffraction”, </w:t>
      </w:r>
      <w:r>
        <w:rPr>
          <w:rFonts w:hint="default" w:ascii="Times New Roman" w:hAnsi="Times New Roman" w:eastAsia="Times New Roman" w:cs="Times New Roman"/>
          <w:i/>
          <w:sz w:val="23"/>
          <w:szCs w:val="23"/>
          <w:lang w:val="pt-BR"/>
        </w:rPr>
        <w:t>J. Electromyogr. Kinesiol.</w:t>
      </w:r>
      <w:r>
        <w:rPr>
          <w:rFonts w:hint="default" w:ascii="Times New Roman" w:hAnsi="Times New Roman" w:eastAsia="Times New Roman" w:cs="Times New Roman"/>
          <w:sz w:val="23"/>
          <w:szCs w:val="23"/>
          <w:lang w:val="pt-BR"/>
        </w:rPr>
        <w:t>, v. 8, n. 2, p. 93–100, abr. 1998, doi: 10.1016/S1050-6411(97)00025-4.</w:t>
      </w:r>
    </w:p>
    <w:p w14:paraId="3C5455E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[55]</w:t>
      </w:r>
      <w:r>
        <w:rPr>
          <w:rFonts w:hint="default" w:ascii="Times New Roman" w:hAnsi="Times New Roman" w:eastAsia="Times New Roman" w:cs="Times New Roman"/>
          <w:sz w:val="23"/>
          <w:szCs w:val="23"/>
          <w:lang w:val="pt-BR"/>
        </w:rPr>
        <w:tab/>
        <w:t xml:space="preserve">Z. Dvir, </w:t>
      </w:r>
      <w:r>
        <w:rPr>
          <w:rFonts w:hint="default" w:ascii="Times New Roman" w:hAnsi="Times New Roman" w:eastAsia="Times New Roman" w:cs="Times New Roman"/>
          <w:i/>
          <w:sz w:val="23"/>
          <w:szCs w:val="23"/>
          <w:lang w:val="pt-BR"/>
        </w:rPr>
        <w:t>Isokinetics: Muscle Testing, Interpretation and Clinical Applications</w:t>
      </w:r>
      <w:r>
        <w:rPr>
          <w:rFonts w:hint="default" w:ascii="Times New Roman" w:hAnsi="Times New Roman" w:eastAsia="Times New Roman" w:cs="Times New Roman"/>
          <w:sz w:val="23"/>
          <w:szCs w:val="23"/>
          <w:lang w:val="pt-BR"/>
        </w:rPr>
        <w:t>, 3</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New York: Routledge, 2025. doi: 10.4324/9781003380719.</w:t>
      </w:r>
    </w:p>
    <w:p w14:paraId="4B668CA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[56]</w:t>
      </w:r>
      <w:r>
        <w:rPr>
          <w:rFonts w:hint="default" w:ascii="Times New Roman" w:hAnsi="Times New Roman" w:eastAsia="Times New Roman" w:cs="Times New Roman"/>
          <w:sz w:val="23"/>
          <w:szCs w:val="23"/>
          <w:lang w:val="pt-BR"/>
        </w:rPr>
        <w:tab/>
        <w:t xml:space="preserve">C. Bishop, “Interlimb Asymmetries: Are Thresholds a Usable Concept?”, </w:t>
      </w:r>
      <w:r>
        <w:rPr>
          <w:rFonts w:hint="default" w:ascii="Times New Roman" w:hAnsi="Times New Roman" w:eastAsia="Times New Roman" w:cs="Times New Roman"/>
          <w:i/>
          <w:sz w:val="23"/>
          <w:szCs w:val="23"/>
          <w:lang w:val="pt-BR"/>
        </w:rPr>
        <w:t>Strength Cond. J.</w:t>
      </w:r>
      <w:r>
        <w:rPr>
          <w:rFonts w:hint="default" w:ascii="Times New Roman" w:hAnsi="Times New Roman" w:eastAsia="Times New Roman" w:cs="Times New Roman"/>
          <w:sz w:val="23"/>
          <w:szCs w:val="23"/>
          <w:lang w:val="pt-BR"/>
        </w:rPr>
        <w:t>, v. 43, n. 1, p. 32–36, fev. 2021, doi: 10.1519/SSC.0000000000000554.</w:t>
      </w:r>
    </w:p>
    <w:p w14:paraId="66413F8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[57]</w:t>
      </w:r>
      <w:r>
        <w:rPr>
          <w:rFonts w:hint="default" w:ascii="Times New Roman" w:hAnsi="Times New Roman" w:eastAsia="Times New Roman" w:cs="Times New Roman"/>
          <w:sz w:val="23"/>
          <w:szCs w:val="23"/>
          <w:lang w:val="pt-BR"/>
        </w:rPr>
        <w:tab/>
        <w:t xml:space="preserve">R. M. R. Dias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“Influência do processo de familiarização para avaliação da força muscular em testes de 1-RM”, </w:t>
      </w:r>
      <w:r>
        <w:rPr>
          <w:rFonts w:hint="default" w:ascii="Times New Roman" w:hAnsi="Times New Roman" w:eastAsia="Times New Roman" w:cs="Times New Roman"/>
          <w:i/>
          <w:sz w:val="23"/>
          <w:szCs w:val="23"/>
          <w:lang w:val="pt-BR"/>
        </w:rPr>
        <w:t>Rev. Bras. Med. Esporte</w:t>
      </w:r>
      <w:r>
        <w:rPr>
          <w:rFonts w:hint="default" w:ascii="Times New Roman" w:hAnsi="Times New Roman" w:eastAsia="Times New Roman" w:cs="Times New Roman"/>
          <w:sz w:val="23"/>
          <w:szCs w:val="23"/>
          <w:lang w:val="pt-BR"/>
        </w:rPr>
        <w:t>, v. 11, n. 1, 2005, doi: 10.1590/s1517-86922005000100004.</w:t>
      </w:r>
    </w:p>
    <w:p w14:paraId="22D3BB9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[58]</w:t>
      </w:r>
      <w:r>
        <w:rPr>
          <w:rFonts w:hint="default" w:ascii="Times New Roman" w:hAnsi="Times New Roman" w:eastAsia="Times New Roman" w:cs="Times New Roman"/>
          <w:sz w:val="23"/>
          <w:szCs w:val="23"/>
          <w:lang w:val="pt-BR"/>
        </w:rPr>
        <w:tab/>
        <w:t xml:space="preserve">M. A. Soriano, T. J. Suchomel, e P. Comfort, “Weightlifting Overhead Pressing Derivatives: A Review of the Literature”,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49, n. 6, p. 867–885, jun. 2019, doi: 10.1007/s40279-019-01096-8.</w:t>
      </w:r>
    </w:p>
    <w:p w14:paraId="182C03E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[59]</w:t>
      </w:r>
      <w:r>
        <w:rPr>
          <w:rFonts w:hint="default" w:ascii="Times New Roman" w:hAnsi="Times New Roman" w:eastAsia="Times New Roman" w:cs="Times New Roman"/>
          <w:sz w:val="23"/>
          <w:szCs w:val="23"/>
          <w:lang w:val="pt-BR"/>
        </w:rPr>
        <w:tab/>
        <w:t>G. D. P. Lemos, “A força máxima no shoulder press relativa à massa corporal é uma medida preditiva do  desempenho no strict handstand push-up dentro da modalidade CrossFit®?”, 2024.</w:t>
      </w:r>
    </w:p>
    <w:p w14:paraId="53F65F5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[60]</w:t>
      </w:r>
      <w:r>
        <w:rPr>
          <w:rFonts w:hint="default" w:ascii="Times New Roman" w:hAnsi="Times New Roman" w:eastAsia="Times New Roman" w:cs="Times New Roman"/>
          <w:sz w:val="23"/>
          <w:szCs w:val="23"/>
          <w:lang w:val="pt-BR"/>
        </w:rPr>
        <w:tab/>
        <w:t xml:space="preserve">W. A. Sands, D. J. Caine, e J. Borms, </w:t>
      </w:r>
      <w:r>
        <w:rPr>
          <w:rFonts w:hint="default" w:ascii="Times New Roman" w:hAnsi="Times New Roman" w:eastAsia="Times New Roman" w:cs="Times New Roman"/>
          <w:i/>
          <w:sz w:val="23"/>
          <w:szCs w:val="23"/>
          <w:lang w:val="pt-BR"/>
        </w:rPr>
        <w:t>Scientific Aspects of Women’s Gymnastics</w:t>
      </w:r>
      <w:r>
        <w:rPr>
          <w:rFonts w:hint="default" w:ascii="Times New Roman" w:hAnsi="Times New Roman" w:eastAsia="Times New Roman" w:cs="Times New Roman"/>
          <w:sz w:val="23"/>
          <w:szCs w:val="23"/>
          <w:lang w:val="pt-BR"/>
        </w:rPr>
        <w:t>, v. 45. em Medicine and Sport Science, vol. 45. S. Karger AG, 2002. doi: 10.1159/isbn.978-3-318-00894-4.</w:t>
      </w:r>
    </w:p>
    <w:p w14:paraId="17F0A77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[61]</w:t>
      </w:r>
      <w:r>
        <w:rPr>
          <w:rFonts w:hint="default" w:ascii="Times New Roman" w:hAnsi="Times New Roman" w:eastAsia="Times New Roman" w:cs="Times New Roman"/>
          <w:sz w:val="23"/>
          <w:szCs w:val="23"/>
          <w:lang w:val="pt-BR"/>
        </w:rPr>
        <w:tab/>
        <w:t xml:space="preserve">R. B. Davis, S. Õunpuu, D. Tyburski, e J. R. Gage, “A gait analysis data collection and reduction technique”,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10, n. 5, p. 575–587, out. 1991, doi: 10.1016/0167-9457(91)90046-Z.</w:t>
      </w:r>
    </w:p>
    <w:p w14:paraId="76A4D1A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[62]</w:t>
      </w:r>
      <w:r>
        <w:rPr>
          <w:rFonts w:hint="default" w:ascii="Times New Roman" w:hAnsi="Times New Roman" w:eastAsia="Times New Roman" w:cs="Times New Roman"/>
          <w:sz w:val="23"/>
          <w:szCs w:val="23"/>
          <w:lang w:val="pt-BR"/>
        </w:rPr>
        <w:tab/>
        <w:t xml:space="preserve">M. P. Kadaba, H. K. Ramakrishnan, e M. E. Wootten, “Measurement of lower extremity kinematics during level walking”, </w:t>
      </w:r>
      <w:r>
        <w:rPr>
          <w:rFonts w:hint="default" w:ascii="Times New Roman" w:hAnsi="Times New Roman" w:eastAsia="Times New Roman" w:cs="Times New Roman"/>
          <w:i/>
          <w:sz w:val="23"/>
          <w:szCs w:val="23"/>
          <w:lang w:val="pt-BR"/>
        </w:rPr>
        <w:t>J. Orthop. Res.</w:t>
      </w:r>
      <w:r>
        <w:rPr>
          <w:rFonts w:hint="default" w:ascii="Times New Roman" w:hAnsi="Times New Roman" w:eastAsia="Times New Roman" w:cs="Times New Roman"/>
          <w:sz w:val="23"/>
          <w:szCs w:val="23"/>
          <w:lang w:val="pt-BR"/>
        </w:rPr>
        <w:t>, v. 8, n. 3, p. 383–392, maio 1990, doi: 10.1002/jor.1100080310.</w:t>
      </w:r>
    </w:p>
    <w:p w14:paraId="60B201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[63]</w:t>
      </w:r>
      <w:r>
        <w:rPr>
          <w:rFonts w:hint="default" w:ascii="Times New Roman" w:hAnsi="Times New Roman" w:eastAsia="Times New Roman" w:cs="Times New Roman"/>
          <w:sz w:val="23"/>
          <w:szCs w:val="23"/>
          <w:lang w:val="pt-BR"/>
        </w:rPr>
        <w:tab/>
        <w:t xml:space="preserve">J. H. Challis, “A procedure for determining rigid body transformation parameters”, </w:t>
      </w:r>
      <w:r>
        <w:rPr>
          <w:rFonts w:hint="default" w:ascii="Times New Roman" w:hAnsi="Times New Roman" w:eastAsia="Times New Roman" w:cs="Times New Roman"/>
          <w:i/>
          <w:sz w:val="23"/>
          <w:szCs w:val="23"/>
          <w:lang w:val="pt-BR"/>
        </w:rPr>
        <w:t>J. Biomech.</w:t>
      </w:r>
      <w:r>
        <w:rPr>
          <w:rFonts w:hint="default" w:ascii="Times New Roman" w:hAnsi="Times New Roman" w:eastAsia="Times New Roman" w:cs="Times New Roman"/>
          <w:sz w:val="23"/>
          <w:szCs w:val="23"/>
          <w:lang w:val="pt-BR"/>
        </w:rPr>
        <w:t>, v. 28, n. 6, p. 733–737, jun. 1995, doi: 10.1016/0021-9290(94)00116-L.</w:t>
      </w:r>
    </w:p>
    <w:p w14:paraId="341907C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[64]</w:t>
      </w:r>
      <w:r>
        <w:rPr>
          <w:rFonts w:hint="default" w:ascii="Times New Roman" w:hAnsi="Times New Roman" w:eastAsia="Times New Roman" w:cs="Times New Roman"/>
          <w:sz w:val="23"/>
          <w:szCs w:val="23"/>
          <w:lang w:val="pt-BR"/>
        </w:rPr>
        <w:tab/>
        <w:t xml:space="preserve">W. Kabsch, “A solution for the best rotation to relate two sets of vectors”, </w:t>
      </w:r>
      <w:r>
        <w:rPr>
          <w:rFonts w:hint="default" w:ascii="Times New Roman" w:hAnsi="Times New Roman" w:eastAsia="Times New Roman" w:cs="Times New Roman"/>
          <w:i/>
          <w:sz w:val="23"/>
          <w:szCs w:val="23"/>
          <w:lang w:val="pt-BR"/>
        </w:rPr>
        <w:t>Acta Crystallogr. Sect. A</w:t>
      </w:r>
      <w:r>
        <w:rPr>
          <w:rFonts w:hint="default" w:ascii="Times New Roman" w:hAnsi="Times New Roman" w:eastAsia="Times New Roman" w:cs="Times New Roman"/>
          <w:sz w:val="23"/>
          <w:szCs w:val="23"/>
          <w:lang w:val="pt-BR"/>
        </w:rPr>
        <w:t>, v. 32, n. 5, p. 922–923, set. 1976, doi: 10.1107/S0567739476001873.</w:t>
      </w:r>
    </w:p>
    <w:p w14:paraId="2133409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[65]</w:t>
      </w:r>
      <w:r>
        <w:rPr>
          <w:rFonts w:hint="default" w:ascii="Times New Roman" w:hAnsi="Times New Roman" w:eastAsia="Times New Roman" w:cs="Times New Roman"/>
          <w:sz w:val="23"/>
          <w:szCs w:val="23"/>
          <w:lang w:val="pt-BR"/>
        </w:rPr>
        <w:tab/>
        <w:t xml:space="preserve">B. Michaud e M. Begon, “ezc3d: An easy C3D file I/O cross-platform solution for C++, Python and MATLAB”, </w:t>
      </w:r>
      <w:r>
        <w:rPr>
          <w:rFonts w:hint="default" w:ascii="Times New Roman" w:hAnsi="Times New Roman" w:eastAsia="Times New Roman" w:cs="Times New Roman"/>
          <w:i/>
          <w:sz w:val="23"/>
          <w:szCs w:val="23"/>
          <w:lang w:val="pt-BR"/>
        </w:rPr>
        <w:t>J. Open Source Softw.</w:t>
      </w:r>
      <w:r>
        <w:rPr>
          <w:rFonts w:hint="default" w:ascii="Times New Roman" w:hAnsi="Times New Roman" w:eastAsia="Times New Roman" w:cs="Times New Roman"/>
          <w:sz w:val="23"/>
          <w:szCs w:val="23"/>
          <w:lang w:val="pt-BR"/>
        </w:rPr>
        <w:t>, v. 6, n. 58, p. 2911, fev. 2021, doi: 10.21105/joss.02911.</w:t>
      </w:r>
    </w:p>
    <w:p w14:paraId="42CE621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[66]</w:t>
      </w:r>
      <w:r>
        <w:rPr>
          <w:rFonts w:hint="default" w:ascii="Times New Roman" w:hAnsi="Times New Roman" w:eastAsia="Times New Roman" w:cs="Times New Roman"/>
          <w:sz w:val="23"/>
          <w:szCs w:val="23"/>
          <w:lang w:val="pt-BR"/>
        </w:rPr>
        <w:tab/>
        <w:t xml:space="preserve">A. Peters, B. Galna, M. Sangeux, M. Morris, e R. Baker, “Quantification of soft tissue artifact in lower limb human motion analysis: A systematic review”,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31, n. 1, p. 1–8, jan. 2010, doi: 10.1016/j.gaitpost.2009.09.004.</w:t>
      </w:r>
    </w:p>
    <w:p w14:paraId="00B2D4C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[67]</w:t>
      </w:r>
      <w:r>
        <w:rPr>
          <w:rFonts w:hint="default" w:ascii="Times New Roman" w:hAnsi="Times New Roman" w:eastAsia="Times New Roman" w:cs="Times New Roman"/>
          <w:sz w:val="23"/>
          <w:szCs w:val="23"/>
          <w:lang w:val="pt-BR"/>
        </w:rPr>
        <w:tab/>
        <w:t xml:space="preserve">D. G. E. Robertson, G. E. Caldwell, J. Hamill, G. Kamen, e S. N. Whittlesey, </w:t>
      </w:r>
      <w:r>
        <w:rPr>
          <w:rFonts w:hint="default" w:ascii="Times New Roman" w:hAnsi="Times New Roman" w:eastAsia="Times New Roman" w:cs="Times New Roman"/>
          <w:i/>
          <w:sz w:val="23"/>
          <w:szCs w:val="23"/>
          <w:lang w:val="pt-BR"/>
        </w:rPr>
        <w:t>Research Methods in Biomechanics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Human Kinetics, 2014. doi: 10.5040/9781492595809.</w:t>
      </w:r>
    </w:p>
    <w:p w14:paraId="3C5A241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[68]</w:t>
      </w:r>
      <w:r>
        <w:rPr>
          <w:rFonts w:hint="default" w:ascii="Times New Roman" w:hAnsi="Times New Roman" w:eastAsia="Times New Roman" w:cs="Times New Roman"/>
          <w:sz w:val="23"/>
          <w:szCs w:val="23"/>
          <w:lang w:val="pt-BR"/>
        </w:rPr>
        <w:tab/>
        <w:t xml:space="preserve">S. J. Howarth e J. P. Callaghan, “Quantitative assessment of the accuracy for three interpolation techniques in kinematic analysis of human movement”, </w:t>
      </w:r>
      <w:r>
        <w:rPr>
          <w:rFonts w:hint="default" w:ascii="Times New Roman" w:hAnsi="Times New Roman" w:eastAsia="Times New Roman" w:cs="Times New Roman"/>
          <w:i/>
          <w:sz w:val="23"/>
          <w:szCs w:val="23"/>
          <w:lang w:val="pt-BR"/>
        </w:rPr>
        <w:t>Comput. Methods Biomech. Biomed. Engin.</w:t>
      </w:r>
      <w:r>
        <w:rPr>
          <w:rFonts w:hint="default" w:ascii="Times New Roman" w:hAnsi="Times New Roman" w:eastAsia="Times New Roman" w:cs="Times New Roman"/>
          <w:sz w:val="23"/>
          <w:szCs w:val="23"/>
          <w:lang w:val="pt-BR"/>
        </w:rPr>
        <w:t>, v. 13, n. 6, p. 847–855, dez. 2010, doi: 10.1080/10255841003664701.</w:t>
      </w:r>
    </w:p>
    <w:p w14:paraId="283AD2B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[69]</w:t>
      </w:r>
      <w:r>
        <w:rPr>
          <w:rFonts w:hint="default" w:ascii="Times New Roman" w:hAnsi="Times New Roman" w:eastAsia="Times New Roman" w:cs="Times New Roman"/>
          <w:sz w:val="23"/>
          <w:szCs w:val="23"/>
          <w:lang w:val="pt-BR"/>
        </w:rPr>
        <w:tab/>
        <w:t xml:space="preserve">M. Šenk e L. Chèze, “Rotation sequence as an important factor in shoulder kinematics”, </w:t>
      </w:r>
      <w:r>
        <w:rPr>
          <w:rFonts w:hint="default" w:ascii="Times New Roman" w:hAnsi="Times New Roman" w:eastAsia="Times New Roman" w:cs="Times New Roman"/>
          <w:i/>
          <w:sz w:val="23"/>
          <w:szCs w:val="23"/>
          <w:lang w:val="pt-BR"/>
        </w:rPr>
        <w:t>Clin. Biomech.</w:t>
      </w:r>
      <w:r>
        <w:rPr>
          <w:rFonts w:hint="default" w:ascii="Times New Roman" w:hAnsi="Times New Roman" w:eastAsia="Times New Roman" w:cs="Times New Roman"/>
          <w:sz w:val="23"/>
          <w:szCs w:val="23"/>
          <w:lang w:val="pt-BR"/>
        </w:rPr>
        <w:t>, v. 21, p. S3–S8, jan. 2006, doi: 10.1016/j.clinbiomech.2005.09.007.</w:t>
      </w:r>
    </w:p>
    <w:p w14:paraId="71F344C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[70]</w:t>
      </w:r>
      <w:r>
        <w:rPr>
          <w:rFonts w:hint="default" w:ascii="Times New Roman" w:hAnsi="Times New Roman" w:eastAsia="Times New Roman" w:cs="Times New Roman"/>
          <w:sz w:val="23"/>
          <w:szCs w:val="23"/>
          <w:lang w:val="pt-BR"/>
        </w:rPr>
        <w:tab/>
        <w:t xml:space="preserve">R. E. Fellin, W. C. Rose, T. D. Royer, e I. S. Davis, “Comparison of methods for kinematic identification of footstrike and toe-off during overground and treadmill running”, </w:t>
      </w:r>
      <w:r>
        <w:rPr>
          <w:rFonts w:hint="default" w:ascii="Times New Roman" w:hAnsi="Times New Roman" w:eastAsia="Times New Roman" w:cs="Times New Roman"/>
          <w:i/>
          <w:sz w:val="23"/>
          <w:szCs w:val="23"/>
          <w:lang w:val="pt-BR"/>
        </w:rPr>
        <w:t>J. Sci. Med. Sport</w:t>
      </w:r>
      <w:r>
        <w:rPr>
          <w:rFonts w:hint="default" w:ascii="Times New Roman" w:hAnsi="Times New Roman" w:eastAsia="Times New Roman" w:cs="Times New Roman"/>
          <w:sz w:val="23"/>
          <w:szCs w:val="23"/>
          <w:lang w:val="pt-BR"/>
        </w:rPr>
        <w:t>, v. 13, n. 6, p. 646–650, nov. 2010, doi: 10.1016/j.jsams.2010.03.006.</w:t>
      </w:r>
    </w:p>
    <w:p w14:paraId="45C19E9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[71]</w:t>
      </w:r>
      <w:r>
        <w:rPr>
          <w:rFonts w:hint="default" w:ascii="Times New Roman" w:hAnsi="Times New Roman" w:eastAsia="Times New Roman" w:cs="Times New Roman"/>
          <w:sz w:val="23"/>
          <w:szCs w:val="23"/>
          <w:lang w:val="pt-BR"/>
        </w:rPr>
        <w:tab/>
        <w:t xml:space="preserve">J. A. Zeni, J. G. Richards, e J. S. Higginson, “Two simple methods for determining gait events during treadmill and overground walking using kinematic data”,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27, n. 4, p. 710–714, maio 2008, doi: 10.1016/j.gaitpost.2007.07.007.</w:t>
      </w:r>
    </w:p>
    <w:p w14:paraId="73BB0823">
      <w:pPr>
        <w:tabs>
          <w:tab w:val="left" w:pos="0"/>
        </w:tabs>
        <w:spacing w:after="0" w:line="240" w:lineRule="auto"/>
        <w:ind w:left="504" w:hanging="504"/>
        <w:rPr>
          <w:rFonts w:hint="default" w:ascii="Times New Roman" w:hAnsi="Times New Roman" w:eastAsia="Times New Roman" w:cs="Times New Roman"/>
          <w:sz w:val="23"/>
          <w:szCs w:val="23"/>
          <w:lang w:val="en-US"/>
        </w:rPr>
      </w:pPr>
      <w:r>
        <w:rPr>
          <w:rFonts w:hint="default" w:ascii="Times New Roman" w:hAnsi="Times New Roman" w:eastAsia="Times New Roman" w:cs="Times New Roman"/>
          <w:sz w:val="23"/>
          <w:szCs w:val="23"/>
          <w:lang w:val="pt-BR"/>
        </w:rPr>
        <w:t>[72]</w:t>
      </w:r>
      <w:r>
        <w:rPr>
          <w:rFonts w:hint="default" w:ascii="Times New Roman" w:hAnsi="Times New Roman" w:eastAsia="Times New Roman" w:cs="Times New Roman"/>
          <w:sz w:val="23"/>
          <w:szCs w:val="23"/>
          <w:lang w:val="pt-BR"/>
        </w:rPr>
        <w:tab/>
        <w:t xml:space="preserve">S. S. Sun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“Development of bioelectrical impedance analysis prediction equations for body composition with the use of a multicomponent model for use in epidemiologic surveys”, </w:t>
      </w:r>
      <w:r>
        <w:rPr>
          <w:rFonts w:hint="default" w:ascii="Times New Roman" w:hAnsi="Times New Roman" w:eastAsia="Times New Roman" w:cs="Times New Roman"/>
          <w:i/>
          <w:sz w:val="23"/>
          <w:szCs w:val="23"/>
          <w:lang w:val="pt-BR"/>
        </w:rPr>
        <w:t>Am. J. Clin. Nutr.</w:t>
      </w:r>
      <w:r>
        <w:rPr>
          <w:rFonts w:hint="default" w:ascii="Times New Roman" w:hAnsi="Times New Roman" w:eastAsia="Times New Roman" w:cs="Times New Roman"/>
          <w:sz w:val="23"/>
          <w:szCs w:val="23"/>
          <w:lang w:val="pt-BR"/>
        </w:rPr>
        <w:t>, v. 77, n. 2, p. 331–340, fev. 2003, doi: 10.1093/ajcn/77.2.331.</w:t>
      </w:r>
      <w:r>
        <w:rPr>
          <w:rFonts w:hint="default" w:ascii="Times New Roman" w:hAnsi="Times New Roman" w:eastAsia="Times New Roman" w:cs="Times New Roman"/>
          <w:sz w:val="23"/>
          <w:szCs w:val="23"/>
          <w:lang w:val="en-US"/>
        </w:rPr>
        <w:fldChar w:fldCharType="end"/>
      </w:r>
    </w:p>
    <w:p w14:paraId="37E02F6D">
      <w:pPr>
        <w:spacing w:line="360" w:lineRule="auto"/>
        <w:rPr>
          <w:rFonts w:hint="default" w:ascii="Times New Roman" w:hAnsi="Times New Roman" w:eastAsia="Times New Roman" w:cs="Times New Roman"/>
          <w:sz w:val="23"/>
          <w:szCs w:val="23"/>
          <w:lang w:val="en-US"/>
        </w:rPr>
      </w:pPr>
    </w:p>
    <w:p w14:paraId="3ADCE635">
      <w:pPr>
        <w:rPr>
          <w:rFonts w:hint="default"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6ED6718"/>
    <w:rsid w:val="18094E13"/>
    <w:rsid w:val="18912A5B"/>
    <w:rsid w:val="1D045AC2"/>
    <w:rsid w:val="1E17043B"/>
    <w:rsid w:val="220533F3"/>
    <w:rsid w:val="226637AB"/>
    <w:rsid w:val="25524700"/>
    <w:rsid w:val="26130FD7"/>
    <w:rsid w:val="29E908E1"/>
    <w:rsid w:val="2DC044DF"/>
    <w:rsid w:val="339D4A97"/>
    <w:rsid w:val="36DB148C"/>
    <w:rsid w:val="43352264"/>
    <w:rsid w:val="448536D8"/>
    <w:rsid w:val="508E3FB7"/>
    <w:rsid w:val="5E571978"/>
    <w:rsid w:val="63DA25E0"/>
    <w:rsid w:val="69687548"/>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13063</Words>
  <Characters>75801</Characters>
  <Lines>1928</Lines>
  <Paragraphs>547</Paragraphs>
  <TotalTime>8</TotalTime>
  <ScaleCrop>false</ScaleCrop>
  <LinksUpToDate>false</LinksUpToDate>
  <CharactersWithSpaces>88509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2026-09-14T20:04:46Z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1046-12.1.0.28032</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id="f2I9vF20"/&gt;&lt;style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