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AA255">
      <w:pPr>
        <w:spacing w:line="360" w:lineRule="auto"/>
        <w:jc w:val="center"/>
        <w:rPr>
          <w:rFonts w:hint="default" w:ascii="Times New Roman" w:hAnsi="Times New Roman" w:eastAsia="Times New Roman" w:cs="Times New Roman"/>
        </w:rPr>
      </w:pPr>
      <w:r>
        <w:rPr>
          <w:rFonts w:hint="default" w:ascii="Times New Roman" w:hAnsi="Times New Roman" w:cs="Times New Roman"/>
        </w:rPr>
        <mc:AlternateContent>
          <mc:Choice Requires="wps">
            <w:drawing>
              <wp:anchor distT="0" distB="0" distL="0" distR="0" simplePos="0" relativeHeight="251659264" behindDoc="0" locked="0" layoutInCell="0" allowOverlap="1">
                <wp:simplePos x="0" y="0"/>
                <wp:positionH relativeFrom="page">
                  <wp:posOffset>-523875</wp:posOffset>
                </wp:positionH>
                <wp:positionV relativeFrom="page">
                  <wp:align>top</wp:align>
                </wp:positionV>
                <wp:extent cx="523875" cy="781050"/>
                <wp:effectExtent l="0" t="0" r="0" b="0"/>
                <wp:wrapNone/>
                <wp:docPr id="2" name="bgLayers_comp-joj48vip"/>
                <wp:cNvGraphicFramePr/>
                <a:graphic xmlns:a="http://schemas.openxmlformats.org/drawingml/2006/main">
                  <a:graphicData uri="http://schemas.microsoft.com/office/word/2010/wordprocessingShape">
                    <wps:wsp>
                      <wps:cNvSpPr txBox="1"/>
                      <wps:spPr>
                        <a:xfrm flipH="1">
                          <a:off x="0" y="0"/>
                          <a:ext cx="523875" cy="781050"/>
                        </a:xfrm>
                        <a:prstGeom prst="rect">
                          <a:avLst/>
                        </a:prstGeom>
                        <a:solidFill>
                          <a:srgbClr val="FFFFFF"/>
                        </a:solidFill>
                      </wps:spPr>
                      <wps:txbx>
                        <w:txbxContent>
                          <w:p w14:paraId="78E06E17"/>
                        </w:txbxContent>
                      </wps:txbx>
                      <wps:bodyPr wrap="square" lIns="0" tIns="0" rIns="0" bIns="0" anchor="t">
                        <a:noAutofit/>
                      </wps:bodyPr>
                    </wps:wsp>
                  </a:graphicData>
                </a:graphic>
              </wp:anchor>
            </w:drawing>
          </mc:Choice>
          <mc:Fallback>
            <w:pict>
              <v:shape id="bgLayers_comp-joj48vip" o:spid="_x0000_s1026" o:spt="202" type="#_x0000_t202" style="position:absolute;left:0pt;flip:x;margin-left:-41.25pt;height:61.5pt;width:41.25pt;mso-position-horizontal-relative:page;mso-position-vertical:top;mso-position-vertical-relative:page;z-index:251659264;mso-width-relative:page;mso-height-relative:page;" fillcolor="#FFFFFF" filled="t" stroked="f" coordsize="21600,21600" o:allowincell="f" o:gfxdata="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t/3Ig9UAAAAFAQAADwAA&#10;AAAAAAABACAAAAAiAAAAZHJzL2Rvd25yZXYueG1sUEsBAhQAFAAAAAgAh07iQP7Rct7gAQAAvgMA&#10;AA4AAAAAAAAAAQAgAAAAJAEAAGRycy9lMm9Eb2MueG1sUEsFBgAAAAAGAAYAWQEAAHYFAAAAAA==&#10;">
                <v:fill on="t" focussize="0,0"/>
                <v:stroke on="f"/>
                <v:imagedata o:title=""/>
                <o:lock v:ext="edit" aspectratio="f"/>
                <v:textbox inset="0mm,0mm,0mm,0mm">
                  <w:txbxContent>
                    <w:p w14:paraId="78E06E17"/>
                  </w:txbxContent>
                </v:textbox>
              </v:shape>
            </w:pict>
          </mc:Fallback>
        </mc:AlternateContent>
      </w:r>
      <w:r>
        <w:rPr>
          <w:rFonts w:hint="default" w:ascii="Times New Roman" w:hAnsi="Times New Roman" w:eastAsia="Times New Roman" w:cs="Times New Roman"/>
        </w:rPr>
        <w:t>UNIVERSIDADE DE SÃO PAULO</w:t>
      </w:r>
      <w:bookmarkStart w:id="0" w:name="_heading=h.f8ewjw6sfegx"/>
      <w:bookmarkEnd w:id="0"/>
    </w:p>
    <w:p w14:paraId="31F266AE">
      <w:pPr>
        <w:spacing w:line="360" w:lineRule="auto"/>
        <w:jc w:val="center"/>
        <w:rPr>
          <w:rFonts w:hint="default" w:ascii="Times New Roman" w:hAnsi="Times New Roman" w:eastAsia="Times New Roman" w:cs="Times New Roman"/>
        </w:rPr>
      </w:pPr>
      <w:r>
        <w:rPr>
          <w:rFonts w:hint="default" w:ascii="Times New Roman" w:hAnsi="Times New Roman" w:eastAsia="Times New Roman" w:cs="Times New Roman"/>
        </w:rPr>
        <w:t>ESCOLA DE EDUCAÇÃO FÍSICA E ESPORTE DE RIBEIRÃO PRETO</w:t>
      </w:r>
    </w:p>
    <w:p w14:paraId="3B59E5D9">
      <w:pPr>
        <w:spacing w:line="360" w:lineRule="auto"/>
        <w:rPr>
          <w:rFonts w:hint="default" w:ascii="Times New Roman" w:hAnsi="Times New Roman" w:eastAsia="Times New Roman" w:cs="Times New Roman"/>
        </w:rPr>
      </w:pPr>
    </w:p>
    <w:p w14:paraId="02D377FF">
      <w:pPr>
        <w:spacing w:line="360" w:lineRule="auto"/>
        <w:rPr>
          <w:rFonts w:hint="default" w:ascii="Times New Roman" w:hAnsi="Times New Roman" w:eastAsia="Times New Roman" w:cs="Times New Roman"/>
        </w:rPr>
      </w:pPr>
    </w:p>
    <w:p w14:paraId="05AF3407">
      <w:pPr>
        <w:spacing w:line="360" w:lineRule="auto"/>
        <w:rPr>
          <w:rFonts w:hint="default" w:ascii="Times New Roman" w:hAnsi="Times New Roman" w:eastAsia="Times New Roman" w:cs="Times New Roman"/>
        </w:rPr>
      </w:pPr>
    </w:p>
    <w:p w14:paraId="2D6BA17A">
      <w:pPr>
        <w:spacing w:line="360" w:lineRule="auto"/>
        <w:rPr>
          <w:rFonts w:hint="default" w:ascii="Times New Roman" w:hAnsi="Times New Roman" w:eastAsia="Times New Roman" w:cs="Times New Roman"/>
        </w:rPr>
      </w:pPr>
    </w:p>
    <w:p w14:paraId="151E80E2">
      <w:pPr>
        <w:spacing w:line="360" w:lineRule="auto"/>
        <w:jc w:val="center"/>
        <w:rPr>
          <w:rFonts w:hint="default" w:ascii="Times New Roman" w:hAnsi="Times New Roman" w:eastAsia="Times New Roman" w:cs="Times New Roman"/>
        </w:rPr>
      </w:pPr>
      <w:r>
        <w:rPr>
          <w:rFonts w:hint="default" w:ascii="Times New Roman" w:hAnsi="Times New Roman" w:eastAsia="Times New Roman" w:cs="Times New Roman"/>
        </w:rPr>
        <w:t>GUILHERME DE PAULA LEMOS</w:t>
      </w:r>
    </w:p>
    <w:p w14:paraId="4E4311D7">
      <w:pPr>
        <w:spacing w:line="360" w:lineRule="auto"/>
        <w:rPr>
          <w:rFonts w:hint="default" w:ascii="Times New Roman" w:hAnsi="Times New Roman" w:eastAsia="Times New Roman" w:cs="Times New Roman"/>
        </w:rPr>
      </w:pPr>
    </w:p>
    <w:p w14:paraId="7E103BFB">
      <w:pPr>
        <w:spacing w:line="360" w:lineRule="auto"/>
        <w:rPr>
          <w:rFonts w:hint="default" w:ascii="Times New Roman" w:hAnsi="Times New Roman" w:eastAsia="Times New Roman" w:cs="Times New Roman"/>
        </w:rPr>
      </w:pPr>
    </w:p>
    <w:p w14:paraId="4FDA10A8">
      <w:pPr>
        <w:spacing w:line="360" w:lineRule="auto"/>
        <w:rPr>
          <w:rFonts w:hint="default" w:ascii="Times New Roman" w:hAnsi="Times New Roman" w:eastAsia="Times New Roman" w:cs="Times New Roman"/>
        </w:rPr>
      </w:pPr>
    </w:p>
    <w:p w14:paraId="7BBDDC43">
      <w:pPr>
        <w:spacing w:line="360" w:lineRule="auto"/>
        <w:rPr>
          <w:rFonts w:hint="default" w:ascii="Times New Roman" w:hAnsi="Times New Roman" w:eastAsia="Times New Roman" w:cs="Times New Roman"/>
        </w:rPr>
      </w:pPr>
    </w:p>
    <w:p w14:paraId="3DB7F15F">
      <w:pPr>
        <w:spacing w:line="360" w:lineRule="auto"/>
        <w:jc w:val="center"/>
        <w:rPr>
          <w:rFonts w:hint="default" w:ascii="Times New Roman" w:hAnsi="Times New Roman" w:eastAsia="Times New Roman" w:cs="Times New Roman"/>
          <w:i/>
          <w:vertAlign w:val="superscript"/>
        </w:rPr>
      </w:pPr>
      <w:r>
        <w:rPr>
          <w:rFonts w:hint="default" w:ascii="Times New Roman" w:hAnsi="Times New Roman" w:eastAsia="Times New Roman" w:cs="Times New Roman"/>
        </w:rPr>
        <w:t xml:space="preserve">ANÁLISE DE FATORES ASSOCIADOS AO DESEMPENHO NO </w:t>
      </w:r>
      <w:r>
        <w:rPr>
          <w:rFonts w:hint="default" w:ascii="Times New Roman" w:hAnsi="Times New Roman" w:eastAsia="Times New Roman" w:cs="Times New Roman"/>
          <w:i/>
        </w:rPr>
        <w:t xml:space="preserve">HANDSTAND </w:t>
      </w:r>
      <w:r>
        <w:rPr>
          <w:rFonts w:hint="default" w:ascii="Times New Roman" w:hAnsi="Times New Roman" w:eastAsia="Times New Roman" w:cs="Times New Roman"/>
        </w:rPr>
        <w:t xml:space="preserve">E </w:t>
      </w:r>
      <w:r>
        <w:rPr>
          <w:rFonts w:hint="default" w:ascii="Times New Roman" w:hAnsi="Times New Roman" w:eastAsia="Times New Roman" w:cs="Times New Roman"/>
          <w:i/>
        </w:rPr>
        <w:t>HANDSTAND WALK</w:t>
      </w:r>
      <w:r>
        <w:rPr>
          <w:rFonts w:hint="default" w:ascii="Times New Roman" w:hAnsi="Times New Roman" w:eastAsia="Times New Roman" w:cs="Times New Roman"/>
        </w:rPr>
        <w:t xml:space="preserve"> </w:t>
      </w:r>
    </w:p>
    <w:p w14:paraId="54B3AD3E">
      <w:pPr>
        <w:spacing w:line="360" w:lineRule="auto"/>
        <w:jc w:val="center"/>
        <w:rPr>
          <w:rFonts w:hint="default" w:ascii="Times New Roman" w:hAnsi="Times New Roman" w:eastAsia="Times New Roman" w:cs="Times New Roman"/>
        </w:rPr>
      </w:pPr>
    </w:p>
    <w:p w14:paraId="0C09F44D">
      <w:pPr>
        <w:spacing w:line="360" w:lineRule="auto"/>
        <w:ind w:left="4320" w:right="18"/>
        <w:rPr>
          <w:rFonts w:hint="default" w:ascii="Times New Roman" w:hAnsi="Times New Roman" w:eastAsia="Times New Roman" w:cs="Times New Roman"/>
          <w:color w:val="000000"/>
        </w:rPr>
      </w:pPr>
      <w:r>
        <w:rPr>
          <w:rFonts w:hint="default" w:ascii="Times New Roman" w:hAnsi="Times New Roman" w:eastAsia="Times New Roman" w:cs="Times New Roman"/>
          <w:color w:val="000000"/>
        </w:rPr>
        <w:t>Candidato: Guilherme de Paula Lemos</w:t>
      </w:r>
    </w:p>
    <w:p w14:paraId="74EDDA1A">
      <w:pPr>
        <w:spacing w:line="360" w:lineRule="auto"/>
        <w:ind w:left="4320" w:right="18"/>
        <w:rPr>
          <w:rFonts w:hint="default" w:ascii="Times New Roman" w:hAnsi="Times New Roman" w:eastAsia="Times New Roman" w:cs="Times New Roman"/>
          <w:color w:val="000000"/>
        </w:rPr>
      </w:pPr>
      <w:r>
        <w:rPr>
          <w:rFonts w:hint="default" w:ascii="Times New Roman" w:hAnsi="Times New Roman" w:eastAsia="Times New Roman" w:cs="Times New Roman"/>
          <w:color w:val="000000"/>
        </w:rPr>
        <w:t>Orientador: Matheus Machado Gomes</w:t>
      </w:r>
    </w:p>
    <w:p w14:paraId="63D5171F">
      <w:pPr>
        <w:spacing w:line="360" w:lineRule="auto"/>
        <w:ind w:left="4320" w:right="18"/>
        <w:rPr>
          <w:rFonts w:hint="default" w:ascii="Times New Roman" w:hAnsi="Times New Roman" w:eastAsia="Times New Roman" w:cs="Times New Roman"/>
          <w:color w:val="000000"/>
        </w:rPr>
      </w:pPr>
      <w:r>
        <w:rPr>
          <w:rFonts w:hint="default" w:ascii="Times New Roman" w:hAnsi="Times New Roman" w:eastAsia="Times New Roman" w:cs="Times New Roman"/>
          <w:color w:val="000000"/>
        </w:rPr>
        <w:t xml:space="preserve">Linha de Pesquisa: </w:t>
      </w:r>
      <w:r>
        <w:rPr>
          <w:rFonts w:hint="default" w:ascii="Times New Roman" w:hAnsi="Times New Roman" w:eastAsia="Times New Roman" w:cs="Times New Roman"/>
          <w:i/>
          <w:color w:val="000000"/>
        </w:rPr>
        <w:t>Aspectos biodinâmicos da atividade física e do esporte</w:t>
      </w:r>
    </w:p>
    <w:p w14:paraId="00E4EDE3">
      <w:pPr>
        <w:spacing w:line="360" w:lineRule="auto"/>
        <w:rPr>
          <w:rFonts w:hint="default" w:ascii="Times New Roman" w:hAnsi="Times New Roman" w:eastAsia="Times New Roman" w:cs="Times New Roman"/>
        </w:rPr>
      </w:pPr>
    </w:p>
    <w:p w14:paraId="6986C6F9">
      <w:pPr>
        <w:spacing w:line="360" w:lineRule="auto"/>
        <w:rPr>
          <w:rFonts w:hint="default" w:ascii="Times New Roman" w:hAnsi="Times New Roman" w:eastAsia="Times New Roman" w:cs="Times New Roman"/>
        </w:rPr>
      </w:pPr>
    </w:p>
    <w:p w14:paraId="728C306C">
      <w:pPr>
        <w:spacing w:line="360" w:lineRule="auto"/>
        <w:rPr>
          <w:rFonts w:hint="default" w:ascii="Times New Roman" w:hAnsi="Times New Roman" w:eastAsia="Times New Roman" w:cs="Times New Roman"/>
        </w:rPr>
      </w:pPr>
    </w:p>
    <w:p w14:paraId="072A8F1B">
      <w:pPr>
        <w:spacing w:line="360" w:lineRule="auto"/>
        <w:rPr>
          <w:rFonts w:hint="default" w:ascii="Times New Roman" w:hAnsi="Times New Roman" w:eastAsia="Times New Roman" w:cs="Times New Roman"/>
        </w:rPr>
      </w:pPr>
    </w:p>
    <w:p w14:paraId="06C0B9A2">
      <w:pPr>
        <w:spacing w:line="360" w:lineRule="auto"/>
        <w:rPr>
          <w:rFonts w:hint="default" w:ascii="Times New Roman" w:hAnsi="Times New Roman" w:eastAsia="Times New Roman" w:cs="Times New Roman"/>
        </w:rPr>
      </w:pPr>
    </w:p>
    <w:p w14:paraId="2A9E1F85">
      <w:pPr>
        <w:spacing w:line="360" w:lineRule="auto"/>
        <w:rPr>
          <w:rFonts w:hint="default" w:ascii="Times New Roman" w:hAnsi="Times New Roman" w:eastAsia="Times New Roman" w:cs="Times New Roman"/>
        </w:rPr>
      </w:pPr>
    </w:p>
    <w:p w14:paraId="0F2BF67B">
      <w:pPr>
        <w:spacing w:line="360" w:lineRule="auto"/>
        <w:rPr>
          <w:rFonts w:hint="default" w:ascii="Times New Roman" w:hAnsi="Times New Roman" w:eastAsia="Times New Roman" w:cs="Times New Roman"/>
        </w:rPr>
      </w:pPr>
    </w:p>
    <w:p w14:paraId="249B72E6">
      <w:pPr>
        <w:spacing w:line="360" w:lineRule="auto"/>
        <w:rPr>
          <w:rFonts w:hint="default" w:ascii="Times New Roman" w:hAnsi="Times New Roman" w:eastAsia="Times New Roman" w:cs="Times New Roman"/>
        </w:rPr>
      </w:pPr>
    </w:p>
    <w:p w14:paraId="7A93AD74">
      <w:pPr>
        <w:spacing w:line="360" w:lineRule="auto"/>
        <w:rPr>
          <w:rFonts w:hint="default" w:ascii="Times New Roman" w:hAnsi="Times New Roman" w:eastAsia="Times New Roman" w:cs="Times New Roman"/>
        </w:rPr>
      </w:pPr>
    </w:p>
    <w:p w14:paraId="0E723B6C">
      <w:pPr>
        <w:spacing w:line="360" w:lineRule="auto"/>
        <w:rPr>
          <w:rFonts w:hint="default" w:ascii="Times New Roman" w:hAnsi="Times New Roman" w:eastAsia="Times New Roman" w:cs="Times New Roman"/>
        </w:rPr>
      </w:pPr>
    </w:p>
    <w:p w14:paraId="4F5E5083">
      <w:pPr>
        <w:spacing w:line="360" w:lineRule="auto"/>
        <w:rPr>
          <w:rFonts w:hint="default" w:ascii="Times New Roman" w:hAnsi="Times New Roman" w:eastAsia="Times New Roman" w:cs="Times New Roman"/>
        </w:rPr>
      </w:pPr>
    </w:p>
    <w:p w14:paraId="704386DB">
      <w:pPr>
        <w:spacing w:line="360" w:lineRule="auto"/>
        <w:rPr>
          <w:rFonts w:hint="default" w:ascii="Times New Roman" w:hAnsi="Times New Roman" w:eastAsia="Times New Roman" w:cs="Times New Roman"/>
        </w:rPr>
      </w:pPr>
    </w:p>
    <w:p w14:paraId="69997485">
      <w:pPr>
        <w:spacing w:line="360" w:lineRule="auto"/>
        <w:rPr>
          <w:rFonts w:hint="default" w:ascii="Times New Roman" w:hAnsi="Times New Roman" w:eastAsia="Times New Roman" w:cs="Times New Roman"/>
        </w:rPr>
      </w:pPr>
    </w:p>
    <w:p w14:paraId="3F1800FC">
      <w:pPr>
        <w:spacing w:line="360" w:lineRule="auto"/>
        <w:jc w:val="center"/>
        <w:rPr>
          <w:rFonts w:hint="default" w:ascii="Times New Roman" w:hAnsi="Times New Roman" w:eastAsia="Times New Roman" w:cs="Times New Roman"/>
        </w:rPr>
      </w:pPr>
      <w:r>
        <w:rPr>
          <w:rFonts w:hint="default" w:ascii="Times New Roman" w:hAnsi="Times New Roman" w:eastAsia="Times New Roman" w:cs="Times New Roman"/>
        </w:rPr>
        <w:t>Ribeirão Preto - SP</w:t>
      </w:r>
    </w:p>
    <w:p w14:paraId="16EAA841">
      <w:pPr>
        <w:spacing w:line="360" w:lineRule="auto"/>
        <w:jc w:val="center"/>
        <w:rPr>
          <w:rFonts w:hint="default" w:ascii="Times New Roman" w:hAnsi="Times New Roman" w:eastAsia="Times New Roman" w:cs="Times New Roman"/>
        </w:rPr>
        <w:sectPr>
          <w:pgSz w:w="11906" w:h="16838"/>
          <w:pgMar w:top="1418" w:right="1418" w:bottom="1418" w:left="1418" w:header="0" w:footer="0" w:gutter="0"/>
          <w:pgNumType w:start="1"/>
          <w:cols w:space="720" w:num="1"/>
          <w:formProt w:val="0"/>
          <w:docGrid w:linePitch="100" w:charSpace="0"/>
        </w:sectPr>
      </w:pPr>
      <w:r>
        <w:rPr>
          <w:rFonts w:hint="default" w:ascii="Times New Roman" w:hAnsi="Times New Roman" w:cs="Times New Roman"/>
        </w:rPr>
        <w:t>2026</w:t>
      </w:r>
    </w:p>
    <w:p w14:paraId="43457DE2">
      <w:pPr>
        <w:spacing w:line="360" w:lineRule="auto"/>
        <w:jc w:val="center"/>
        <w:rPr>
          <w:rFonts w:hint="default" w:ascii="Times New Roman" w:hAnsi="Times New Roman" w:eastAsia="Times New Roman" w:cs="Times New Roman"/>
          <w:i/>
          <w:vertAlign w:val="superscript"/>
        </w:rPr>
      </w:pPr>
      <w:bookmarkStart w:id="1" w:name="_heading=h.o5ku8cknwnit"/>
      <w:bookmarkEnd w:id="1"/>
      <w:r>
        <w:rPr>
          <w:rFonts w:hint="default" w:ascii="Times New Roman" w:hAnsi="Times New Roman" w:eastAsia="Times New Roman" w:cs="Times New Roman"/>
        </w:rPr>
        <w:t xml:space="preserve">ANÁLISE DE FATORES ASSOCIADOS AO DESEMPENHO NO </w:t>
      </w:r>
      <w:r>
        <w:rPr>
          <w:rFonts w:hint="default" w:ascii="Times New Roman" w:hAnsi="Times New Roman" w:eastAsia="Times New Roman" w:cs="Times New Roman"/>
          <w:i/>
        </w:rPr>
        <w:t xml:space="preserve">HANDSTAND </w:t>
      </w:r>
      <w:r>
        <w:rPr>
          <w:rFonts w:hint="default" w:ascii="Times New Roman" w:hAnsi="Times New Roman" w:eastAsia="Times New Roman" w:cs="Times New Roman"/>
        </w:rPr>
        <w:t xml:space="preserve">E </w:t>
      </w:r>
      <w:r>
        <w:rPr>
          <w:rFonts w:hint="default" w:ascii="Times New Roman" w:hAnsi="Times New Roman" w:eastAsia="Times New Roman" w:cs="Times New Roman"/>
          <w:i/>
        </w:rPr>
        <w:t>HANDSTAND WALK</w:t>
      </w:r>
      <w:r>
        <w:rPr>
          <w:rFonts w:hint="default" w:ascii="Times New Roman" w:hAnsi="Times New Roman" w:eastAsia="Times New Roman" w:cs="Times New Roman"/>
        </w:rPr>
        <w:t xml:space="preserve"> </w:t>
      </w:r>
    </w:p>
    <w:p w14:paraId="5BFB30C0">
      <w:pPr>
        <w:spacing w:line="360" w:lineRule="auto"/>
        <w:jc w:val="left"/>
        <w:rPr>
          <w:rFonts w:hint="default" w:ascii="Times New Roman" w:hAnsi="Times New Roman" w:eastAsia="Times New Roman" w:cs="Times New Roman"/>
          <w:b/>
        </w:rPr>
      </w:pPr>
      <w:r>
        <w:rPr>
          <w:rFonts w:hint="default" w:ascii="Times New Roman" w:hAnsi="Times New Roman" w:eastAsia="Times New Roman" w:cs="Times New Roman"/>
          <w:b/>
        </w:rPr>
        <w:t>RESUMO</w:t>
      </w:r>
    </w:p>
    <w:p w14:paraId="092F70AB">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O </w:t>
      </w:r>
      <w:r>
        <w:rPr>
          <w:rFonts w:hint="default" w:ascii="Times New Roman" w:hAnsi="Times New Roman" w:eastAsia="Times New Roman" w:cs="Times New Roman"/>
          <w:i/>
          <w:iCs/>
        </w:rPr>
        <w:t>handstand (HS)</w:t>
      </w:r>
      <w:r>
        <w:rPr>
          <w:rFonts w:hint="default" w:ascii="Times New Roman" w:hAnsi="Times New Roman" w:eastAsia="Times New Roman" w:cs="Times New Roman"/>
        </w:rPr>
        <w:t xml:space="preserve"> é uma tarefa motora caracterizada pelo equilíbrio estático em posição invertida sobre as mãos, enquanto o </w:t>
      </w:r>
      <w:r>
        <w:rPr>
          <w:rFonts w:hint="default" w:ascii="Times New Roman" w:hAnsi="Times New Roman" w:eastAsia="Times New Roman" w:cs="Times New Roman"/>
          <w:i/>
          <w:iCs/>
        </w:rPr>
        <w:t>handstand walk (HSW)</w:t>
      </w:r>
      <w:r>
        <w:rPr>
          <w:rFonts w:hint="default" w:ascii="Times New Roman" w:hAnsi="Times New Roman" w:eastAsia="Times New Roman" w:cs="Times New Roman"/>
        </w:rPr>
        <w:t xml:space="preserve"> envolve deslocamento dinâmico nessa posição; ambos constituem elementos fundamentais em vários contextos esportivos, nos quais são reconhecidos e valorizados como expressão de proficiência e capacidade física. O presente projeto tem como objetivo investigar os fatores determinantes para o desempenho em ambas as habilidades motoras. Embora amplamente reconhecidos pela complexidade motora,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ainda são predominantemente estudados em amostras restritas, em sua maioria compostas apenas por ginastas experientes, o que limita a compreensão de como variáveis distintas se correlacionam e influenciam essas habilidades em diferentes contextos de prática. Para preencher essa lacuna, serão recrutados adultos, homens e mulheres, com experiência prévia na prática de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e/ou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em suas modalidades de origem, contemplando diferentes perfis técnicos e de tempo de prática. Serão empregados modelos de regressão linear múltipla e regressão logística binária tendo como preditores: força máxima de flexores de punho e dedos, além do </w:t>
      </w:r>
      <w:r>
        <w:rPr>
          <w:rFonts w:hint="default" w:ascii="Times New Roman" w:hAnsi="Times New Roman" w:eastAsia="Times New Roman" w:cs="Times New Roman"/>
          <w:i/>
          <w:iCs/>
        </w:rPr>
        <w:t>shoulder press</w:t>
      </w:r>
      <w:r>
        <w:rPr>
          <w:rFonts w:hint="default" w:ascii="Times New Roman" w:hAnsi="Times New Roman" w:eastAsia="Times New Roman" w:cs="Times New Roman"/>
        </w:rPr>
        <w:t xml:space="preserve"> relativo à massa corporal; resistência muscular em posição invertida; parâmetros estabilométricos de controle postural (distância CoP-CoM, velocidade do CoP e entropia aproximada); medidas antropométricas, incluindo comprimento de membros, altura do centro de massa (CoM) e composição corporal; e análise cinemática 3D dos ângulos articulares (ombros, quadril e cabeça), orientação angular das mãos e largura da base de apoio; além de variáveis de deslocamento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como tempo, velocidade, cadência e variabilidade espacial e temporal das passadas.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o desempenho será avaliado pelo tempo de sustentação na condição assistida e pelo sucesso na estabilização de entradas livres, enquanto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será considerada a mediana da distância percorrida. As hipóteses centrais são de que a força e a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7C020983">
      <w:pPr>
        <w:spacing w:line="360" w:lineRule="auto"/>
        <w:rPr>
          <w:rFonts w:hint="default" w:ascii="Times New Roman" w:hAnsi="Times New Roman" w:eastAsia="Times New Roman" w:cs="Times New Roman"/>
        </w:rPr>
      </w:pPr>
    </w:p>
    <w:p w14:paraId="222B9E07">
      <w:pPr>
        <w:spacing w:line="360" w:lineRule="auto"/>
        <w:rPr>
          <w:rFonts w:hint="default" w:ascii="Times New Roman" w:hAnsi="Times New Roman" w:eastAsia="Times New Roman" w:cs="Times New Roman"/>
          <w:lang w:val="en-US"/>
        </w:rPr>
      </w:pPr>
      <w:r>
        <w:rPr>
          <w:rFonts w:hint="default" w:ascii="Times New Roman" w:hAnsi="Times New Roman" w:cs="Times New Roman"/>
        </w:rPr>
        <w:t>Palavras-chave: Parada de mãos; Andar sobre as mãos; Ginástica; CrossFit®; Calistenia.</w:t>
      </w:r>
    </w:p>
    <w:p w14:paraId="7E5A4316">
      <w:pPr>
        <w:pStyle w:val="2"/>
        <w:numPr>
          <w:ilvl w:val="0"/>
          <w:numId w:val="1"/>
        </w:numPr>
        <w:spacing w:line="360" w:lineRule="auto"/>
        <w:ind w:left="720" w:hanging="360"/>
        <w:rPr>
          <w:rFonts w:hint="default" w:ascii="Times New Roman" w:hAnsi="Times New Roman" w:eastAsia="Times New Roman" w:cs="Times New Roman"/>
        </w:rPr>
      </w:pPr>
      <w:r>
        <w:rPr>
          <w:rFonts w:hint="default" w:ascii="Times New Roman" w:hAnsi="Times New Roman" w:eastAsia="Times New Roman" w:cs="Times New Roman"/>
        </w:rPr>
        <w:t>INTRODUÇÃO</w:t>
      </w:r>
    </w:p>
    <w:p w14:paraId="67CCAD4F">
      <w:pPr>
        <w:spacing w:line="360" w:lineRule="auto"/>
        <w:ind w:firstLine="360"/>
        <w:rPr>
          <w:rFonts w:hint="default" w:ascii="Times New Roman" w:hAnsi="Times New Roman" w:eastAsia="Times New Roman" w:cs="Times New Roman"/>
        </w:rPr>
      </w:pPr>
      <w:r>
        <w:rPr>
          <w:rFonts w:hint="default" w:ascii="Times New Roman" w:hAnsi="Times New Roman" w:eastAsia="Times New Roman" w:cs="Times New Roman"/>
          <w:i/>
        </w:rPr>
        <w:t>Handstand (</w:t>
      </w:r>
      <w:r>
        <w:rPr>
          <w:rFonts w:hint="default" w:ascii="Times New Roman" w:hAnsi="Times New Roman" w:eastAsia="Times New Roman" w:cs="Times New Roman"/>
          <w:i/>
          <w:iCs/>
        </w:rPr>
        <w:t>HS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constitui uma tarefa motora de equilíbrio estático em posição invertida sobre as mãos enquanto </w:t>
      </w:r>
      <w:r>
        <w:rPr>
          <w:rFonts w:hint="default" w:ascii="Times New Roman" w:hAnsi="Times New Roman" w:eastAsia="Times New Roman" w:cs="Times New Roman"/>
          <w:i/>
        </w:rPr>
        <w:t>Handstand Walking (</w:t>
      </w:r>
      <w:r>
        <w:rPr>
          <w:rFonts w:hint="default" w:ascii="Times New Roman" w:hAnsi="Times New Roman" w:eastAsia="Times New Roman" w:cs="Times New Roman"/>
          <w:i/>
          <w:iCs/>
        </w:rPr>
        <w:t>HSW</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é caracterizado por um equilíbrio dinâmico em posição invertida sobre as mãos gerando um deslocamento.</w:t>
      </w:r>
      <w:r>
        <w:rPr>
          <w:rFonts w:hint="default" w:ascii="Times New Roman" w:hAnsi="Times New Roman" w:cs="Times New Roman"/>
        </w:rPr>
        <w:t xml:space="preserve"> </w:t>
      </w:r>
      <w:r>
        <w:rPr>
          <w:rFonts w:hint="default" w:ascii="Times New Roman" w:hAnsi="Times New Roman" w:eastAsia="Times New Roman" w:cs="Times New Roman"/>
        </w:rPr>
        <w:t xml:space="preserve">Ambos são considerados elementos essenciais da ginástica artística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{"citationID":"3hnjItn1","properties":{"formattedCitation":"[1]","plainCitation":"[1]","noteIndex":0},"citationItems":[{"id":333,"uris":["http://zotero.org/users/17274952/items/LV8KSPDR"],"itemData":{"id":333,"type":"article-journal","abstract":"Handstand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 também estão presentes em diversas outras modalidades como, por exemplo, calistenia, </w:t>
      </w:r>
      <w:r>
        <w:rPr>
          <w:rFonts w:hint="default" w:ascii="Times New Roman" w:hAnsi="Times New Roman" w:eastAsia="Times New Roman" w:cs="Times New Roman"/>
          <w:i/>
        </w:rPr>
        <w:t>CrossFit®</w:t>
      </w:r>
      <w:r>
        <w:rPr>
          <w:rFonts w:hint="default" w:ascii="Times New Roman" w:hAnsi="Times New Roman" w:eastAsia="Times New Roman" w:cs="Times New Roman"/>
        </w:rPr>
        <w:t>, yoga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 xml:space="preserve">artes circenses. São habilidades motoras complexas, valorizadas por desenvolver força, coordenação, equilíbrio e consciência corporal, constituindo referência de domínio técnico nas práticas que as incorporam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{"citationID":"yPUbr5t1","properties":{"formattedCitation":"[2]","plainCitation":"[2]","noteIndex":0},"citationItems":[{"id":327,"uris":["http://zotero.org/users/17274952/items/7HMEIQK4"],"itemData":{"id":327,"type":"article-journal","abstract":"Despite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p>
    <w:p w14:paraId="32219587">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Há vários trabalhos relacionados ao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abrangendo fatores biomecânicos, neuromusculares e psicológicos, refletindo na manutenção do equilíbrio.  Este é mantido através de estratégias multissegmentares, com participação das articulações distais e proximais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{"citationID":"Z7I5nlk6","properties":{"formattedCitation":"[3], [4]","plainCitation":"[3], [4]","noteIndex":0},"citationItems":[{"id":336,"uris":["http://zotero.org/users/17274952/items/P82NI7IB"],"itemData":{"id":336,"type":"article-journal","abstract":"KERWIN,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G."},{"family":"Trewartha","given":"Grant"}],"issued":{"date-parts":[["2001",7]]}}},{"id":345,"uris":["http://zotero.org/users/17274952/items/RI8HJ578"],"itemData":{"id":345,"type":"article-journal","abstract":"Abstract\n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[3], [4]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O </w:t>
      </w:r>
      <w:r>
        <w:rPr>
          <w:rFonts w:hint="default" w:ascii="Times New Roman" w:hAnsi="Times New Roman" w:eastAsia="Times New Roman" w:cs="Times New Roman"/>
          <w:i/>
          <w:iCs/>
        </w:rPr>
        <w:t>HS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apresenta alta variabilidade articular, especialmente em ombros, punhos e quadris, enquanto o CoM e o CoP permanecem estáveis</w:t>
      </w:r>
      <w:r>
        <w:rPr>
          <w:rFonts w:hint="default" w:ascii="Times New Roman" w:hAnsi="Times New Roman" w:eastAsia="Times New Roman" w:cs="Times New Roman"/>
          <w:b/>
        </w:rPr>
        <w:t>,</w:t>
      </w:r>
      <w:r>
        <w:rPr>
          <w:rFonts w:hint="default" w:ascii="Times New Roman" w:hAnsi="Times New Roman" w:eastAsia="Times New Roman" w:cs="Times New Roman"/>
        </w:rPr>
        <w:t xml:space="preserve"> evidenciando que a estabilidade é resultado do ajuste coletivo entre segmentos</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{"citationID":"WFdHNrBZ","properties":{"formattedCitation":"[5]","plainCitation":"[5]","noteIndex":0},"citationItems":[{"id":51,"uris":["http://zotero.org/users/17274952/items/6I25TH2Q"],"itemData":{"id":51,"type":"article-journal","abstract":"The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Para isso é necessária coordenação precisa entre músculos estabilizadores e mobilizadores dos membros superiores e do tronco, sendo os flexores de punho, trapézio, deltoide anterior e tríceps braquial os contribuidores primários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{"citationID":"0MUYVmko","properties":{"formattedCitation":"[6]","plainCitation":"[6]","noteIndex":0},"citationItems":[{"id":326,"uris":["http://zotero.org/users/17274952/items/A5MTUBXD"],"itemData":{"id":326,"type":"article-journal","abstract":"Kochanowicz,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[6]</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Nesse contexto, observou-se que os punhos atuam constantemente para manter a pressão contra o solo e realizar microajustes no CoP, sendo responsáveis pelo controle fino frente a pequenas oscilações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{"citationID":"kG7DjW3p","properties":{"formattedCitation":"[2], [3], [7]","plainCitation":"[2], [3], [7]","noteIndex":0},"citationItems":[{"id":327,"uris":["http://zotero.org/users/17274952/items/7HMEIQK4"],"itemData":{"id":327,"type":"article-journal","abstract":"Despite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 [3], [7]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r>
        <w:rPr>
          <w:rFonts w:hint="default" w:ascii="Times New Roman" w:hAnsi="Times New Roman" w:cs="Times New Roman"/>
        </w:rPr>
        <w:t xml:space="preserve"> Embora o punho seja o efetor primário, análises cinemáticas 3D recentes indicam que o ombro atua como um colaborador crítico, sendo o maior contribuinte para o controle do COM tanto no plano anteroposterior quanto no mediolateral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{"citationID":"b0rto6yy","properties":{"unsorted":false,"formattedCitation":"[8]","plainCitation":"[8]","noteIndex":0},"citationItems":[{"id":302,"uris":["http://zotero.org/users/17274952/items/NW2TRL4I"],"itemData":{"id":302,"type":"article-journal","abstract":"The goal of a handstand, a fundamental skill in gymnastics, is to maintain a balanced stance by controlling center of mass (COM) position. Successful handstands predominantly use wrist torque to control the COM in the anterior-posterior (AP) plane. The aim of this study was to determine the underlying motor control mechanisms necessary to maintain a strong handstand stance through analysis of joint angle and COM position variability. Full body 3D kinematic data were collected on three competitive level gymnasts during 30 s floor handstands. Variability of joint angles were consistently higher than the center of mass, demonstrating that joints self-organize in a motor control strategy to produce torques in order to control the COM. Using multiple linear regression analysis, it was found that shoulder flexion/extension variability was the largest contributor to controlling the COM in both the medio-lateral (ML) and AP planes.","language":"en","source":"Zotero","title":"HANDSTAND BALANCE MOTOR CONTROL MECHANISMS","author":[{"family":"Pryhoda","given":"Moira K"},{"family":"Newell","given":"Karl M"},{"family":"Irwin","given":"Gareth"}],"issued":{"date-parts":[["2021"]]}}}],"schema":"https://github.com/citation-style-language/schema/raw/master/csl-citation.json"}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t xml:space="preserve">. No âmbito do aprendizado motor, intervenções focadas no ensino explícito da estratégia de punho têm demonstrado eficácia no aumento do tempo de permanência na posição invertida, inclusive em indivíduos iniciantes, sugerindo que a técnica de correção na base pode ser treinada de forma isolada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{"citationID":"B1dti3D7","properties":{"unsorted":false,"formattedCitation":"[9]","plainCitation":"[9]","noteIndex":0},"citationItems":[{"id":299,"uris":["http://zotero.org/users/17274952/items/EJ28IYIX"],"itemData":{"id":299,"type":"article-journal","abstract":"In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t xml:space="preserve">. Além disso, observa-se que a variabilidade dos ângulos articulares é consistentemente maior que a variabilidade do centro de massa, sugerindo que as articulações se auto-organizam em uma estratégia de controle motor para preservar o equilíbrio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{"citationID":"XbH4iuwB","properties":{"unsorted":false,"formattedCitation":"[5]","plainCitation":"[5]","noteIndex":0},"citationItems":[{"id":51,"uris":["http://zotero.org/users/17274952/items/6I25TH2Q"],"itemData":{"id":51,"type":"article-journal","abstract":"The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eastAsia="Times New Roman" w:cs="Times New Roman"/>
        </w:rPr>
        <w:t xml:space="preserve"> Ginastas mais experientes apresentam menor deslocamento do CoP e possuem ativação muscular mais eficiente</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{"citationID":"JjiXyt1a","properties":{"formattedCitation":"[10]","plainCitation":"[10]","noteIndex":0},"citationItems":[{"id":338,"uris":["http://zotero.org/users/17274952/items/JUTNAMC7"],"itemData":{"id":338,"type":"article-journal","abstract":"The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[10]</w:t>
      </w:r>
      <w:r>
        <w:rPr>
          <w:rFonts w:hint="default" w:ascii="Times New Roman" w:hAnsi="Times New Roman" w:eastAsia="Times New Roman" w:cs="Times New Roman"/>
        </w:rPr>
        <w:fldChar w:fldCharType="end"/>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O padrão de ativação muscular é adaptativo, durante maior instabilidade, há incremento da coativação para reforçar a rigidez articular, indicando que a manutenção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requer não apenas força, mas a otimização da coordenação muscular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{"citationID":"ij9hcXve","properties":{"formattedCitation":"[11], [12]","plainCitation":"[11], [12]","noteIndex":0},"citationItems":[{"id":346,"uris":["http://zotero.org/users/17274952/items/P35N5UEZ"],"itemData":{"id":346,"type":"article-journal","abstract":"The contribution is a review study dealing with a handstand as one of the basic movement structures in artistic gymnastics. Balancing in this inverse position is a complex process based on physiological and physical principles. From physiological point of view the important results are from research dealing with function of vestibular apparatus, visual system, proprioception, central nervous system and motor units and their participation in balance maintaining. Another important question is a relationship between the strength of particular muscle groups and a level of balancing ability. Based on stabilometric measurements and 3D kinematic analysis of correcting movements equalizing the perturbations during a handstand we can distinguish several strategies of maintaining balance. Other important factors influencing the holding time in handstand position in gymnastics, mainly in tool disciplines, are a visual control and position of head.","issue":"3","language":"en","source":"Zotero","title":"BALANCING IN HANDSTAND ON THE FLOOR","volume":"5","author":[{"family":"Hedbávný","given":"Petr"},{"family":"Sklenaříková","given":"Jana"},{"family":"Hupka","given":"Dušan"},{"family":"Kalichová","given":"Miriam"}]}},{"id":334,"uris":["http://zotero.org/users/17274952/items/AFVNAKE4"],"itemData":{"id":334,"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[11], [12]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Além disso, análise cinemática com ginastas experientes mostrou que a capacidade de se manter na </w:t>
      </w:r>
      <w:r>
        <w:rPr>
          <w:rFonts w:hint="default" w:ascii="Times New Roman" w:hAnsi="Times New Roman" w:eastAsia="Times New Roman" w:cs="Times New Roman"/>
          <w:i/>
          <w:iCs/>
        </w:rPr>
        <w:t>HS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está associado ao alinhamento corporal, sobretudo à sobreposição de ombros e quadris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{"citationID":"Pl3hTtMj","properties":{"formattedCitation":"[13], [14]","plainCitation":"[13], [14]","noteIndex":0},"citationItems":[{"id":328,"uris":["http://zotero.org/users/17274952/items/PDH4GHVG"],"itemData":{"id":328,"type":"article-journal","journalAbbreviation":"Science of Gymnastics Journal","page":"19-30","title":"Kinematic Analysis of handstands in gymnastics","volume":"7","author":[{"family":"B. Belčič","given":"P. Samardžija"}],"issued":{"date-parts":[["2015"]]}}},{"id":337,"uris":["http://zotero.org/users/17274952/items/89GK6CG5"],"itemData":{"id":337,"type":"article-journal","abstract":"Background/Objectives: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[13], [14]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Contudo, treinamentos focados exclusivamente no alinhamento corporal, embora aperfeiçoem a execução, não garantem maior duração do equilíbrio, evidenciando a relevância do papel dos punhos e antebraços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{"citationID":"1YqKAwnu","properties":{"formattedCitation":"[2]","plainCitation":"[2]","noteIndex":0},"citationItems":[{"id":327,"uris":["http://zotero.org/users/17274952/items/7HMEIQK4"],"itemData":{"id":327,"type":"article-journal","abstract":"Despite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w:t>
      </w:r>
      <w:r>
        <w:rPr>
          <w:rFonts w:hint="default" w:ascii="Times New Roman" w:hAnsi="Times New Roman" w:cs="Times New Roman"/>
        </w:rPr>
        <w:t xml:space="preserve">Uma revisão sistemática abrangente reforçou que, embora o alinhamento corporal rígido seja o ideal estético, a manutenção da estabilidade depende de uma coordenação dinâmica constante entre o centro de massa (COM) e o centro de pressão (COP)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{"citationID":"v6sPizuA","properties":{"unsorted":false,"formattedCitation":"[15]","plainCitation":"[15]","noteIndex":0},"citationItems":[{"id":303,"uris":["http://zotero.org/users/17274952/items/GMN3DDXM"],"itemData":{"id":303,"type":"article-journal","abstract":"Purpose: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eastAsia="Times New Roman" w:cs="Times New Roman"/>
        </w:rPr>
        <w:t xml:space="preserve"> </w:t>
      </w:r>
      <w:r>
        <w:rPr>
          <w:rFonts w:hint="default" w:ascii="Times New Roman" w:hAnsi="Times New Roman" w:cs="Times New Roman"/>
        </w:rPr>
        <w:t xml:space="preserve">Quanto à configuração da base de suporte, um estudo com o </w:t>
      </w:r>
      <w:r>
        <w:rPr>
          <w:rFonts w:hint="default" w:ascii="Times New Roman" w:hAnsi="Times New Roman" w:cs="Times New Roman"/>
          <w:i/>
          <w:iCs/>
        </w:rPr>
        <w:t>HS</w:t>
      </w:r>
      <w:r>
        <w:rPr>
          <w:rFonts w:hint="default" w:ascii="Times New Roman" w:hAnsi="Times New Roman" w:cs="Times New Roman"/>
        </w:rPr>
        <w:t xml:space="preserve"> demonstrou que a utilização de palmas planas com os dedos unidos e estendidos proporciona menor oscilação do centro de pressão e maior eficiência no equilíbrio quando comparada às variações de dedos afastados ou flexionados em garra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{"citationID":"1hAfAeGr","properties":{"unsorted":false,"formattedCitation":"[16]","plainCitation":"[16]","noteIndex":0},"citationItems":[{"id":304,"uris":["http://zotero.org/users/17274952/items/PKRF3FK3"],"itemData":{"id":304,"type":"article-journal","abstract":"The purpose of the study was twofold: (a) to examine the impact of various finger placements and utilization on the quality, control, and overall efficiency of handstand performance, and (b) to investigate potential gender differences in relation to these factors. Thirty-one young competitive gymnasts (15 males; age: 12.60 ± 2.08, and 16 females; age: 13.31 ± 2.21) participated in this study. A portable posturographic digital platform was used to record hand area (cm²), maximal pressure (kPa), CoP (center of hand pressure) sway area (mm²), CoP linear distance displacement (mm) and CoP velocity. Derived data were analyzed in an integrated software module (Foot Checker, version 4.0). The intra-class correlation coefficient and the coefficient of variation supported the reliability of the measurements. One-way MANOVA showed better balance control for all gymnasts for the handstand with flat palms and joined and fully stretched fingers, followed by that of flat palms and wide open and fully stretched fingers, and wide flat palms and open and flexed fingers. Results from one-way MANOVA indicated no differences between males and females in age, training age, body mass, height, and body mass index. With control for the effects of age, training age, personal characteristics and hand area of support in place, females had better balance control compared to males based on differences in CoP sway area, CoP linear distance displacement, and CoP velocity. Despite the study's limitations, the findings contribute to the existing literature on balance control techniques in handstands in relation to gender differences. The study provides recommendations for more effective training for coaches and suggests avenues for future research.","container-title":"Science of Gymnastics Journal","DOI":"10.52165/sgj.15.3.375-394","ISSN":"1855-7171, 2232-2639","issue":"3","journalAbbreviation":"SGJ","language":"en","license":"https://creativecommons.org/licenses/by-sa/4.0","page":"375-394","source":"DOI.org (Crossref)","title":"THE EFFECTIVENESS OF DIFFERENT HANDSTAND PLACEMENT TECHNIQUES IN HANDSTAND BALANCE CONTROL AND GENDER DIFFERENCESDSTAND BALANCE CONTROL AND GENDER DIFFERENCES","volume":"15","author":[{"family":"Milosis","given":"Dimitrios"},{"family":"Satras","given":"Theophanis"}],"issued":{"date-parts":[["2023",10,30]]}}}],"schema":"https://github.com/citation-style-language/schema/raw/master/csl-citation.json"}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t xml:space="preserve">. Contudo, a orientação angular das mãos, especificamente o grau de rotação externa, permanece inexplorada pela literatura científica, tanto na condição estática quanto na dinâmica. Essa rotação poderia atuar como uma estratégia compensatória para limitações na amplitude de extensão do punho, alterando o plano dos torques corretivos e otimizando a projeção do centro de massa. </w:t>
      </w:r>
      <w:r>
        <w:rPr>
          <w:rFonts w:hint="default" w:ascii="Times New Roman" w:hAnsi="Times New Roman" w:eastAsia="Times New Roman" w:cs="Times New Roman"/>
        </w:rPr>
        <w:t>A</w:t>
      </w:r>
      <w:r>
        <w:rPr>
          <w:rFonts w:hint="default" w:ascii="Times New Roman" w:hAnsi="Times New Roman" w:cs="Times New Roman"/>
        </w:rPr>
        <w:t xml:space="preserve"> orientação da cabeça também exerce influência direta na estabilidade. Alterações no ângulo do pescoço modificam os padrões de variabilidade multiarticular, o que pode impactar a percepção visual e o controle postural durante a inversão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{"citationID":"FDvN6bYP","properties":{"unsorted":false,"formattedCitation":"[17]","plainCitation":"[17]","noteIndex":0},"citationItems":[{"id":301,"uris":["http://zotero.org/users/17274952/items/IRV3ADLG"],"itemData":{"id":301,"type":"article-journal","abstract":"This study investigated the effects of neck angle on center of mass (CM) stability and joint angle variability in the handstand. Seven experienced female gymnasts performed handstands in extended, neutral, and flexed neck angles. Kinematic data were collected using a 3D motion capture system, and variability was assessed for wrist, elbow, shoulder, hip, and neck angles and, CM position. The findings showed that the extended neck angle posture exhibited the lowest CM variability, aligning with its prevalent use in practice and competition. Regression analyses revealed that joint angle variability was significantly corelated to CM motion, with the typical extended neck angle related to shoulder, wrist, and neck angle variability contributions (33%, 23%, and 21%, respectively). In contrast, the neutral neck angle was moderately corelated to hip variability (32%), while the flexed neck angle showed a dominant reliance on neck angle variability (63%). The results show the strong role of neck angle in the postural variability of the handstand that is mediated by joint angle variability, visual information and tonic reflex support.","container-title":"Journal of Motor Behavior","DOI":"10.1080/00222895.2025.2558711","ISSN":"0022-2895, 1940-1027","issue":"6","journalAbbreviation":"Journal of Motor Behavior","language":"en","page":"768-776","source":"DOI.org (Crossref)","title":"Neck Angle in the Handstand Changes the Pattern of Multi-Joint Variability","volume":"57","author":[{"family":"Farana","given":"Roman"},{"family":"Brtva","given":"Pavel"},{"family":"Irwin","given":"Gareth"},{"family":"Newell","given":"Karl M."}],"issued":{"date-parts":[["2025",11,2]]}}}],"schema":"https://github.com/citation-style-language/schema/raw/master/csl-citation.json"}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t xml:space="preserve">. Além dos ajustes mecânicos, o controle sensorial desempenha um papel determinante na estabilização da postura invertida. Estudos clássicos demonstram que o </w:t>
      </w:r>
      <w:r>
        <w:rPr>
          <w:rFonts w:hint="default" w:ascii="Times New Roman" w:hAnsi="Times New Roman" w:cs="Times New Roman"/>
          <w:i/>
          <w:iCs/>
        </w:rPr>
        <w:t>HS</w:t>
      </w:r>
      <w:r>
        <w:rPr>
          <w:rFonts w:hint="default" w:ascii="Times New Roman" w:hAnsi="Times New Roman" w:cs="Times New Roman"/>
        </w:rPr>
        <w:t xml:space="preserve">, por ser uma postura não natural, exige uma recalibração dos sistemas visual e vestibular, sendo que indivíduos especialistas apresentam uma menor dependência de informações visuais externas em comparação a novatos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{"citationID":"5XQGFuZD","properties":{"formattedCitation":"[13]","plainCitation":"[13]","dontUpdate":true,"noteIndex":0},"citationItems":[{"id":340,"uris":["http://zotero.org/users/17274952/items/YAEMRNPP"],"itemData":{"id":340,"type":"article-journal","abstract":"Upright bipedal posture is the physiological human posture; however, it is not the only possible form of human standing; indeed, an inverted position, a handstand, is required during gymnastics or other sports. Thus, this study aimed to understand the differences between the two standing strategies from a postural and neuromuscular perspective. Thirteen gymnasts with at least three years of sports experience underwent a baropodometric assessment and a surface electromyography (sEMG) examination in a standard upright bipodalic stance and during a handstand. The sEMG examination was performed on the gastrocnemius during an upright stance and on the ﬂexor carpi radialis during the handstand. Limb weight distribution presented differences between the two vertical stances (p &lt; 0.01). During the handstand, the weight ratio was prevalently observed on the palm of the hand for both hands with a signiﬁcant difference between the front and rear aspect of the hand compared to the standing tasks (p &lt; 0.01). Normalized sEMG amplitude showed signiﬁcant differences during bipedal standing and hand standing; however, over a 5 s period, the normalized median frequency (MDF) value was similar for the two tasks. Both standing tasks presented similar postural weight managing patterns when analysed on the frontal plane, but they were different on the sagittal plane. In addition, the neuromuscular patterns during a 5 s window differ in amplitude but not for the frequency domain.","container-title":"Journal of Functional Morphology and Kinesiology","DOI":"10.3390/jfmk8020040","ISSN":"2411-5142","issue":"2","journalAbbreviation":"JFMK","language":"en","license":"https://creativecommons.org/licenses/by/4.0/","page":"40","source":"DOI.org (Crossref)","title":"Evaluation of Posturographic and Neuromuscular Parameters during Upright Stance and Hand Standing: A Pilot Study","title-short":"Evaluation of Posturographic and Neuromuscular Parameters during Upright Stance and Hand Standing","volume":"8","author":[{"family":"Thomas","given":"Ewan"},{"family":"Rossi","given":"Carlo"},{"family":"Petrigna","given":"Luca"},{"family":"Messina","given":"Giuseppe"},{"family":"Bellafiore","given":"Marianna"},{"family":"Şahin","given":"Fatma Neşe"},{"family":"Proia","given":"Patrizia"},{"family":"Palma","given":"Antonio"},{"family":"Bianco","given":"Antonino"}],"issued":{"date-parts":[["2023",3,30]]}}}],"schema":"https://github.com/citation-style-language/schema/raw/master/csl-citation.json"}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[13],[25]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 fadiga muscular, como seria de se esperar, tem um grande impacto negativo sobre o </w:t>
      </w:r>
      <w:r>
        <w:rPr>
          <w:rFonts w:hint="default" w:ascii="Times New Roman" w:hAnsi="Times New Roman" w:eastAsia="Times New Roman" w:cs="Times New Roman"/>
          <w:i/>
          <w:iCs/>
        </w:rPr>
        <w:t>HS</w:t>
      </w:r>
      <w:r>
        <w:rPr>
          <w:rFonts w:hint="default" w:ascii="Times New Roman" w:hAnsi="Times New Roman" w:eastAsia="Times New Roman" w:cs="Times New Roman"/>
        </w:rPr>
        <w:t>, sugerindo que quanto maior a resistência muscular maior a capacidade de manter o equilíbrio nessa posição.</w:t>
      </w:r>
      <w:r>
        <w:rPr>
          <w:rFonts w:hint="default" w:ascii="Times New Roman" w:hAnsi="Times New Roman" w:cs="Times New Roman"/>
        </w:rPr>
        <w:t xml:space="preserve"> </w:t>
      </w:r>
      <w:r>
        <w:rPr>
          <w:rFonts w:hint="default" w:ascii="Times New Roman" w:hAnsi="Times New Roman" w:eastAsia="Times New Roman" w:cs="Times New Roman"/>
        </w:rPr>
        <w:t xml:space="preserve">Além do efeito físico, destacou-se que a fadiga também tem um fator psicológico, relacionado à percepção de esforço e à redução da concentração, o que pode comprometer a capacidade de manter ajustes finos necessários à estabilidade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{"citationID":"1cwAaJNT","properties":{"formattedCitation":"[19]","plainCitation":"[19]","noteIndex":0},"citationItems":[{"id":339,"uris":["http://zotero.org/users/17274952/items/9539FXDG"],"itemData":{"id":339,"type":"article-journal","container-title":"Journal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[19]</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Outros fatores psicológicos também influenciam na qualidade do equilíbrio: em ginastas com maior ansiedade, observou-se pior desempenho, com maiores oscilações posturais. Já atletas com maior autoconfiança apresentaram</w:t>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maior tempo de sustentação e menor variabilidade postural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{"citationID":"tXKlUqsZ","properties":{"formattedCitation":"[20]","plainCitation":"[20]","noteIndex":0},"citationItems":[{"id":343,"uris":["http://zotero.org/users/17274952/items/L7ZWVBWS"],"itemData":{"id":343,"type":"article-journal","abstract":"Background: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Estudos comparando ginastas juniores e seniores demonstraram que a experiência esportiva se traduz em maior estabilidade tanto em pé quanto em posição invertida, indicando que o nível de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funciona como um parâmetro de desenvolvimento técnico e de desempenho competitivo</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{"citationID":"4bCNht1k","properties":{"formattedCitation":"[21], [22]","plainCitation":"[21], [22]","noteIndex":0},"citationItems":[{"id":347,"uris":["http://zotero.org/users/17274952/items/2VQLW2EI"],"itemData":{"id":347,"type":"article-journal","abstract":"Purpose: The aim of this study was to compare and analyse of relationships between stability indices registered in two positions: standing and handstand in athletes practicing gymnastics at various levels of advancement. Methods: The study included 46 athletes practicing gymnastics. The research tool was posturograph CQ-Stab 2P. Results: In both standing position and handstand in the seniors there were statistically significantly lower values of such indicators as: sway area delimited by the center of pressure ( p = 0.004, p = 0.014), mean amplitude of COP ( p = 0.021, p = 0.017), mean displacement of the center of feet/hands pressure in medio-lateral direction ( p = 0.011, p = 0.003) and maximal displacement of the center of feet/hands pressure in mediolateral direction ( p = 0.036, p = 0.036). In the standing position, seniors also had statistically significantly lower values of the statokinesiogram path length, both total ( p = 0.000) as well as in anteroposterior ( p = 0.001) and mediolateral ( p = 0.002) directions. In the seniors group there were statistically significant correlations between variables obtained in standing position and handstand. Conclusions: The level of sport advancement significantly differentiates the stability of a body in standing position and handstand. The seniors practicing gymnastics, compared to juniors, are characterized by a better ability to control the position of the body in both positions. The lack of relationships between stability indices registered in standing and handstand in juniors suggests that the analysis of the values of stability indices obtained in a standing position does not provide the possibility of predicting the ability to maintain balance in the handstand during the recruitment of candidates for gymnastics.","container-title":"Acta of Bioengineering and Biomechanics; 02/2018; ISSN 1509-409X","DOI":"10.5277/ABB-01110-2018-02","language":"en","note":"medium: PDF","publisher":"Institute of Machine Design and Operation, Wrocław University of Technology, Wrocław","source":"DOI.org (Datacite)","title":"Balance in handstand and postural stability in standing position in athletes practicing gymnastics","URL":"http://www.actabio.pwr.wroc.pl/Vol20No2/36.pdf","author":[{"family":"Omorczyk","given":"Jarosław"},{"family":"Bujas","given":"Przemysław"},{"family":"Puszczałowska-Lizis","given":"Ewa"},{"family":"Biskup","given":"Leon"}],"accessed":{"date-parts":[["2025",9,3]]},"issued":{"date-parts":[["2018"]]}}},{"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[21], [22]</w:t>
      </w:r>
      <w:r>
        <w:rPr>
          <w:rFonts w:hint="default" w:ascii="Times New Roman" w:hAnsi="Times New Roman" w:cs="Times New Roman"/>
        </w:rPr>
        <w:fldChar w:fldCharType="end"/>
      </w:r>
      <w:r>
        <w:rPr>
          <w:rFonts w:hint="default" w:ascii="Times New Roman" w:hAnsi="Times New Roman" w:eastAsia="Times New Roman" w:cs="Times New Roman"/>
        </w:rPr>
        <w:t>.</w:t>
      </w:r>
    </w:p>
    <w:p w14:paraId="4D72301D">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Em relação ao </w:t>
      </w:r>
      <w:r>
        <w:rPr>
          <w:rFonts w:hint="default" w:ascii="Times New Roman" w:hAnsi="Times New Roman" w:eastAsia="Times New Roman" w:cs="Times New Roman"/>
          <w:i/>
          <w:iCs/>
        </w:rPr>
        <w:t xml:space="preserve">HSW </w:t>
      </w:r>
      <w:r>
        <w:rPr>
          <w:rFonts w:hint="default" w:ascii="Times New Roman" w:hAnsi="Times New Roman" w:eastAsia="Times New Roman" w:cs="Times New Roman"/>
        </w:rPr>
        <w:t>estudos demonstram que a iniciação movimento envolve ajustes posturais antecipatórios (APAs) que promovem um deslocamento intencional do CoP, por estratégias posteriores ou anteriores, para propulsionar o centro de massa (CoM) à frente</w:t>
      </w:r>
      <w:r>
        <w:rPr>
          <w:rFonts w:hint="default" w:ascii="Times New Roman" w:hAnsi="Times New Roman" w:cs="Times New Roman"/>
        </w:rPr>
        <w:t xml:space="preserve">. </w:t>
      </w:r>
      <w:r>
        <w:rPr>
          <w:rFonts w:hint="default" w:ascii="Times New Roman" w:hAnsi="Times New Roman" w:eastAsia="Times New Roman" w:cs="Times New Roman"/>
        </w:rPr>
        <w:t xml:space="preserve">Embora essas estratégias preparatórias sejam diferentes, o resultado de execução do passo é similar, sugerindo redundância neuromuscular para alcançar o mesmo objetivo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{"citationID":"X1Ewbspc","properties":{"formattedCitation":"[23]","plainCitation":"[23]","noteIndex":0},"citationItems":[{"id":344,"uris":["http://zotero.org/users/17274952/items/IA4SHZ82"],"itemData":{"id":344,"type":"article-journal","abstract":"Background: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Além disso, verificou-se que a aplicação de uma carga externa nos tornozelos não alterou o padrão desses APAs, mas aumentou a magnitude das forças envolvidas, indicando que os ginastas ajustam a intensidade, e não a forma, da preparação motora para iniciar a locomoção invertida.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{"citationID":"y0h2puxq","properties":{"formattedCitation":"[24]","plainCitation":"[24]","noteIndex":0},"citationItems":[{"id":341,"uris":["http://zotero.org/users/17274952/items/3CGH6KGH"],"itemData":{"id":341,"type":"article-journal","abstract":"Anticipatory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Embora a cadência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se assemelhe à da marcha bípede,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é caracterizado por</w:t>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{"citationID":"tmVeMC2M","properties":{"formattedCitation":"[25]","plainCitation":"[25]","noteIndex":0},"citationItems":[{"id":342,"uris":["http://zotero.org/users/17274952/items/25HVULTT"],"itemData":{"id":342,"type":"article-journal","abstract":"Handwalking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Em contraste ao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permanece pouco explorado na literatura científica. Deste modo, identificar preditores de desempenho nessa tarefa complexa representa uma contribuição relevante, pois pode apoiar treinadores e atletas no desenvolvimento de estratégias mais eficazes de preparação física e técnica</w:t>
      </w:r>
      <w:r>
        <w:rPr>
          <w:rFonts w:hint="default" w:ascii="Times New Roman" w:hAnsi="Times New Roman" w:cs="Times New Roman"/>
        </w:rPr>
        <w:t xml:space="preserve">. </w:t>
      </w:r>
    </w:p>
    <w:p w14:paraId="30AC9ABC">
      <w:pPr>
        <w:spacing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Sendo assim, torna-se relevante examinar de maneira integrada as variáveis que influenciam o desempenho tanto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quanto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considerando sua interação e a diversidade de contextos esportivos. Estudos anteriores já demonstraram que a estabilidade em posição invertida envolve mecanismos neuromotores complexos, incluindo controle postural multissegmentar, ativação coordenada de músculos estabilizadores e mobilizadores, ajustes posturais antecipatórios e compensatórios, e integração sensório-motora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{"citationID":"U3ZsZOYN","properties":{"formattedCitation":"[2], [3], [7], [10]","plainCitation":"[2], [3], [7], [10]","noteIndex":0},"citationItems":[{"id":327,"uris":["http://zotero.org/users/17274952/items/7HMEIQK4"],"itemData":{"id":327,"type":"article-journal","abstract":"Despite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 [3], [7], [10]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Contudo, a literatura disponível permanece limitada, pois a maioria das pesquisas restringe-se a amostras pequenas de ginastas experientes, negligenciando tanto a diversidade de modalidades quanto a interação entre fatores múltiplos. Além disso, variáveis como deslocamento do centro de pressão (CoP), estratégias de controle do centro de massa (CoM), tempo de sustentação, distância percorrida e força relativa em padrões específicos de empurrar têm sido frequentemente analisadas de forma isolada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{"citationID":"83pEsn7E","properties":{"formattedCitation":"[1], [3], [7], [13]","plainCitation":"[1], [3], [7], [13]","noteIndex":0},"citationItems":[{"id":333,"uris":["http://zotero.org/users/17274952/items/LV8KSPDR"],"itemData":{"id":333,"type":"article-journal","abstract":"Handstand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J."}],"issued":{"date-parts":[["2017",7]]}}},{"id":328,"uris":["http://zotero.org/users/17274952/items/PDH4GHVG"],"itemData":{"id":328,"type":"article-journal","journalAbbreviation":"Science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 [3], [7], [13]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Ao contemplar participantes de diferentes contextos esportivos e investigar essas variáveis de maneira integrada, este estudo busca preencher essa lacuna e ampliar a compreensão sobre os elementos que sustentam a performance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p>
    <w:p w14:paraId="03565C45">
      <w:pPr>
        <w:spacing w:line="360" w:lineRule="auto"/>
        <w:ind w:firstLine="426"/>
        <w:rPr>
          <w:rFonts w:hint="default" w:ascii="Times New Roman" w:hAnsi="Times New Roman" w:eastAsia="Times New Roman" w:cs="Times New Roman"/>
          <w:highlight w:val="none"/>
        </w:rPr>
      </w:pPr>
      <w:r>
        <w:rPr>
          <w:rFonts w:hint="default" w:ascii="Times New Roman" w:hAnsi="Times New Roman" w:eastAsia="Times New Roman" w:cs="Times New Roman"/>
          <w:highlight w:val="none"/>
        </w:rPr>
        <w:t xml:space="preserve">Dentre as variáveis de força, a literatura sugere que a estabilidade no </w:t>
      </w:r>
      <w:r>
        <w:rPr>
          <w:rFonts w:hint="default" w:ascii="Times New Roman" w:hAnsi="Times New Roman" w:eastAsia="Times New Roman" w:cs="Times New Roman"/>
          <w:i/>
          <w:iCs/>
          <w:highlight w:val="none"/>
        </w:rPr>
        <w:t xml:space="preserve">HS </w:t>
      </w:r>
      <w:r>
        <w:rPr>
          <w:rFonts w:hint="default" w:ascii="Times New Roman" w:hAnsi="Times New Roman" w:eastAsia="Times New Roman" w:cs="Times New Roman"/>
          <w:highlight w:val="none"/>
        </w:rPr>
        <w:t>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para o controle das oscilações corporais</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lang w:val="pt-BR"/>
        </w:rPr>
        <w:fldChar w:fldCharType="begin"/>
      </w:r>
      <w:r>
        <w:rPr>
          <w:rFonts w:hint="default" w:ascii="Times New Roman" w:hAnsi="Times New Roman" w:eastAsia="Times New Roman" w:cs="Times New Roman"/>
          <w:highlight w:val="none"/>
          <w:lang w:val="pt-BR"/>
        </w:rPr>
        <w:instrText xml:space="preserve"> ADDIN ZOTERO_ITEM CSL_CITATION {"citationID":"YD3gAgGZ","properties":{"unsorted":false,"formattedCitation":"[6], [7]","plainCitation":"[6], [7]","noteIndex":0},"citationItems":[{"id":326,"uris":["http://zotero.org/users/17274952/items/A5MTUBXD"],"itemData":{"id":326,"type":"article-journal","abstract":"Kochanowicz,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highlight w:val="none"/>
          <w:lang w:val="pt-BR"/>
        </w:rPr>
        <w:fldChar w:fldCharType="separate"/>
      </w:r>
      <w:r>
        <w:rPr>
          <w:rFonts w:hint="default" w:ascii="Times New Roman" w:hAnsi="Times New Roman" w:eastAsia="Times New Roman" w:cs="Times New Roman"/>
          <w:highlight w:val="none"/>
          <w:lang w:val="pt-BR"/>
        </w:rPr>
        <w:t>[6], [7]</w:t>
      </w:r>
      <w:r>
        <w:rPr>
          <w:rFonts w:hint="default" w:ascii="Times New Roman" w:hAnsi="Times New Roman" w:eastAsia="Times New Roman" w:cs="Times New Roman"/>
          <w:highlight w:val="none"/>
          <w:lang w:val="pt-BR"/>
        </w:rPr>
        <w:fldChar w:fldCharType="end"/>
      </w:r>
      <w:r>
        <w:rPr>
          <w:rFonts w:hint="default" w:ascii="Times New Roman" w:hAnsi="Times New Roman" w:eastAsia="Times New Roman" w:cs="Times New Roman"/>
          <w:highlight w:val="none"/>
        </w:rPr>
        <w:t xml:space="preserve">. Evidências indicam que a força relativa no </w:t>
      </w:r>
      <w:r>
        <w:rPr>
          <w:rFonts w:hint="default" w:ascii="Times New Roman" w:hAnsi="Times New Roman" w:eastAsia="Times New Roman" w:cs="Times New Roman"/>
          <w:i/>
          <w:iCs/>
          <w:highlight w:val="none"/>
        </w:rPr>
        <w:t>SP</w:t>
      </w:r>
      <w:r>
        <w:rPr>
          <w:rFonts w:hint="default" w:ascii="Times New Roman" w:hAnsi="Times New Roman" w:eastAsia="Times New Roman" w:cs="Times New Roman"/>
          <w:highlight w:val="none"/>
        </w:rPr>
        <w:t xml:space="preserve">, quando ajustada à massa corporal, apresenta forte correlação com o desempenho no </w:t>
      </w:r>
      <w:r>
        <w:rPr>
          <w:rFonts w:hint="default" w:ascii="Times New Roman" w:hAnsi="Times New Roman" w:eastAsia="Times New Roman" w:cs="Times New Roman"/>
          <w:i/>
          <w:iCs/>
          <w:highlight w:val="none"/>
        </w:rPr>
        <w:t>strict handstand push up</w:t>
      </w:r>
      <w:r>
        <w:rPr>
          <w:rFonts w:hint="default" w:ascii="Times New Roman" w:hAnsi="Times New Roman" w:eastAsia="Times New Roman" w:cs="Times New Roman"/>
          <w:highlight w:val="none"/>
        </w:rPr>
        <w:t xml:space="preserve"> [36], sugerindo que a força de empurrar acima da cabeça é um componente fundamental para executar movimentos dinâmicos</w:t>
      </w:r>
      <w:r>
        <w:rPr>
          <w:rFonts w:hint="default" w:ascii="Times New Roman" w:hAnsi="Times New Roman" w:eastAsia="Times New Roman" w:cs="Times New Roman"/>
          <w:highlight w:val="none"/>
          <w:lang w:val="pt-BR"/>
        </w:rPr>
        <w:t>. O que poderia tornar</w:t>
      </w:r>
      <w:r>
        <w:rPr>
          <w:rFonts w:hint="default" w:ascii="Times New Roman" w:hAnsi="Times New Roman" w:eastAsia="Times New Roman" w:cs="Times New Roman"/>
          <w:highlight w:val="none"/>
        </w:rPr>
        <w:t xml:space="preserve"> </w:t>
      </w:r>
      <w:r>
        <w:rPr>
          <w:rFonts w:hint="default" w:ascii="Times New Roman" w:hAnsi="Times New Roman" w:eastAsia="Times New Roman" w:cs="Times New Roman"/>
          <w:highlight w:val="none"/>
          <w:lang w:val="pt-BR"/>
        </w:rPr>
        <w:t>e</w:t>
      </w:r>
      <w:r>
        <w:rPr>
          <w:rFonts w:hint="default" w:ascii="Times New Roman" w:hAnsi="Times New Roman" w:eastAsia="Times New Roman" w:cs="Times New Roman"/>
          <w:highlight w:val="none"/>
        </w:rPr>
        <w:t>ssa capacidade de produção de força máxima</w:t>
      </w:r>
      <w:r>
        <w:rPr>
          <w:rFonts w:hint="default" w:ascii="Times New Roman" w:hAnsi="Times New Roman" w:eastAsia="Times New Roman" w:cs="Times New Roman"/>
          <w:highlight w:val="none"/>
          <w:lang w:val="pt-BR"/>
        </w:rPr>
        <w:t xml:space="preserve"> acima da cabeça</w:t>
      </w:r>
      <w:r>
        <w:rPr>
          <w:rFonts w:hint="default" w:ascii="Times New Roman" w:hAnsi="Times New Roman" w:eastAsia="Times New Roman" w:cs="Times New Roman"/>
          <w:highlight w:val="none"/>
        </w:rPr>
        <w:t xml:space="preserve"> também </w:t>
      </w:r>
      <w:r>
        <w:rPr>
          <w:rFonts w:hint="default" w:ascii="Times New Roman" w:hAnsi="Times New Roman" w:eastAsia="Times New Roman" w:cs="Times New Roman"/>
          <w:highlight w:val="none"/>
          <w:lang w:val="pt-BR"/>
        </w:rPr>
        <w:t>importante</w:t>
      </w:r>
      <w:r>
        <w:rPr>
          <w:rFonts w:hint="default" w:ascii="Times New Roman" w:hAnsi="Times New Roman" w:eastAsia="Times New Roman" w:cs="Times New Roman"/>
          <w:highlight w:val="none"/>
        </w:rPr>
        <w:t xml:space="preserve"> para tarefas de locomoção como o </w:t>
      </w:r>
      <w:r>
        <w:rPr>
          <w:rFonts w:hint="default" w:ascii="Times New Roman" w:hAnsi="Times New Roman" w:eastAsia="Times New Roman" w:cs="Times New Roman"/>
          <w:i/>
          <w:iCs/>
          <w:highlight w:val="none"/>
          <w:lang w:val="pt-BR"/>
        </w:rPr>
        <w:t>HSW</w:t>
      </w:r>
      <w:r>
        <w:rPr>
          <w:rFonts w:hint="default" w:ascii="Times New Roman" w:hAnsi="Times New Roman" w:eastAsia="Times New Roman" w:cs="Times New Roman"/>
          <w:highlight w:val="none"/>
        </w:rPr>
        <w:t>. Contudo, quando a demanda passa a ser a manutenção do equilíbrio na parada de mão estática (</w:t>
      </w:r>
      <w:r>
        <w:rPr>
          <w:rFonts w:hint="default" w:ascii="Times New Roman" w:hAnsi="Times New Roman" w:eastAsia="Times New Roman" w:cs="Times New Roman"/>
          <w:i/>
          <w:iCs/>
          <w:highlight w:val="none"/>
        </w:rPr>
        <w:t>HS</w:t>
      </w:r>
      <w:r>
        <w:rPr>
          <w:rFonts w:hint="default" w:ascii="Times New Roman" w:hAnsi="Times New Roman" w:eastAsia="Times New Roman" w:cs="Times New Roman"/>
          <w:highlight w:val="none"/>
        </w:rPr>
        <w:t xml:space="preserve">), investigações recentes utilizando modelos de </w:t>
      </w:r>
      <w:r>
        <w:rPr>
          <w:rFonts w:hint="default" w:ascii="Times New Roman" w:hAnsi="Times New Roman" w:eastAsia="Times New Roman" w:cs="Times New Roman"/>
          <w:i/>
          <w:iCs/>
          <w:highlight w:val="none"/>
        </w:rPr>
        <w:t xml:space="preserve">machine learning </w:t>
      </w:r>
      <w:r>
        <w:rPr>
          <w:rFonts w:hint="default" w:ascii="Times New Roman" w:hAnsi="Times New Roman" w:eastAsia="Times New Roman" w:cs="Times New Roman"/>
          <w:highlight w:val="none"/>
        </w:rPr>
        <w:t>demonstraram que testes de força geral apresentam acurácia preditiva reduzida (0,44) para determinar o desempenho técnico</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lang w:val="pt-BR"/>
        </w:rPr>
        <w:fldChar w:fldCharType="begin"/>
      </w:r>
      <w:r>
        <w:rPr>
          <w:rFonts w:hint="default" w:ascii="Times New Roman" w:hAnsi="Times New Roman" w:eastAsia="Times New Roman" w:cs="Times New Roman"/>
          <w:highlight w:val="none"/>
          <w:lang w:val="pt-BR"/>
        </w:rPr>
        <w:instrText xml:space="preserve"> ADDIN ZOTERO_ITEM CSL_CITATION {"citationID":"HLB0MNuO","properties":{"unsorted":false,"formattedCitation":"[26]","plainCitation":"[26]","noteIndex":0},"citationItems":[{"id":300,"uris":["http://zotero.org/users/17274952/items/GA9H6F87"],"itemData":{"id":300,"type":"article-journal","abstract":"The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Soares"},{"family":"Apolinario-Souza","given":"Tercio"}],"issued":{"date-parts":[["2024",6,29]]}}}],"schema":"https://github.com/citation-style-language/schema/raw/master/csl-citation.json"} </w:instrText>
      </w:r>
      <w:r>
        <w:rPr>
          <w:rFonts w:hint="default" w:ascii="Times New Roman" w:hAnsi="Times New Roman" w:eastAsia="Times New Roman" w:cs="Times New Roman"/>
          <w:highlight w:val="none"/>
          <w:lang w:val="pt-BR"/>
        </w:rPr>
        <w:fldChar w:fldCharType="separate"/>
      </w:r>
      <w:r>
        <w:rPr>
          <w:rFonts w:hint="default" w:ascii="Times New Roman" w:hAnsi="Times New Roman" w:eastAsia="Times New Roman" w:cs="Times New Roman"/>
          <w:highlight w:val="none"/>
          <w:lang w:val="pt-BR"/>
        </w:rPr>
        <w:t>[26]</w:t>
      </w:r>
      <w:r>
        <w:rPr>
          <w:rFonts w:hint="default" w:ascii="Times New Roman" w:hAnsi="Times New Roman" w:eastAsia="Times New Roman" w:cs="Times New Roman"/>
          <w:highlight w:val="none"/>
          <w:lang w:val="pt-BR"/>
        </w:rPr>
        <w:fldChar w:fldCharType="end"/>
      </w:r>
      <w:r>
        <w:rPr>
          <w:rFonts w:hint="default" w:ascii="Times New Roman" w:hAnsi="Times New Roman" w:eastAsia="Times New Roman" w:cs="Times New Roman"/>
          <w:highlight w:val="none"/>
        </w:rPr>
        <w:t xml:space="preserve">. </w:t>
      </w:r>
      <w:r>
        <w:rPr>
          <w:rFonts w:hint="default" w:ascii="Times New Roman" w:hAnsi="Times New Roman" w:eastAsia="Times New Roman" w:cs="Times New Roman"/>
          <w:highlight w:val="none"/>
          <w:lang w:val="pt-BR"/>
        </w:rPr>
        <w:t>Fato este</w:t>
      </w:r>
      <w:r>
        <w:rPr>
          <w:rFonts w:hint="default" w:ascii="Times New Roman" w:hAnsi="Times New Roman" w:eastAsia="Times New Roman" w:cs="Times New Roman"/>
          <w:highlight w:val="none"/>
        </w:rPr>
        <w:t xml:space="preserve"> evidencia que na postura isométrica a força</w:t>
      </w:r>
      <w:r>
        <w:rPr>
          <w:rFonts w:hint="default" w:ascii="Times New Roman" w:hAnsi="Times New Roman" w:eastAsia="Times New Roman" w:cs="Times New Roman"/>
          <w:highlight w:val="none"/>
          <w:lang w:val="pt-BR"/>
        </w:rPr>
        <w:t xml:space="preserve"> geral</w:t>
      </w:r>
      <w:r>
        <w:rPr>
          <w:rFonts w:hint="default" w:ascii="Times New Roman" w:hAnsi="Times New Roman" w:eastAsia="Times New Roman" w:cs="Times New Roman"/>
          <w:highlight w:val="none"/>
        </w:rPr>
        <w:t xml:space="preserve"> atua primordialmente como um limiar de suporte estrutural</w:t>
      </w:r>
      <w:r>
        <w:rPr>
          <w:rFonts w:hint="default" w:ascii="Times New Roman" w:hAnsi="Times New Roman" w:eastAsia="Times New Roman" w:cs="Times New Roman"/>
          <w:highlight w:val="none"/>
          <w:lang w:val="pt-BR"/>
        </w:rPr>
        <w:t xml:space="preserve">, justificando  </w:t>
      </w:r>
      <w:r>
        <w:rPr>
          <w:rFonts w:hint="default" w:ascii="Times New Roman" w:hAnsi="Times New Roman" w:eastAsia="Times New Roman" w:cs="Times New Roman"/>
          <w:highlight w:val="none"/>
        </w:rPr>
        <w:t>avaliar capacidades neuromusculares com</w:t>
      </w:r>
      <w:r>
        <w:rPr>
          <w:rFonts w:hint="default" w:ascii="Times New Roman" w:hAnsi="Times New Roman" w:eastAsia="Times New Roman" w:cs="Times New Roman"/>
          <w:highlight w:val="none"/>
          <w:lang w:val="pt-BR"/>
        </w:rPr>
        <w:t xml:space="preserve"> maior</w:t>
      </w:r>
      <w:r>
        <w:rPr>
          <w:rFonts w:hint="default" w:ascii="Times New Roman" w:hAnsi="Times New Roman" w:eastAsia="Times New Roman" w:cs="Times New Roman"/>
          <w:highlight w:val="none"/>
        </w:rPr>
        <w:t xml:space="preserve"> especificidade biomecânica à tarefa, como o torque isolado de punho e a preensão manual.</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rPr>
        <w:t xml:space="preserve">Embora estudos prévios tenham reportado correlações entre testes genéricos, como o número de flexões de braço, e o tempo de sustentação no </w:t>
      </w:r>
      <w:r>
        <w:rPr>
          <w:rFonts w:hint="default" w:ascii="Times New Roman" w:hAnsi="Times New Roman" w:eastAsia="Times New Roman" w:cs="Times New Roman"/>
          <w:i/>
          <w:iCs/>
          <w:highlight w:val="none"/>
        </w:rPr>
        <w:t>HS</w:t>
      </w:r>
      <w:r>
        <w:rPr>
          <w:rFonts w:hint="default" w:ascii="Times New Roman" w:hAnsi="Times New Roman" w:eastAsia="Times New Roman" w:cs="Times New Roman"/>
          <w:i/>
          <w:iCs/>
          <w:highlight w:val="none"/>
          <w:lang w:val="pt-BR"/>
        </w:rPr>
        <w:t xml:space="preserve">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8GvipozL","properties":{"unsorted":false,"formattedCitation":"[27]","plainCitation":"[27]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[27]</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tais achados</w:t>
      </w:r>
      <w:r>
        <w:rPr>
          <w:rFonts w:hint="default" w:ascii="Times New Roman" w:hAnsi="Times New Roman" w:eastAsia="Times New Roman" w:cs="Times New Roman"/>
          <w:highlight w:val="none"/>
          <w:lang w:val="pt-BR"/>
        </w:rPr>
        <w:t xml:space="preserve"> estão concentrados</w:t>
      </w:r>
      <w:r>
        <w:rPr>
          <w:rFonts w:hint="default" w:ascii="Times New Roman" w:hAnsi="Times New Roman" w:eastAsia="Times New Roman" w:cs="Times New Roman"/>
          <w:highlight w:val="none"/>
        </w:rPr>
        <w:t xml:space="preserve"> em ginastas jovens</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rPr>
        <w:t xml:space="preserve">Nesta fase do desenvolvimento esportivo, a força de base e a resistência geral ainda atuam como os principais fatores limitadores para a sustentação da massa corporal contra a gravidade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NAUZjkkb","properties":{"unsorted":false,"formattedCitation":"[28]","plainCitation":"[28]","noteIndex":0},"citationItems":[{"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[28]</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xml:space="preserve">. No entanto, </w:t>
      </w:r>
      <w:r>
        <w:rPr>
          <w:rFonts w:hint="default" w:ascii="Times New Roman" w:hAnsi="Times New Roman" w:eastAsia="Times New Roman" w:cs="Times New Roman"/>
          <w:highlight w:val="none"/>
          <w:lang w:val="pt-BR"/>
        </w:rPr>
        <w:t>p</w:t>
      </w:r>
      <w:r>
        <w:rPr>
          <w:rFonts w:hint="default" w:ascii="Times New Roman" w:hAnsi="Times New Roman" w:eastAsia="Times New Roman" w:cs="Times New Roman"/>
          <w:highlight w:val="none"/>
        </w:rPr>
        <w:t>ara praticantes adultos e proficientes, extrapolar o desempenho de uma tarefa dinâmica no plano horizontal para justificar o controle estático vertical esbarra na mesma fragilidade preditiva apontada. Além da força máxima, a resistência muscular isométrica constitui um fator crítico, visto que a fadiga cumulativa dos membros superiores compromete a capacidade de realizar os ajustes posturais finos</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lang w:val="pt-BR"/>
        </w:rPr>
        <w:fldChar w:fldCharType="begin"/>
      </w:r>
      <w:r>
        <w:rPr>
          <w:rFonts w:hint="default" w:ascii="Times New Roman" w:hAnsi="Times New Roman" w:eastAsia="Times New Roman" w:cs="Times New Roman"/>
          <w:highlight w:val="none"/>
          <w:lang w:val="pt-BR"/>
        </w:rPr>
        <w:instrText xml:space="preserve"> ADDIN ZOTERO_ITEM CSL_CITATION {"citationID":"mBSVw794","properties":{"unsorted":false,"formattedCitation":"[14], [19]","plainCitation":"[14], [19]","noteIndex":0},"citationItems":[{"id":337,"uris":["http://zotero.org/users/17274952/items/89GK6CG5"],"itemData":{"id":337,"type":"article-journal","abstract":"Background/Objectives: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highlight w:val="none"/>
          <w:lang w:val="pt-BR"/>
        </w:rPr>
        <w:fldChar w:fldCharType="separate"/>
      </w:r>
      <w:r>
        <w:rPr>
          <w:rFonts w:hint="default" w:ascii="Times New Roman" w:hAnsi="Times New Roman" w:eastAsia="Times New Roman" w:cs="Times New Roman"/>
          <w:highlight w:val="none"/>
          <w:lang w:val="pt-BR"/>
        </w:rPr>
        <w:t>[14], [19]</w:t>
      </w:r>
      <w:r>
        <w:rPr>
          <w:rFonts w:hint="default" w:ascii="Times New Roman" w:hAnsi="Times New Roman" w:eastAsia="Times New Roman" w:cs="Times New Roman"/>
          <w:highlight w:val="none"/>
          <w:lang w:val="pt-BR"/>
        </w:rPr>
        <w:fldChar w:fldCharType="end"/>
      </w:r>
      <w:r>
        <w:rPr>
          <w:rFonts w:hint="default" w:ascii="Times New Roman" w:hAnsi="Times New Roman" w:eastAsia="Times New Roman" w:cs="Times New Roman"/>
          <w:highlight w:val="none"/>
          <w:lang w:val="pt-BR"/>
        </w:rPr>
        <w:t>. Visto isso,</w:t>
      </w:r>
      <w:r>
        <w:rPr>
          <w:rFonts w:hint="default" w:ascii="Times New Roman" w:hAnsi="Times New Roman" w:eastAsia="Times New Roman" w:cs="Times New Roman"/>
          <w:highlight w:val="none"/>
        </w:rPr>
        <w:t xml:space="preserve"> a interação combinada entre resistência muscular específica na inversão, capacidade máxima de força distal e alinhamento articular no desempenho dessas diferentes habilidades</w:t>
      </w:r>
      <w:r>
        <w:rPr>
          <w:rFonts w:hint="default" w:ascii="Times New Roman" w:hAnsi="Times New Roman" w:eastAsia="Times New Roman" w:cs="Times New Roman"/>
          <w:highlight w:val="none"/>
          <w:lang w:val="pt-BR"/>
        </w:rPr>
        <w:t xml:space="preserve"> permanece </w:t>
      </w:r>
      <w:r>
        <w:rPr>
          <w:rFonts w:hint="default" w:ascii="Times New Roman" w:hAnsi="Times New Roman" w:eastAsia="Times New Roman" w:cs="Times New Roman"/>
          <w:highlight w:val="none"/>
        </w:rPr>
        <w:t>inexplorada .</w:t>
      </w:r>
    </w:p>
    <w:p w14:paraId="16D2B967">
      <w:pPr>
        <w:spacing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As variáveis antropométricas, como o comprimento dos membros, a altura do centro de massa (CoM) e a composição corporal, têm sido apontadas pela literatura como potenciais influenciadoras da estabilidade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{"citationID":"YPnn2fvP","properties":{"formattedCitation":"[29], [30]","plainCitation":"[29], [30]","noteIndex":0},"citationItems":[{"id":323,"uris":["http://zotero.org/users/17274952/items/JY2NY8BU"],"itemData":{"id":323,"type":"book","call-number":"612.76","edition":"4th ed","ISBN":"978-0-470-39818-0","language":"en","publisher":"Wiley","publisher-place":"Hoboken, N.J","source":"BnF ISBN","title":"Biomechanics and motor control of human movement","author":[{"family":"Winter","given":"David A."}],"issued":{"date-parts":[["2009"]]}}},{"id":322,"uris":["http://zotero.org/users/17274952/items/MRLWC2VI"],"itemData":{"id":322,"type":"article-journal","abstract":"This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[29], [30]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Membros superiores mais longos podem atuar como alavancas mecânicas mais eficientes, pois pequenos movimentos articulares em punho ou ombro (pequenos ângulos) resultam em deslocamentos significativos do CoM, o que potencialmente favorece correções posturais mais precisas e econômicas. Além disso, a maior envergadura poderia ampliar a base de apoio, conferindo ganhos adicionais de estabilidade mediolateral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{"citationID":"D1SdbLKD","properties":{"formattedCitation":"[31], [32]","plainCitation":"[31], [32]","noteIndex":0},"citationItems":[{"id":46,"uris":["http://zotero.org/users/17274952/items/J9KKGBUR"],"itemData":{"id":46,"type":"article-journal","abstract":"The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321,"uris":["http://zotero.org/users/17274952/items/XYE5CT4P"],"itemData":{"id":321,"type":"article-journal","abstract":"This study tested the hypotheses that all major joints along the longitudinal axis of the body are equally active during quiet standing and that their motions are coordinated to stabilize the spatial positions of the center of mass (CM) and head. Analyses of the effect of joint configuration variance on the stability of the CM and head positions were performed using the uncontrolled manifold (UCM) approach. Subjects stood quietly with arms folded across their chests for three 5-min trials each with and without vision. The UCM analysis revealed that the six joints examined were coordinated such that their combined variance had minimal effect on the CM and head positions. Removing vision led to a structuring of the resulting increased joint variance such that little of the increase affected stability of the CM and head positions. The results reveal a control strategy involving coordinated variations of most major joints to stabilize variables important to postural control during quiet stance.","container-title":"Journal of Neurophysiology","DOI":"10.1152/jn.01142.2006","ISSN":"0022-3077, 1522-1598","issue":"4","journalAbbreviation":"Journal of Neurophysiology","language":"en","page":"3024-3035","source":"DOI.org (Crossref)","title":"Control and Estimation of Posture During Quiet Stance Depends on Multijoint Coordination","volume":"97","author":[{"family":"Hsu","given":"Wei-Li"},{"family":"Scholz","given":"John P."},{"family":"Schöner","given":"Gregor"},{"family":"Jeka","given":"John J."},{"family":"Kiemel","given":"Tim"}],"issued":{"date-parts":[["2007",4]]}}}],"schema":"https://github.com/citation-style-language/schema/raw/master/csl-citation.json"}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[31], [32]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Por outro lado, membros mais longos também aumentam o braço de momento e, consequentemente, as exigências sobre o controle ativo, o que pode representar uma limitação em situações de maior instabilidade. Já membros inferiores longos elevam a altura do CoM e ampliam o braço de momento gravitacional, exigindo ajustes posturais mais frequentes e precisos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{"citationID":"zVC4VZGQ","properties":{"formattedCitation":"[33]","plainCitation":"[33]","noteIndex":0},"citationItems":[{"id":320,"uris":["http://zotero.org/users/17274952/items/KFMAKKGW"],"itemData":{"id":320,"type":"article-journal","container-title":"PLOS ONE","DOI":"10.1371/journal.pone.0126379","ISSN":"1932-6203","issue":"5","journalAbbreviation":"PLoS ONE","language":"en","page":"e0126379","source":"DOI.org (Crossref)","title":"Models of Postural Control: Shared Variance in Joint and COM Motions","title-short":"Models of Postural Control","volume":"10","author":[{"family":"Kilby","given":"Melissa C."},{"family":"Molenaar","given":"Peter C. M."},{"family":"Newell","given":"Karl M."}],"editor":[{"family":"Haddad","given":"Jeffrey M"}],"issued":{"date-parts":[["2015",5,14]]}}}],"schema":"https://github.com/citation-style-language/schema/raw/master/csl-citation.json"}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[33]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Quanto à composição corporal, evidências sugerem que maior massa muscular nos membros superiores tende a favorecer a força de sustentação, enquanto níveis mais elevados de adiposidade podem aumentar a inércia corporal e dificultar ajustes finos de equilíbrio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{"citationID":"owvTh3Sb","properties":{"formattedCitation":"[7]","plainCitation":"[7]","noteIndex":0},"citationItems":[{"id":325,"uris":["http://zotero.org/users/17274952/items/V4I6DHIC"],"itemData":{"id":325,"type":"article-journal","abstract":"Insights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w:t>
      </w:r>
    </w:p>
    <w:p w14:paraId="2D1F72CB">
      <w:pPr>
        <w:spacing w:line="360" w:lineRule="auto"/>
        <w:ind w:firstLine="426"/>
        <w:rPr>
          <w:rFonts w:hint="default" w:ascii="Times New Roman" w:hAnsi="Times New Roman" w:eastAsia="Times New Roman" w:cs="Times New Roman"/>
          <w:highlight w:val="none"/>
        </w:rPr>
      </w:pPr>
      <w:r>
        <w:rPr>
          <w:rFonts w:hint="default" w:ascii="Times New Roman" w:hAnsi="Times New Roman" w:eastAsia="SimSun" w:cs="Times New Roman"/>
          <w:sz w:val="24"/>
          <w:szCs w:val="24"/>
          <w:highlight w:val="none"/>
        </w:rPr>
        <w:t xml:space="preserve">Adicionalmente, indicadores de controle postural têm sido amplamente empregados para caracterizar a estabilidade em posição invertida. No </w:t>
      </w:r>
      <w:r>
        <w:rPr>
          <w:rFonts w:hint="default" w:ascii="Times New Roman" w:hAnsi="Times New Roman" w:eastAsia="SimSun" w:cs="Times New Roman"/>
          <w:i/>
          <w:iCs/>
          <w:sz w:val="24"/>
          <w:szCs w:val="24"/>
          <w:highlight w:val="none"/>
        </w:rPr>
        <w:t>HS</w:t>
      </w:r>
      <w:r>
        <w:rPr>
          <w:rFonts w:hint="default" w:ascii="Times New Roman" w:hAnsi="Times New Roman" w:eastAsia="SimSun" w:cs="Times New Roman"/>
          <w:sz w:val="24"/>
          <w:szCs w:val="24"/>
          <w:highlight w:val="none"/>
        </w:rPr>
        <w:t>, espera-se que uma maior proficiência e tempo de sustentação estejam associados a menores oscilações do CoP e a uma menor entropia aproximada (ApEn), refletindo maior regularidade e automaticidade neuromotora</w:t>
      </w:r>
      <w:r>
        <w:rPr>
          <w:rFonts w:hint="default" w:ascii="Times New Roman" w:hAnsi="Times New Roman" w:eastAsia="SimSun" w:cs="Times New Roman"/>
          <w:sz w:val="24"/>
          <w:szCs w:val="24"/>
          <w:highlight w:val="none"/>
          <w:lang w:val="pt-BR"/>
        </w:rPr>
        <w:t xml:space="preserve"> </w:t>
      </w:r>
      <w:r>
        <w:rPr>
          <w:rFonts w:hint="default" w:ascii="Times New Roman" w:hAnsi="Times New Roman" w:eastAsia="SimSun" w:cs="Times New Roman"/>
          <w:sz w:val="24"/>
          <w:szCs w:val="24"/>
          <w:highlight w:val="none"/>
          <w:lang w:val="pt-BR"/>
        </w:rPr>
        <w:fldChar w:fldCharType="begin"/>
      </w:r>
      <w:r>
        <w:rPr>
          <w:rFonts w:hint="default" w:ascii="Times New Roman" w:hAnsi="Times New Roman" w:eastAsia="SimSun" w:cs="Times New Roman"/>
          <w:sz w:val="24"/>
          <w:szCs w:val="24"/>
          <w:highlight w:val="none"/>
          <w:lang w:val="pt-BR"/>
        </w:rPr>
        <w:instrText xml:space="preserve"> ADDIN ZOTERO_ITEM CSL_CITATION {"citationID":"QAf5YWPP","properties":{"unsorted":false,"formattedCitation":"[4]","plainCitation":"[4]","noteIndex":0},"citationItems":[{"id":345,"uris":["http://zotero.org/users/17274952/items/RI8HJ578"],"itemData":{"id":345,"type":"article-journal","abstract":"Abstract\n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Pr>
          <w:rFonts w:hint="default" w:ascii="Times New Roman" w:hAnsi="Times New Roman" w:eastAsia="SimSun" w:cs="Times New Roman"/>
          <w:sz w:val="24"/>
          <w:szCs w:val="24"/>
          <w:highlight w:val="none"/>
          <w:lang w:val="pt-BR"/>
        </w:rPr>
        <w:fldChar w:fldCharType="separate"/>
      </w:r>
      <w:r>
        <w:rPr>
          <w:rFonts w:hint="default" w:ascii="Times New Roman" w:hAnsi="Times New Roman" w:eastAsia="SimSun" w:cs="Times New Roman"/>
          <w:sz w:val="24"/>
          <w:szCs w:val="24"/>
          <w:highlight w:val="none"/>
          <w:lang w:val="pt-BR"/>
        </w:rPr>
        <w:t>[4]</w:t>
      </w:r>
      <w:r>
        <w:rPr>
          <w:rFonts w:hint="default" w:ascii="Times New Roman" w:hAnsi="Times New Roman" w:eastAsia="SimSun" w:cs="Times New Roman"/>
          <w:sz w:val="24"/>
          <w:szCs w:val="24"/>
          <w:highlight w:val="none"/>
          <w:lang w:val="pt-BR"/>
        </w:rPr>
        <w:fldChar w:fldCharType="end"/>
      </w:r>
      <w:r>
        <w:rPr>
          <w:rFonts w:hint="default" w:ascii="Times New Roman" w:hAnsi="Times New Roman" w:eastAsia="SimSun" w:cs="Times New Roman"/>
          <w:sz w:val="24"/>
          <w:szCs w:val="24"/>
          <w:highlight w:val="none"/>
        </w:rPr>
        <w:t xml:space="preserve"> . No entanto, diferentemente da análise isolada da variabilidade do CoP</w:t>
      </w:r>
      <w:r>
        <w:rPr>
          <w:rFonts w:hint="default" w:ascii="Times New Roman" w:hAnsi="Times New Roman" w:eastAsia="SimSun" w:cs="Times New Roman"/>
          <w:sz w:val="24"/>
          <w:szCs w:val="24"/>
          <w:highlight w:val="none"/>
          <w:lang w:val="pt-BR"/>
        </w:rPr>
        <w:t xml:space="preserve">, </w:t>
      </w:r>
      <w:r>
        <w:rPr>
          <w:rFonts w:hint="default" w:ascii="Times New Roman" w:hAnsi="Times New Roman" w:eastAsia="SimSun" w:cs="Times New Roman"/>
          <w:sz w:val="24"/>
          <w:szCs w:val="24"/>
          <w:highlight w:val="none"/>
        </w:rPr>
        <w:t xml:space="preserve">que expressa primordialmente a magnitude e a frequência do esforço neuromuscular corretivo aplicado sobre a base de apoio, a distância instantânea entre o CoP e a projeção vertical </w:t>
      </w:r>
      <w:r>
        <w:rPr>
          <w:rFonts w:hint="default" w:ascii="Times New Roman" w:hAnsi="Times New Roman" w:eastAsia="SimSun" w:cs="Times New Roman"/>
          <w:sz w:val="24"/>
          <w:szCs w:val="24"/>
          <w:highlight w:val="none"/>
          <w:lang w:val="pt-BR"/>
        </w:rPr>
        <w:t>CoM</w:t>
      </w:r>
      <w:r>
        <w:rPr>
          <w:rFonts w:hint="default" w:ascii="Times New Roman" w:hAnsi="Times New Roman" w:eastAsia="SimSun" w:cs="Times New Roman"/>
          <w:sz w:val="24"/>
          <w:szCs w:val="24"/>
          <w:highlight w:val="none"/>
        </w:rPr>
        <w:t xml:space="preserve"> assume papel central como medida primária do erro real de equilíbrio</w:t>
      </w:r>
      <w:r>
        <w:rPr>
          <w:rFonts w:hint="default" w:ascii="Times New Roman" w:hAnsi="Times New Roman" w:eastAsia="SimSun" w:cs="Times New Roman"/>
          <w:sz w:val="24"/>
          <w:szCs w:val="24"/>
          <w:highlight w:val="none"/>
          <w:lang w:val="pt-BR"/>
        </w:rPr>
        <w:t xml:space="preserve"> </w:t>
      </w:r>
      <w:r>
        <w:rPr>
          <w:rFonts w:hint="default" w:ascii="Times New Roman" w:hAnsi="Times New Roman" w:eastAsia="SimSun" w:cs="Times New Roman"/>
          <w:sz w:val="24"/>
          <w:szCs w:val="24"/>
          <w:highlight w:val="none"/>
          <w:lang w:val="pt-BR"/>
        </w:rPr>
        <w:fldChar w:fldCharType="begin"/>
      </w:r>
      <w:r>
        <w:rPr>
          <w:rFonts w:hint="default" w:ascii="Times New Roman" w:hAnsi="Times New Roman" w:eastAsia="SimSun" w:cs="Times New Roman"/>
          <w:sz w:val="24"/>
          <w:szCs w:val="24"/>
          <w:highlight w:val="none"/>
          <w:lang w:val="pt-BR"/>
        </w:rPr>
        <w:instrText xml:space="preserve"> ADDIN ZOTERO_ITEM CSL_CITATION {"citationID":"TlvMcXaL","properties":{"unsorted":false,"formattedCitation":"[34], [35]","plainCitation":"[34], [35]","noteIndex":0},"citationItems":[{"id":25,"uris":["http://zotero.org/users/17274952/items/BI58LU3J"],"itemData":{"id":25,"type":"article-journal","abstract":"Movements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walking","volume":"3","author":[{"family":"Winter","given":"Da"}],"issued":{"date-parts":[["1995",12]]}}}],"schema":"https://github.com/citation-style-language/schema/raw/master/csl-citation.json"} </w:instrText>
      </w:r>
      <w:r>
        <w:rPr>
          <w:rFonts w:hint="default" w:ascii="Times New Roman" w:hAnsi="Times New Roman" w:eastAsia="SimSun" w:cs="Times New Roman"/>
          <w:sz w:val="24"/>
          <w:szCs w:val="24"/>
          <w:highlight w:val="none"/>
          <w:lang w:val="pt-BR"/>
        </w:rPr>
        <w:fldChar w:fldCharType="separate"/>
      </w:r>
      <w:r>
        <w:rPr>
          <w:rFonts w:hint="default" w:ascii="Times New Roman" w:hAnsi="Times New Roman" w:eastAsia="SimSun" w:cs="Times New Roman"/>
          <w:sz w:val="24"/>
          <w:szCs w:val="24"/>
          <w:highlight w:val="none"/>
          <w:lang w:val="pt-BR"/>
        </w:rPr>
        <w:t>[34], [35]</w:t>
      </w:r>
      <w:r>
        <w:rPr>
          <w:rFonts w:hint="default" w:ascii="Times New Roman" w:hAnsi="Times New Roman" w:eastAsia="SimSun" w:cs="Times New Roman"/>
          <w:sz w:val="24"/>
          <w:szCs w:val="24"/>
          <w:highlight w:val="none"/>
          <w:lang w:val="pt-BR"/>
        </w:rPr>
        <w:fldChar w:fldCharType="end"/>
      </w:r>
      <w:r>
        <w:rPr>
          <w:rFonts w:hint="default" w:ascii="Times New Roman" w:hAnsi="Times New Roman" w:eastAsia="SimSun" w:cs="Times New Roman"/>
          <w:sz w:val="24"/>
          <w:szCs w:val="24"/>
          <w:highlight w:val="none"/>
        </w:rPr>
        <w:t xml:space="preserve">. Sob a ótica do modelo biomecânico do pêndulo invertido, a aceleração horizontal do corpo é diretamente proporcional ao distanciamento espacial entre o CoP e o CoM. Enquanto uma alta oscilação do CoP pode indicar apenas uma atividade muscular intensa (que pode ou não ser eficiente na estabilização), a magnitude da distância CoP-CoM quantifica o braço de momento da força gravitacional: quanto maior esse distanciamento, maior o torque desestabilizador imposto ao sistema e menor a eficiência do controle postural </w:t>
      </w:r>
      <w:r>
        <w:rPr>
          <w:rFonts w:hint="default" w:ascii="Times New Roman" w:hAnsi="Times New Roman" w:eastAsia="SimSun" w:cs="Times New Roman"/>
          <w:sz w:val="24"/>
          <w:szCs w:val="24"/>
          <w:highlight w:val="none"/>
        </w:rPr>
        <w:fldChar w:fldCharType="begin"/>
      </w:r>
      <w:r>
        <w:rPr>
          <w:rFonts w:hint="default" w:ascii="Times New Roman" w:hAnsi="Times New Roman" w:eastAsia="SimSun" w:cs="Times New Roman"/>
          <w:sz w:val="24"/>
          <w:szCs w:val="24"/>
          <w:highlight w:val="none"/>
          <w:lang w:val="pt-BR"/>
        </w:rPr>
        <w:instrText xml:space="preserve"> ADDIN ZOTERO_ITEM CSL_CITATION {"citationID":"KV0wcDFY","properties":{"unsorted":false,"formattedCitation":"[34], [35]","plainCitation":"[34], [35]","noteIndex":0},"citationItems":[{"id":25,"uris":["http://zotero.org/users/17274952/items/BI58LU3J"],"itemData":{"id":25,"type":"article-journal","abstract":"Movements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walking","volume":"3","author":[{"family":"Winter","given":"Da"}],"issued":{"date-parts":[["1995",12]]}}}],"schema":"https://github.com/citation-style-language/schema/raw/master/csl-citation.json"} </w:instrText>
      </w:r>
      <w:r>
        <w:rPr>
          <w:rFonts w:hint="default" w:ascii="Times New Roman" w:hAnsi="Times New Roman" w:eastAsia="SimSun" w:cs="Times New Roman"/>
          <w:sz w:val="24"/>
          <w:szCs w:val="24"/>
          <w:highlight w:val="none"/>
        </w:rPr>
        <w:fldChar w:fldCharType="separate"/>
      </w:r>
      <w:r>
        <w:rPr>
          <w:rFonts w:hint="default" w:ascii="Times New Roman" w:hAnsi="Times New Roman" w:eastAsia="SimSun" w:cs="Times New Roman"/>
          <w:sz w:val="24"/>
          <w:szCs w:val="24"/>
          <w:highlight w:val="none"/>
          <w:lang w:val="pt-BR"/>
        </w:rPr>
        <w:t>[34], [35]</w:t>
      </w:r>
      <w:r>
        <w:rPr>
          <w:rFonts w:hint="default" w:ascii="Times New Roman" w:hAnsi="Times New Roman" w:eastAsia="SimSun" w:cs="Times New Roman"/>
          <w:sz w:val="24"/>
          <w:szCs w:val="24"/>
          <w:highlight w:val="none"/>
        </w:rPr>
        <w:fldChar w:fldCharType="end"/>
      </w:r>
      <w:r>
        <w:rPr>
          <w:rFonts w:hint="default" w:ascii="Times New Roman" w:hAnsi="Times New Roman" w:eastAsia="SimSun" w:cs="Times New Roman"/>
          <w:sz w:val="24"/>
          <w:szCs w:val="24"/>
          <w:highlight w:val="none"/>
        </w:rPr>
        <w:t>.</w:t>
      </w:r>
      <w:r>
        <w:rPr>
          <w:rFonts w:hint="default" w:ascii="Times New Roman" w:hAnsi="Times New Roman" w:eastAsia="Times New Roman" w:cs="Times New Roman"/>
          <w:highlight w:val="none"/>
        </w:rPr>
        <w:t xml:space="preserve"> </w:t>
      </w:r>
    </w:p>
    <w:p w14:paraId="2A83AF70">
      <w:pPr>
        <w:spacing w:line="360" w:lineRule="auto"/>
        <w:ind w:firstLine="426"/>
        <w:rPr>
          <w:rFonts w:hint="default" w:ascii="Times New Roman" w:hAnsi="Times New Roman" w:eastAsia="Times New Roman" w:cs="Times New Roman"/>
          <w:lang w:val="pt-BR"/>
        </w:rPr>
      </w:pPr>
      <w:r>
        <w:rPr>
          <w:rFonts w:hint="default" w:ascii="Times New Roman" w:hAnsi="Times New Roman" w:eastAsia="Times New Roman" w:cs="Times New Roman"/>
        </w:rPr>
        <w:t>A análise cinemática dos ângulos articulares dos punhos, ombros, quadril e cabeça, tem sido apontada como relevante, uma vez que o alinhamento segmentar influencia diretamente a distribuição do</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 xml:space="preserve">CoM e as demandas de torque sobre os estabilizadores articulares, podendo determinar estratégias distintas de manutenção do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i/>
          <w:iCs/>
        </w:rPr>
        <w:fldChar w:fldCharType="begin"/>
      </w:r>
      <w:r>
        <w:rPr>
          <w:rFonts w:hint="default" w:ascii="Times New Roman" w:hAnsi="Times New Roman" w:eastAsia="Times New Roman" w:cs="Times New Roman"/>
          <w:i/>
          <w:iCs/>
          <w:lang w:val="pt-BR"/>
        </w:rPr>
        <w:instrText xml:space="preserve"> ADDIN ZOTERO_ITEM CSL_CITATION {"citationID":"VriBlMIh","properties":{"formattedCitation":"[1]","plainCitation":"[1]","noteIndex":0},"citationItems":[{"id":333,"uris":["http://zotero.org/users/17274952/items/LV8KSPDR"],"itemData":{"id":333,"type":"article-journal","abstract":"Handstand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i/>
          <w:iCs/>
        </w:rPr>
        <w:fldChar w:fldCharType="separate"/>
      </w:r>
      <w:r>
        <w:rPr>
          <w:rFonts w:hint="default" w:ascii="Times New Roman" w:hAnsi="Times New Roman" w:cs="Times New Roman"/>
        </w:rPr>
        <w:t>[1]</w:t>
      </w:r>
      <w:r>
        <w:rPr>
          <w:rFonts w:hint="default" w:ascii="Times New Roman" w:hAnsi="Times New Roman" w:eastAsia="Times New Roman" w:cs="Times New Roman"/>
          <w:i/>
          <w:iCs/>
        </w:rPr>
        <w:fldChar w:fldCharType="end"/>
      </w:r>
      <w:r>
        <w:rPr>
          <w:rFonts w:hint="default" w:ascii="Times New Roman" w:hAnsi="Times New Roman" w:eastAsia="Times New Roman" w:cs="Times New Roman"/>
        </w:rPr>
        <w:t xml:space="preserve">. Apesar de amplamente abordado em trabalhos sobre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o alinhamento articular tem sido frequentemente empregado como medida de desempenho e proficiência em populações restritas de ginastas experientes, geralmente com amostras reduzidas. Essa limitação dificulta discernir se a alta proficiência observada decorre de um alinhamento postural ideal ou do elevado volume de prática específica. 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i/>
        </w:rPr>
        <w:fldChar w:fldCharType="begin"/>
      </w:r>
      <w:r>
        <w:rPr>
          <w:rFonts w:hint="default" w:ascii="Times New Roman" w:hAnsi="Times New Roman" w:eastAsia="Times New Roman" w:cs="Times New Roman"/>
          <w:i/>
          <w:lang w:val="pt-BR"/>
        </w:rPr>
        <w:instrText xml:space="preserve"> ADDIN ZOTERO_ITEM CSL_CITATION {"citationID":"wKey6hKL","properties":{"formattedCitation":"[2]","plainCitation":"[2]","noteIndex":0},"citationItems":[{"id":327,"uris":["http://zotero.org/users/17274952/items/7HMEIQK4"],"itemData":{"id":327,"type":"article-journal","abstract":"Despite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i/>
        </w:rPr>
        <w:fldChar w:fldCharType="separate"/>
      </w:r>
      <w:r>
        <w:rPr>
          <w:rFonts w:hint="default" w:ascii="Times New Roman" w:hAnsi="Times New Roman" w:cs="Times New Roman"/>
        </w:rPr>
        <w:t>[2]</w:t>
      </w:r>
      <w:r>
        <w:rPr>
          <w:rFonts w:hint="default" w:ascii="Times New Roman" w:hAnsi="Times New Roman" w:eastAsia="Times New Roman" w:cs="Times New Roman"/>
          <w:i/>
        </w:rPr>
        <w:fldChar w:fldCharType="end"/>
      </w:r>
      <w:r>
        <w:rPr>
          <w:rFonts w:hint="default" w:ascii="Times New Roman" w:hAnsi="Times New Roman" w:eastAsia="Times New Roman" w:cs="Times New Roman"/>
          <w:i/>
        </w:rPr>
        <w:t>.</w:t>
      </w:r>
      <w:r>
        <w:rPr>
          <w:rFonts w:hint="default" w:ascii="Times New Roman" w:hAnsi="Times New Roman" w:eastAsia="Times New Roman" w:cs="Times New Roman"/>
        </w:rPr>
        <w:t xml:space="preserve"> Essa incerteza é ampliada pela escassez de estudos que investiguem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em modalidades além da ginástica artística, nas quais se observam estratégias de equilíbrio eficazes mesmo em alinhamentos distintos.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Nesse contexto, a cadeia cinética invertida opera sob papéis funcionais distintos: enquanto os punhos atuam no solo como efetores dinâmicos de alta frequência (</w:t>
      </w:r>
      <w:r>
        <w:rPr>
          <w:rFonts w:hint="default" w:ascii="Times New Roman" w:hAnsi="Times New Roman" w:eastAsia="Times New Roman" w:cs="Times New Roman"/>
          <w:i/>
          <w:iCs/>
        </w:rPr>
        <w:t>wrist strategy</w:t>
      </w:r>
      <w:r>
        <w:rPr>
          <w:rFonts w:hint="default" w:ascii="Times New Roman" w:hAnsi="Times New Roman" w:eastAsia="Times New Roman" w:cs="Times New Roman"/>
        </w:rPr>
        <w:t>, análoga ao tornozelo na postura ereta)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{"citationID":"MANojoAF","properties":{"unsorted":false,"formattedCitation":"[2], [3], [7]","plainCitation":"[2], [3], [7]","noteIndex":0},"citationItems":[{"id":327,"uris":["http://zotero.org/users/17274952/items/7HMEIQK4"],"itemData":{"id":327,"type":"article-journal","abstract":"Despite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[2], [3], [7]</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 ombros e quadril definem o empilhamento articular do tronco (</w:t>
      </w:r>
      <w:r>
        <w:rPr>
          <w:rFonts w:hint="default" w:ascii="Times New Roman" w:hAnsi="Times New Roman" w:eastAsia="Times New Roman" w:cs="Times New Roman"/>
          <w:i/>
          <w:iCs/>
        </w:rPr>
        <w:t>joint stacking</w:t>
      </w:r>
      <w:r>
        <w:rPr>
          <w:rFonts w:hint="default" w:ascii="Times New Roman" w:hAnsi="Times New Roman" w:eastAsia="Times New Roman" w:cs="Times New Roman"/>
        </w:rPr>
        <w:t>), onde restrições de mobilidade exigem compensações na curvatura lombar</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{"citationID":"T3WYhzbW","properties":{"unsorted":false,"formattedCitation":"[1], [14]","plainCitation":"[1], [14]","noteIndex":0},"citationItems":[{"id":337,"uris":["http://zotero.org/users/17274952/items/89GK6CG5"],"itemData":{"id":337,"type":"article-journal","abstract":"Background/Objectives: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[1], [14]</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 Paralelamente, na extremidade oposta, a flexão plantar ativa (</w:t>
      </w:r>
      <w:r>
        <w:rPr>
          <w:rFonts w:hint="default" w:ascii="Times New Roman" w:hAnsi="Times New Roman" w:eastAsia="Times New Roman" w:cs="Times New Roman"/>
          <w:lang w:val="pt-BR"/>
        </w:rPr>
        <w:t>“</w:t>
      </w:r>
      <w:r>
        <w:rPr>
          <w:rFonts w:hint="default" w:ascii="Times New Roman" w:hAnsi="Times New Roman" w:eastAsia="Times New Roman" w:cs="Times New Roman"/>
        </w:rPr>
        <w:t>ponta de pé</w:t>
      </w:r>
      <w:r>
        <w:rPr>
          <w:rFonts w:hint="default" w:ascii="Times New Roman" w:hAnsi="Times New Roman" w:eastAsia="Times New Roman" w:cs="Times New Roman"/>
          <w:lang w:val="pt-BR"/>
        </w:rPr>
        <w:t>”</w:t>
      </w:r>
      <w:r>
        <w:rPr>
          <w:rFonts w:hint="default" w:ascii="Times New Roman" w:hAnsi="Times New Roman" w:eastAsia="Times New Roman" w:cs="Times New Roman"/>
        </w:rPr>
        <w:t>) promove irradiação motora e coativação nos membros inferiores, convertendo o corpo em um pêndulo rígido de haste única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i/>
          <w:iCs/>
          <w:lang w:val="pt-BR"/>
        </w:rPr>
        <w:t>single-link</w:t>
      </w:r>
      <w:r>
        <w:rPr>
          <w:rFonts w:hint="default" w:ascii="Times New Roman" w:hAnsi="Times New Roman" w:eastAsia="Times New Roman" w:cs="Times New Roman"/>
          <w:lang w:val="pt-BR"/>
        </w:rPr>
        <w:t>)</w:t>
      </w:r>
      <w:r>
        <w:rPr>
          <w:rFonts w:hint="default" w:ascii="Times New Roman" w:hAnsi="Times New Roman" w:eastAsia="Times New Roman" w:cs="Times New Roman"/>
        </w:rPr>
        <w:t xml:space="preserv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{"citationID":"hGLfcr0G","properties":{"unsorted":false,"formattedCitation":"[28], [31]","plainCitation":"[28], [31]","noteIndex":0},"citationItems":[{"id":46,"uris":["http://zotero.org/users/17274952/items/J9KKGBUR"],"itemData":{"id":46,"type":"article-journal","abstract":"The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[28], [31]</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Em contraste, tornozelos neutros ou relaxados (comuns no </w:t>
      </w:r>
      <w:r>
        <w:rPr>
          <w:rFonts w:hint="default" w:ascii="Times New Roman" w:hAnsi="Times New Roman" w:eastAsia="Times New Roman" w:cs="Times New Roman"/>
          <w:i/>
          <w:iCs/>
        </w:rPr>
        <w:t>CrossFit</w:t>
      </w:r>
      <w:r>
        <w:rPr>
          <w:rFonts w:hint="default" w:ascii="Times New Roman" w:hAnsi="Times New Roman" w:eastAsia="Times New Roman" w:cs="Times New Roman"/>
          <w:i/>
          <w:iCs/>
          <w:lang w:val="pt-BR"/>
        </w:rPr>
        <w:t xml:space="preserve"> </w:t>
      </w:r>
      <w:r>
        <w:rPr>
          <w:rFonts w:hint="default" w:ascii="Times New Roman" w:hAnsi="Times New Roman" w:eastAsia="Times New Roman" w:cs="Times New Roman"/>
          <w:i w:val="0"/>
          <w:iCs w:val="0"/>
          <w:lang w:val="pt-BR"/>
        </w:rPr>
        <w:t>e Calistenia</w:t>
      </w:r>
      <w:r>
        <w:rPr>
          <w:rFonts w:hint="default" w:ascii="Times New Roman" w:hAnsi="Times New Roman" w:eastAsia="Times New Roman" w:cs="Times New Roman"/>
        </w:rPr>
        <w:t>) induzem um comportamento multiarticulad</w:t>
      </w:r>
      <w:r>
        <w:rPr>
          <w:rFonts w:hint="default" w:ascii="Times New Roman" w:hAnsi="Times New Roman" w:eastAsia="Times New Roman" w:cs="Times New Roman"/>
          <w:lang w:val="pt-BR"/>
        </w:rPr>
        <w:t>o (</w:t>
      </w:r>
      <w:r>
        <w:rPr>
          <w:rFonts w:hint="default" w:ascii="Times New Roman" w:hAnsi="Times New Roman" w:eastAsia="Times New Roman" w:cs="Times New Roman"/>
          <w:i/>
          <w:iCs/>
          <w:lang w:val="pt-BR"/>
        </w:rPr>
        <w:t>multi-link)</w:t>
      </w:r>
      <w:r>
        <w:rPr>
          <w:rFonts w:hint="default" w:ascii="Times New Roman" w:hAnsi="Times New Roman" w:eastAsia="Times New Roman" w:cs="Times New Roman"/>
        </w:rPr>
        <w:t xml:space="preserve">, </w:t>
      </w:r>
      <w:r>
        <w:rPr>
          <w:rFonts w:hint="default" w:ascii="Times New Roman" w:hAnsi="Times New Roman" w:eastAsia="Times New Roman" w:cs="Times New Roman"/>
          <w:lang w:val="pt-BR"/>
        </w:rPr>
        <w:t>g</w:t>
      </w:r>
      <w:r>
        <w:rPr>
          <w:rFonts w:hint="default" w:ascii="Times New Roman" w:hAnsi="Times New Roman" w:eastAsia="Times New Roman" w:cs="Times New Roman"/>
        </w:rPr>
        <w:t>erando oscilações inerciais distais que podem sobrecarregar os mecanismos de controle postural na base. Avaliar essas configurações segmentares esclarecerá se a verticalidade estrita e a rigidez distal são imperativas ou se estratégias adaptativas sustentam estabilidade equivalente entre modalidades.</w:t>
      </w:r>
    </w:p>
    <w:p w14:paraId="18EE1F6D">
      <w:pPr>
        <w:spacing w:line="360" w:lineRule="auto"/>
        <w:ind w:firstLine="426"/>
        <w:rPr>
          <w:rFonts w:hint="default" w:ascii="Times New Roman" w:hAnsi="Times New Roman" w:eastAsia="Times New Roman" w:cs="Times New Roman"/>
        </w:rPr>
      </w:pPr>
      <w:r>
        <w:rPr>
          <w:rFonts w:hint="default" w:ascii="Times New Roman" w:hAnsi="Times New Roman" w:cs="Times New Roman"/>
        </w:rPr>
        <w:t xml:space="preserve">No </w:t>
      </w:r>
      <w:r>
        <w:rPr>
          <w:rFonts w:hint="default" w:ascii="Times New Roman" w:hAnsi="Times New Roman" w:cs="Times New Roman"/>
          <w:i/>
          <w:iCs/>
        </w:rPr>
        <w:t>HS</w:t>
      </w:r>
      <w:r>
        <w:rPr>
          <w:rFonts w:hint="default" w:ascii="Times New Roman" w:hAnsi="Times New Roman" w:cs="Times New Roman"/>
        </w:rPr>
        <w:t xml:space="preserve">, o tempo máximo de sustentação tem sido utilizado como parâmetro de desempenho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{"citationID":"DjmdKVKH","properties":{"formattedCitation":"[2], [20], [22], [27]","plainCitation":"[2], [20], [22], [27]","noteIndex":0},"citationItems":[{"id":327,"uris":["http://zotero.org/users/17274952/items/7HMEIQK4"],"itemData":{"id":327,"type":"article-journal","abstract":"Despite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343,"uris":["http://zotero.org/users/17274952/items/L7ZWVBWS"],"itemData":{"id":343,"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id":319,"uris":["http://zotero.org/users/17274952/items/PUS5K2KW"],"itemData":{"id":319,"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[2], [20], [22], [27]</w:t>
      </w:r>
      <w:r>
        <w:rPr>
          <w:rFonts w:hint="default" w:ascii="Times New Roman" w:hAnsi="Times New Roman" w:cs="Times New Roman"/>
        </w:rPr>
        <w:fldChar w:fldCharType="end"/>
      </w:r>
      <w:r>
        <w:rPr>
          <w:rFonts w:hint="default" w:ascii="Times New Roman" w:hAnsi="Times New Roman" w:cs="Times New Roman"/>
        </w:rPr>
        <w:t xml:space="preserve">. Enquanto que no </w:t>
      </w:r>
      <w:r>
        <w:rPr>
          <w:rFonts w:hint="default" w:ascii="Times New Roman" w:hAnsi="Times New Roman" w:cs="Times New Roman"/>
          <w:i/>
          <w:iCs/>
        </w:rPr>
        <w:t>HSW</w:t>
      </w:r>
      <w:r>
        <w:rPr>
          <w:rFonts w:hint="default" w:ascii="Times New Roman" w:hAnsi="Times New Roman" w:cs="Times New Roman"/>
        </w:rPr>
        <w:t>, os poucos estudos publicados até o momento concentraram-se em aspectos de desempenho a partir de parâmetros iniciais do deslocamento e de controle motor, como as</w:t>
      </w:r>
      <w:r>
        <w:rPr>
          <w:rFonts w:hint="default" w:ascii="Times New Roman" w:hAnsi="Times New Roman" w:cs="Times New Roman"/>
          <w:b/>
          <w:bCs/>
        </w:rPr>
        <w:t xml:space="preserve"> </w:t>
      </w:r>
      <w:r>
        <w:rPr>
          <w:rStyle w:val="8"/>
          <w:rFonts w:hint="default" w:ascii="Times New Roman" w:hAnsi="Times New Roman" w:cs="Times New Roman"/>
          <w:b w:val="0"/>
          <w:bCs w:val="0"/>
        </w:rPr>
        <w:t>forças de reação ao solo, coordenação intersegmentar e APAs no momento da saída</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{"citationID":"a4K8YdQy","properties":{"formattedCitation":"[23]","plainCitation":"[23]","noteIndex":0},"citationItems":[{"id":344,"uris":["http://zotero.org/users/17274952/items/IA4SHZ82"],"itemData":{"id":344,"type":"article-journal","abstract":"Background: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t xml:space="preserve">, os efeitos de cargas adicionais sobre APAs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{"citationID":"hx7Pj605","properties":{"formattedCitation":"[24]","plainCitation":"[24]","noteIndex":0},"citationItems":[{"id":341,"uris":["http://zotero.org/users/17274952/items/3CGH6KGH"],"itemData":{"id":341,"type":"article-journal","abstract":"Anticipatory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t xml:space="preserve"> e comparações de coordenação com a marcha bípede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{"citationID":"xceGd1LY","properties":{"formattedCitation":"[25]","plainCitation":"[25]","noteIndex":0},"citationItems":[{"id":342,"uris":["http://zotero.org/users/17274952/items/25HVULTT"],"itemData":{"id":342,"type":"article-journal","abstract":"Handwalking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t>. Sendo assim, avaliar também variáveis espaço-temporais, como distância percorrida, tempo de execução e velocidade média, poderiam oferecer uma visão mais integrada e completa dos padrões de deslocamento</w:t>
      </w:r>
      <w:r>
        <w:rPr>
          <w:rFonts w:hint="default" w:ascii="Times New Roman" w:hAnsi="Times New Roman" w:eastAsia="Times New Roman" w:cs="Times New Roman"/>
        </w:rPr>
        <w:t xml:space="preserve">. </w:t>
      </w:r>
      <w:r>
        <w:rPr>
          <w:rFonts w:hint="default" w:ascii="Times New Roman" w:hAnsi="Times New Roman" w:cs="Times New Roman"/>
        </w:rPr>
        <w:t xml:space="preserve"> </w:t>
      </w:r>
      <w:r>
        <w:rPr>
          <w:rFonts w:hint="default" w:ascii="Times New Roman" w:hAnsi="Times New Roman" w:eastAsia="Times New Roman" w:cs="Times New Roman"/>
        </w:rPr>
        <w:t xml:space="preserve">Verificou-se que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apresenta um padrão de locomoção semelhante à marcha bípede, mas com passos mais curtos, base de apoio alargada e maior tempo em duplo suporte, característica que aumenta com o nível de habilidade dentro da ginástica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{"citationID":"H3D9CMAC","properties":{"formattedCitation":"[25]","plainCitation":"[25]","noteIndex":0},"citationItems":[{"id":342,"uris":["http://zotero.org/users/17274952/items/25HVULTT"],"itemData":{"id":342,"type":"article-journal","abstract":"Handwalking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Além disso, a cadência, comprimento médio das passadas, tempo de contato das mãos com o solo, tempo em duplo suporte e variabilidade entre passadas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mediolateral, melhorando a previsão e o controle de perturbações durante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ao passo que passadas mais curtas e rápidas podem indicar estratégias voltadas à propulsão e velocidade. Nesse contexto, o tempo máximo de sustentação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poderia influenciar também nos parâmetros espaço-temporais do </w:t>
      </w:r>
      <w:r>
        <w:rPr>
          <w:rFonts w:hint="default" w:ascii="Times New Roman" w:hAnsi="Times New Roman" w:eastAsia="Times New Roman" w:cs="Times New Roman"/>
          <w:i/>
          <w:iCs/>
        </w:rPr>
        <w:t>HSW</w:t>
      </w:r>
      <w:r>
        <w:rPr>
          <w:rFonts w:hint="default" w:ascii="Times New Roman" w:hAnsi="Times New Roman" w:eastAsia="Times New Roman" w:cs="Times New Roman"/>
        </w:rPr>
        <w:t>, sugerindo uma possível transferência de habilidades entre as condições estática e dinâmica.</w:t>
      </w:r>
    </w:p>
    <w:p w14:paraId="023853DF">
      <w:pPr>
        <w:spacing w:line="360" w:lineRule="auto"/>
        <w:ind w:firstLine="426"/>
        <w:rPr>
          <w:rFonts w:hint="default" w:ascii="Times New Roman" w:hAnsi="Times New Roman" w:cs="Times New Roman"/>
        </w:rPr>
      </w:pPr>
      <w:r>
        <w:rPr>
          <w:rFonts w:hint="default" w:ascii="Times New Roman" w:hAnsi="Times New Roman" w:cs="Times New Roman"/>
        </w:rPr>
        <w:t xml:space="preserve">O tempo de prática na modalidade em que o </w:t>
      </w:r>
      <w:r>
        <w:rPr>
          <w:rFonts w:hint="default" w:ascii="Times New Roman" w:hAnsi="Times New Roman" w:cs="Times New Roman"/>
          <w:i/>
          <w:iCs/>
        </w:rPr>
        <w:t>HS</w:t>
      </w:r>
      <w:r>
        <w:rPr>
          <w:rFonts w:hint="default" w:ascii="Times New Roman" w:hAnsi="Times New Roman" w:cs="Times New Roman"/>
        </w:rPr>
        <w:t xml:space="preserve"> é treinado parece exercer papel importante na estabilidade e no controle postural. </w:t>
      </w:r>
      <w:r>
        <w:rPr>
          <w:rFonts w:hint="default" w:ascii="Times New Roman" w:hAnsi="Times New Roman" w:eastAsia="Times New Roman" w:cs="Times New Roman"/>
        </w:rPr>
        <w:t xml:space="preserve">Estudos indicam que a experiência esportiva está diretamente associada à estabilidade, tanto em pé quanto em posição invertida, sendo ginastas seniores mais estáveis do que juniores em tarefas de equilíbrio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{"citationID":"aD1c6zGB","properties":{"formattedCitation":"[22]","plainCitation":"[22]","noteIndex":0},"citationItems":[{"id":335,"uris":["http://zotero.org/users/17274952/items/3VJT24K4"],"itemData":{"id":335,"type":"article-journal","abstract":"Background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No contexto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maior tempo de prática tende a refletir não apenas em maior resistência de sustentação e controle postural estático, mas também em proficiência no deslocamento em inversão. </w:t>
      </w:r>
      <w:r>
        <w:rPr>
          <w:rFonts w:hint="default" w:ascii="Times New Roman" w:hAnsi="Times New Roman" w:cs="Times New Roman"/>
        </w:rPr>
        <w:t xml:space="preserve">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{"citationID":"q8q8Ieeo","properties":{"formattedCitation":"[36], [37]","plainCitation":"[36], [37]","noteIndex":0},"citationItems":[{"id":318,"uris":["http://zotero.org/users/17274952/items/VBUIJ4XH"],"itemData":{"id":318,"type":"article-journal","abstract":"Certain aspects of balance control change with age, resulting in a slight postural instability. We examined healthy subjects between 20-82 years of age during the quiet stance under static conditions: at stance on a firm surface and/or on a compliant surface with eyes either open or closed. Body sway was evaluated from centre of foot pressure (CoP) positions during a 50 sec interval. The seven CoP parameters were evaluated to assess quiet stance and were analyzed in three age groups: juniors, middle-aged and seniors. The regression analysis showed evident increase of body sway over 60 years of age. We found that CoP parameters were significantly different when comparing juniors and seniors in all static conditions. The most sensitive view on postural steadiness during quiet stance was provided by CoP amplitude and velocity in AP direction and root mean square (RMS) of statokinesigram. New physiological ranges of RMS parameter in each condition for each age group of healthy subjects were determined. Our results showed that CoP data from force platform in quiet stance may indicate small balance impairment due to age. The determined physiological ranges of RMS will be useful for better distinguishing between small postural instability due to aging in contrast to pathological processes in the human postural control.","container-title":"Physiological Research","DOI":"10.33549/physiolres.931238","ISSN":"1802-9973, 0862-8408","journalAbbreviation":"Physiol Res","language":"en","page":"957-964","source":"DOI.org (Crossref)","title":"Age-related changes of human balance during quiet stance","author":[{"family":"Abrahamová","given":"D"},{"family":"Hlavačka","given":"F"}],"issued":{"date-parts":[["2008"]]}}},{"id":317,"uris":["http://zotero.org/users/17274952/items/PNSQRZAW"],"itemData":{"id":317,"type":"article-journal","container-title":"The Journals of Gerontology Series A: Biological Sciences and Medical Sciences","DOI":"10.1093/gerona/60.5.627","ISSN":"1079-5006, 1758-535X","issue":"5","journalAbbreviation":"The Journals of Gerontology Series A: Biological Sciences and Medical Sciences","language":"en","page":"627-632","source":"DOI.org (Crossref)","title":"Effect of Age on Characteristics of Forward and Backward Gait at Preferred and Accelerated Walking Speed","volume":"60","author":[{"family":"Laufer","given":"Y."}],"issued":{"date-parts":[["2005",5,1]]}}}],"schema":"https://github.com/citation-style-language/schema/raw/master/csl-citation.json"}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[36], [37]</w:t>
      </w:r>
      <w:r>
        <w:rPr>
          <w:rFonts w:hint="default" w:ascii="Times New Roman" w:hAnsi="Times New Roman" w:cs="Times New Roman"/>
        </w:rPr>
        <w:fldChar w:fldCharType="end"/>
      </w:r>
      <w:r>
        <w:rPr>
          <w:rFonts w:hint="default" w:ascii="Times New Roman" w:hAnsi="Times New Roman" w:eastAsia="Times New Roman" w:cs="Times New Roman"/>
        </w:rPr>
        <w:t xml:space="preserve">. </w:t>
      </w:r>
      <w:r>
        <w:rPr>
          <w:rFonts w:hint="default" w:ascii="Times New Roman" w:hAnsi="Times New Roman" w:cs="Times New Roman"/>
        </w:rPr>
        <w:t xml:space="preserve">Embora a idade cronológica naturalmente poderia influenciar a capacidade de equilíbrio invertido, a proficiência no </w:t>
      </w:r>
      <w:r>
        <w:rPr>
          <w:rFonts w:hint="default" w:ascii="Times New Roman" w:hAnsi="Times New Roman" w:cs="Times New Roman"/>
          <w:i/>
          <w:iCs/>
        </w:rPr>
        <w:t>HS</w:t>
      </w:r>
      <w:r>
        <w:rPr>
          <w:rFonts w:hint="default" w:ascii="Times New Roman" w:hAnsi="Times New Roman" w:cs="Times New Roman"/>
        </w:rPr>
        <w:t xml:space="preserve"> pode ser menos limitada por esses fatores biológicos.  Isso porque o </w:t>
      </w:r>
      <w:r>
        <w:rPr>
          <w:rFonts w:hint="default" w:ascii="Times New Roman" w:hAnsi="Times New Roman" w:cs="Times New Roman"/>
          <w:i/>
          <w:iCs/>
        </w:rPr>
        <w:t>HS</w:t>
      </w:r>
      <w:r>
        <w:rPr>
          <w:rFonts w:hint="default" w:ascii="Times New Roman" w:hAnsi="Times New Roman" w:cs="Times New Roman"/>
        </w:rPr>
        <w:t xml:space="preserve"> é uma habilidade motora complexa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{"citationID":"kKMlxHTD","properties":{"formattedCitation":"[5], [13]","plainCitation":"[5], [13]","noteIndex":0},"citationItems":[{"id":51,"uris":["http://zotero.org/users/17274952/items/6I25TH2Q"],"itemData":{"id":51,"type":"article-journal","abstract":"The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M."},{"family":"Wilson","given":"Cassie"},{"family":"Irwin","given":"Gareth"}],"issued":{"date-parts":[["2022",6,30]]}}},{"id":328,"uris":["http://zotero.org/users/17274952/items/PDH4GHVG"],"itemData":{"id":328,"type":"article-journal","journalAbbreviation":"Science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[5], [13]</w:t>
      </w:r>
      <w:r>
        <w:rPr>
          <w:rFonts w:hint="default" w:ascii="Times New Roman" w:hAnsi="Times New Roman" w:cs="Times New Roman"/>
        </w:rPr>
        <w:fldChar w:fldCharType="end"/>
      </w:r>
      <w:r>
        <w:rPr>
          <w:rFonts w:hint="default" w:ascii="Times New Roman" w:hAnsi="Times New Roman" w:cs="Times New Roman"/>
        </w:rPr>
        <w:t xml:space="preserve">, cuja proficiência é largamente determinada pela prática deliberada e pela qualidade do treinamento [7, 9]. A aquisição de tal habilidade promove adaptações neurais específicas, como a otimização do recrutamento muscular e do controle motor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{"citationID":"XZ3F2iYt","properties":{"formattedCitation":"[3], [6], [7], [10]","plainCitation":"[3], [6], [7], [10]","noteIndex":0},"citationItems":[{"id":336,"uris":["http://zotero.org/users/17274952/items/P82NI7IB"],"itemData":{"id":336,"type":"article-journal","abstract":"KERWIN,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[3], [6], [7], [10]</w:t>
      </w:r>
      <w:r>
        <w:rPr>
          <w:rFonts w:hint="default" w:ascii="Times New Roman" w:hAnsi="Times New Roman" w:cs="Times New Roman"/>
        </w:rPr>
        <w:fldChar w:fldCharType="end"/>
      </w:r>
      <w:r>
        <w:rPr>
          <w:rFonts w:hint="default" w:ascii="Times New Roman" w:hAnsi="Times New Roman" w:cs="Times New Roman"/>
        </w:rPr>
        <w:t xml:space="preserve">, que podem compensar os declínios fisiológicos associados à idade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{"citationID":"9STHEf6U","properties":{"formattedCitation":"[38], [39]","plainCitation":"[38], [39]","noteIndex":0},"citationItems":[{"id":306,"uris":["http://zotero.org/users/17274952/items/7J2ECZB3"],"itemData":{"id":306,"type":"article-journal","container-title":"Psychological Review","DOI":"10.1037/0033-295X.100.3.363","ISSN":"1939-1471, 0033-295X","issue":"3","journalAbbreviation":"Psychological Review","language":"en","page":"363-406","source":"DOI.org (Crossref)","title":"The role of deliberate practice in the acquisition of expert performance.","volume":"100","author":[{"family":"Ericsson","given":"K. Anders"},{"family":"Krampe","given":"Ralf T."},{"family":"Tesch-Römer","given":"Clemens"}],"issued":{"date-parts":[["1993",7]]}}},{"id":305,"uris":["http://zotero.org/users/17274952/items/BEZRHGAH"],"itemData":{"id":305,"type":"article-journal","container-title":"Neuroscience &amp; Biobehavioral Reviews","DOI":"10.1016/j.neubiorev.2009.10.005","ISSN":"01497634","issue":"5","journalAbbreviation":"Neuroscience &amp; Biobehavioral Reviews","language":"en","license":"https://www.elsevier.com/tdm/userlicense/1.0/","page":"721-733","source":"DOI.org (Crossref)","title":"Motor control and aging: Links to age-related brain structural, functional, and biochemical effects","title-short":"Motor control and aging","volume":"34","author":[{"family":"Seidler","given":"Rachael D."},{"family":"Bernard","given":"Jessica A."},{"family":"Burutolu","given":"Taritonye B."},{"family":"Fling","given":"Brett W."},{"family":"Gordon","given":"Mark T."},{"family":"Gwin","given":"Joseph T."},{"family":"Kwak","given":"Youngbin"},{"family":"Lipps","given":"David B."}],"issued":{"date-parts":[["2010",4]]}}}],"schema":"https://github.com/citation-style-language/schema/raw/master/csl-citation.json"}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[38], [39]</w:t>
      </w:r>
      <w:r>
        <w:rPr>
          <w:rFonts w:hint="default" w:ascii="Times New Roman" w:hAnsi="Times New Roman" w:cs="Times New Roman"/>
        </w:rPr>
        <w:fldChar w:fldCharType="end"/>
      </w:r>
      <w:r>
        <w:rPr>
          <w:rFonts w:hint="default" w:ascii="Times New Roman" w:hAnsi="Times New Roman" w:cs="Times New Roman"/>
        </w:rPr>
        <w:t>. Dessa forma, a experiência específica poderia se sobrepor à idade cronológica para a definição do nível de maestria nessa tarefa.</w:t>
      </w:r>
    </w:p>
    <w:p w14:paraId="45F63920">
      <w:pPr>
        <w:spacing w:line="360" w:lineRule="auto"/>
        <w:ind w:firstLine="426"/>
        <w:rPr>
          <w:rFonts w:hint="default" w:ascii="Times New Roman" w:hAnsi="Times New Roman" w:eastAsia="Times New Roman" w:cs="Times New Roman"/>
        </w:rPr>
      </w:pPr>
      <w:bookmarkStart w:id="2" w:name="_heading=h.3d7ijnhyh4lu"/>
      <w:bookmarkEnd w:id="2"/>
      <w:r>
        <w:rPr>
          <w:rFonts w:hint="default" w:ascii="Times New Roman" w:hAnsi="Times New Roman" w:cs="Times New Roman"/>
          <w:color w:val="0F1115"/>
        </w:rPr>
        <w:t xml:space="preserve">O estudo proposto pretende integrar diferentes variáveis do desempenho no </w:t>
      </w:r>
      <w:r>
        <w:rPr>
          <w:rFonts w:hint="default" w:ascii="Times New Roman" w:hAnsi="Times New Roman" w:cs="Times New Roman"/>
          <w:i/>
          <w:iCs/>
          <w:color w:val="0F1115"/>
        </w:rPr>
        <w:t>HS</w:t>
      </w:r>
      <w:r>
        <w:rPr>
          <w:rFonts w:hint="default" w:ascii="Times New Roman" w:hAnsi="Times New Roman" w:cs="Times New Roman"/>
          <w:color w:val="0F1115"/>
        </w:rPr>
        <w:t xml:space="preserve"> e </w:t>
      </w:r>
      <w:r>
        <w:rPr>
          <w:rFonts w:hint="default" w:ascii="Times New Roman" w:hAnsi="Times New Roman" w:cs="Times New Roman"/>
          <w:i/>
          <w:iCs/>
          <w:color w:val="0F1115"/>
        </w:rPr>
        <w:t>HSW</w:t>
      </w:r>
      <w:r>
        <w:rPr>
          <w:rFonts w:hint="default" w:ascii="Times New Roman" w:hAnsi="Times New Roman" w:cs="Times New Roman"/>
          <w:color w:val="0F1115"/>
        </w:rPr>
        <w:t>, considerando essas variáveis de força, controle postural, antropometria e alinhamento articular como potenciais preditores. Assim</w:t>
      </w:r>
      <w:r>
        <w:rPr>
          <w:rFonts w:hint="default" w:ascii="Times New Roman" w:hAnsi="Times New Roman" w:eastAsia="Times New Roman" w:cs="Times New Roman"/>
        </w:rPr>
        <w:t>, pretende-se compreender, por meio de uma análise espaço-temporal integrada, como diferentes combinações de força muscular, alinhamento articular, controle postural e características individuais, sua antropometria e experiência prévia, se manifestam no desempenho em posição invertida.</w:t>
      </w:r>
    </w:p>
    <w:p w14:paraId="11FA536D">
      <w:pPr>
        <w:spacing w:line="360" w:lineRule="auto"/>
        <w:ind w:firstLine="720"/>
        <w:rPr>
          <w:rFonts w:hint="default" w:ascii="Times New Roman" w:hAnsi="Times New Roman" w:eastAsia="Times New Roman" w:cs="Times New Roman"/>
        </w:rPr>
      </w:pPr>
      <w:r>
        <w:rPr>
          <w:rFonts w:hint="default" w:ascii="Times New Roman" w:hAnsi="Times New Roman" w:eastAsia="Times New Roman" w:cs="Times New Roman"/>
        </w:rPr>
        <w:t xml:space="preserve">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CoM e composição corporal, podem influenciar a economia e eficácia das correções posturais. A experiência prévia e a idade cronológica completam o conjunto de fatores, podendo a prática prolongada compensar parcialmente efeitos do envelhecimento.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o desempenho tende a refletir a consistência das passadas e o controle postural, sendo indicados por métricas espaço-temporais como distância percorrida, tempo total, velocidade média, comprimento e cadência das passadas e tempo em duplo suporte Tal como no </w:t>
      </w:r>
      <w:r>
        <w:rPr>
          <w:rFonts w:hint="default" w:ascii="Times New Roman" w:hAnsi="Times New Roman" w:eastAsia="Times New Roman" w:cs="Times New Roman"/>
          <w:i/>
          <w:iCs/>
        </w:rPr>
        <w:t>HS</w:t>
      </w:r>
      <w:r>
        <w:rPr>
          <w:rFonts w:hint="default" w:ascii="Times New Roman" w:hAnsi="Times New Roman" w:eastAsia="Times New Roman" w:cs="Times New Roman"/>
        </w:rPr>
        <w:t>, força máxima e resistência dos membros superiores e fatores antropométricos devem influenciar o desempenho dinâmico. A prática prévia e a idade também podem modular essas relações.</w:t>
      </w:r>
    </w:p>
    <w:p w14:paraId="4B5F3C10">
      <w:pPr>
        <w:spacing w:after="240"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no </w:t>
      </w:r>
      <w:r>
        <w:rPr>
          <w:rFonts w:hint="default" w:ascii="Times New Roman" w:hAnsi="Times New Roman" w:eastAsia="Times New Roman" w:cs="Times New Roman"/>
          <w:i/>
          <w:iCs/>
        </w:rPr>
        <w:t>HSW</w:t>
      </w:r>
      <w:r>
        <w:rPr>
          <w:rFonts w:hint="default" w:ascii="Times New Roman" w:hAnsi="Times New Roman" w:eastAsia="Times New Roman" w:cs="Times New Roman"/>
        </w:rPr>
        <w:t>. Os resultados poderão contribuir para estratégias de treinamento mais direcionadas e eficientes, além de oferecer bases para progressões pedagógicas mais seguras e adequadas às demandas de cada modalidade.</w:t>
      </w:r>
    </w:p>
    <w:p w14:paraId="733E814C">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2    OBJETIVO GERAL</w:t>
      </w:r>
    </w:p>
    <w:p w14:paraId="4E56C355">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Investigar os fatores preditores do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em praticantes de diferentes modalidades, integrando variáveis de força, controle postural, cinemática articular, antropometria, perfil de experiência prática e idade.</w:t>
      </w:r>
    </w:p>
    <w:p w14:paraId="6DC8CE3F">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2.1 Objetivos Específicos</w:t>
      </w:r>
    </w:p>
    <w:p w14:paraId="4B9D3BA0">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a) Averiguar a contribuição relativa das variáveis de força (força máxima relativa no </w:t>
      </w:r>
      <w:r>
        <w:rPr>
          <w:rFonts w:hint="default" w:ascii="Times New Roman" w:hAnsi="Times New Roman" w:eastAsia="Times New Roman" w:cs="Times New Roman"/>
          <w:i/>
          <w:iCs/>
        </w:rPr>
        <w:t>SP</w:t>
      </w:r>
      <w:r>
        <w:rPr>
          <w:rFonts w:hint="default" w:ascii="Times New Roman" w:hAnsi="Times New Roman" w:eastAsia="Times New Roman" w:cs="Times New Roman"/>
        </w:rPr>
        <w:t xml:space="preserve">, força de flexores de punho e dedos, e resistência muscular em posição invertida) para o tempo de sustentação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para a mediana da distância percorrida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6A0542F6">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b) Avaliar a relação entre parâmetros de controle postural (distância média entre CoM e CoP, velocidade do CoP e ApEn) para o tempo de sustentação no </w:t>
      </w:r>
      <w:r>
        <w:rPr>
          <w:rFonts w:hint="default" w:ascii="Times New Roman" w:hAnsi="Times New Roman" w:eastAsia="Times New Roman" w:cs="Times New Roman"/>
          <w:i/>
          <w:iCs/>
        </w:rPr>
        <w:t>HS</w:t>
      </w:r>
      <w:r>
        <w:rPr>
          <w:rFonts w:hint="default" w:ascii="Times New Roman" w:hAnsi="Times New Roman" w:eastAsia="Times New Roman" w:cs="Times New Roman"/>
        </w:rPr>
        <w:t>.</w:t>
      </w:r>
    </w:p>
    <w:p w14:paraId="66E6CF66">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c) Analisar a influência de variáveis antropométricas (comprimento de membros, altura do CoM e composição corporal) sobre a estabilidade estática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a eficiência do deslocamento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3FAF7BCF">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d) Comparar os padrões cinemáticos atrativos dos ângulos articulares, através de um índice de verticalidade entre ombros e quadril, grau de extensão cervical,</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ângulo de flexão plantar do tornozelo</w:t>
      </w:r>
      <w:r>
        <w:rPr>
          <w:rFonts w:hint="default" w:ascii="Times New Roman" w:hAnsi="Times New Roman" w:eastAsia="Times New Roman" w:cs="Times New Roman"/>
          <w:lang w:val="pt-BR"/>
        </w:rPr>
        <w:t>,</w:t>
      </w:r>
      <w:r>
        <w:rPr>
          <w:rFonts w:hint="default" w:ascii="Times New Roman" w:hAnsi="Times New Roman" w:eastAsia="Times New Roman" w:cs="Times New Roman"/>
        </w:rPr>
        <w:t xml:space="preserve"> largura da base de apoio e orientação angular das mãos, adotados por praticantes de diferentes níveis de proficiência e modalidades durante a execução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do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4A2D826D">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e) Determinar a associação entre o tempo de prática específica e a idade cronológica com 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r>
        <w:rPr>
          <w:rFonts w:hint="default" w:ascii="Times New Roman" w:hAnsi="Times New Roman" w:eastAsia="Times New Roman" w:cs="Times New Roman"/>
        </w:rPr>
        <w:t>, testando a hipótese de que a experiência prática tem um peso preditivo maior que a idade.</w:t>
      </w:r>
    </w:p>
    <w:p w14:paraId="4EF15B59">
      <w:pPr>
        <w:pStyle w:val="10"/>
        <w:spacing w:after="0" w:line="360" w:lineRule="auto"/>
        <w:rPr>
          <w:rFonts w:hint="default" w:ascii="Times New Roman" w:hAnsi="Times New Roman" w:eastAsia="Times New Roman" w:cs="Times New Roman"/>
        </w:rPr>
      </w:pPr>
      <w:r>
        <w:rPr>
          <w:rFonts w:hint="default" w:ascii="Times New Roman" w:hAnsi="Times New Roman" w:cs="Times New Roman"/>
        </w:rPr>
        <w:t>f) Identificar como os parâmetros espaço-temporais (comprimento médio, cadência e variabilidades espacial e temporal das passadas) influenciam no desempenho do HSW, bem como descrever as estratégias de locomoção adotadas por praticantes de diferentes modalidades através dos parâmetros: velocidade média, tempo de contato das mãos no solo e tempo em duplo suporte.</w:t>
      </w:r>
    </w:p>
    <w:p w14:paraId="5C9EFFDE">
      <w:pPr>
        <w:pStyle w:val="10"/>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Times New Roman" w:cs="Times New Roman"/>
        </w:rPr>
      </w:pPr>
      <w:r>
        <w:rPr>
          <w:rFonts w:hint="default" w:ascii="Times New Roman" w:hAnsi="Times New Roman" w:eastAsia="Times New Roman" w:cs="Times New Roman"/>
        </w:rPr>
        <w:t xml:space="preserve">g) Verificar a existência de uma possível transferência de habilidades entre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correlacionando o tempo máximo de sustentação e a entropia (ApEn)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com a mediana da distância percorrida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23C7C0E2">
      <w:pPr>
        <w:pStyle w:val="10"/>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h) Identificar os fatores determinantes para o sucesso na autonomia de estabilização do HS livre por meio de regressão logística binária, testando a contribuição relativa da força máxima de empurrar no SP, do tempo de sustentação prévio no bloco assistido e do tempo de prática acumulada.</w:t>
      </w:r>
    </w:p>
    <w:p w14:paraId="3688E4AB">
      <w:pPr>
        <w:pStyle w:val="2"/>
        <w:spacing w:before="0" w:after="140" w:line="360" w:lineRule="auto"/>
        <w:rPr>
          <w:rFonts w:hint="default" w:ascii="Times New Roman" w:hAnsi="Times New Roman" w:eastAsia="Times New Roman" w:cs="Times New Roman"/>
        </w:rPr>
      </w:pPr>
      <w:r>
        <w:rPr>
          <w:rFonts w:hint="default" w:ascii="Times New Roman" w:hAnsi="Times New Roman" w:eastAsia="Times New Roman" w:cs="Times New Roman"/>
        </w:rPr>
        <w:t>3    MÉTODO</w:t>
      </w:r>
    </w:p>
    <w:p w14:paraId="3CB949C4">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3.1 Delineamento experimental</w:t>
      </w:r>
    </w:p>
    <w:p w14:paraId="47F7B483">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firstLineChars="0"/>
        <w:jc w:val="both"/>
        <w:textAlignment w:val="auto"/>
        <w:rPr>
          <w:rFonts w:hint="default"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sz w:val="24"/>
          <w:szCs w:val="24"/>
          <w:lang w:val="pt-BR" w:eastAsia="pt-BR" w:bidi="ar-SA"/>
        </w:rPr>
        <w:t>Trata-se de um estudo observacional, transversal e analítico. O protocolo experimental foi estruturado para investigar os fatores determinantes e preditores do desempenho estático (</w:t>
      </w:r>
      <w:r>
        <w:rPr>
          <w:rFonts w:hint="default" w:ascii="Times New Roman" w:hAnsi="Times New Roman" w:eastAsia="Times New Roman" w:cs="Times New Roman"/>
          <w:i/>
          <w:iCs/>
          <w:sz w:val="24"/>
          <w:szCs w:val="24"/>
          <w:lang w:val="pt-BR" w:eastAsia="pt-BR" w:bidi="ar-SA"/>
        </w:rPr>
        <w:t>HS</w:t>
      </w:r>
      <w:r>
        <w:rPr>
          <w:rFonts w:hint="default" w:ascii="Times New Roman" w:hAnsi="Times New Roman" w:eastAsia="Times New Roman" w:cs="Times New Roman"/>
          <w:sz w:val="24"/>
          <w:szCs w:val="24"/>
          <w:lang w:val="pt-BR" w:eastAsia="pt-BR" w:bidi="ar-SA"/>
        </w:rPr>
        <w:t>) e dinâmico (</w:t>
      </w:r>
      <w:r>
        <w:rPr>
          <w:rFonts w:hint="default" w:ascii="Times New Roman" w:hAnsi="Times New Roman" w:eastAsia="Times New Roman" w:cs="Times New Roman"/>
          <w:i/>
          <w:iCs/>
          <w:sz w:val="24"/>
          <w:szCs w:val="24"/>
          <w:lang w:val="pt-BR" w:eastAsia="pt-BR" w:bidi="ar-SA"/>
        </w:rPr>
        <w:t>HSW</w:t>
      </w:r>
      <w:r>
        <w:rPr>
          <w:rFonts w:hint="default" w:ascii="Times New Roman" w:hAnsi="Times New Roman" w:eastAsia="Times New Roman" w:cs="Times New Roman"/>
          <w:sz w:val="24"/>
          <w:szCs w:val="24"/>
          <w:lang w:val="pt-BR" w:eastAsia="pt-BR" w:bidi="ar-SA"/>
        </w:rPr>
        <w:t xml:space="preserve">), integrando variáveis de capacidade física (força máxima relativa, simetria e resistência muscular isométrica), controle postural estabilométrico, alinhamento cinemático tridimensional, características antropométricas, perfil de prática e idade. </w:t>
      </w:r>
    </w:p>
    <w:p w14:paraId="2B043726">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firstLineChars="0"/>
        <w:jc w:val="both"/>
        <w:textAlignment w:val="auto"/>
        <w:rPr>
          <w:rFonts w:hint="default" w:ascii="Times New Roman" w:hAnsi="Times New Roman" w:eastAsia="Times New Roman" w:cs="Times New Roman"/>
        </w:rPr>
      </w:pPr>
      <w:r>
        <w:rPr>
          <w:rFonts w:hint="default" w:ascii="Times New Roman" w:hAnsi="Times New Roman" w:eastAsia="Times New Roman" w:cs="Times New Roman"/>
        </w:rPr>
        <w:t>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(LaCiDH) e contemplará as avaliações força isométrica distal bilateral (força de preensão manual e pico de torque dos flexores de punho</w:t>
      </w:r>
      <w:r>
        <w:rPr>
          <w:rFonts w:hint="default" w:ascii="Times New Roman" w:hAnsi="Times New Roman" w:eastAsia="Times New Roman" w:cs="Times New Roman"/>
          <w:lang w:val="pt-BR"/>
        </w:rPr>
        <w:t>)</w:t>
      </w:r>
      <w:r>
        <w:rPr>
          <w:rFonts w:hint="default" w:ascii="Times New Roman" w:hAnsi="Times New Roman" w:eastAsia="Times New Roman" w:cs="Times New Roman"/>
        </w:rPr>
        <w:t>, teste de resistência em posição invertida (</w:t>
      </w:r>
      <w:r>
        <w:rPr>
          <w:rFonts w:hint="default" w:ascii="Times New Roman" w:hAnsi="Times New Roman" w:eastAsia="Times New Roman" w:cs="Times New Roman"/>
          <w:i/>
          <w:iCs/>
        </w:rPr>
        <w:t>wall</w:t>
      </w:r>
      <w:r>
        <w:rPr>
          <w:rFonts w:hint="default" w:ascii="Times New Roman" w:hAnsi="Times New Roman" w:eastAsia="Times New Roman" w:cs="Times New Roman"/>
        </w:rPr>
        <w:t>-</w:t>
      </w:r>
      <w:r>
        <w:rPr>
          <w:rFonts w:hint="default" w:ascii="Times New Roman" w:hAnsi="Times New Roman" w:eastAsia="Times New Roman" w:cs="Times New Roman"/>
          <w:i/>
          <w:iCs/>
        </w:rPr>
        <w:t>supported</w:t>
      </w:r>
      <w:r>
        <w:rPr>
          <w:rFonts w:hint="default" w:ascii="Times New Roman" w:hAnsi="Times New Roman" w:eastAsia="Times New Roman" w:cs="Times New Roman"/>
        </w:rPr>
        <w:t xml:space="preserve">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teste de uma repetição máxima (1-RM) no </w:t>
      </w:r>
      <w:r>
        <w:rPr>
          <w:rFonts w:hint="default" w:ascii="Times New Roman" w:hAnsi="Times New Roman" w:eastAsia="Times New Roman" w:cs="Times New Roman"/>
          <w:i/>
          <w:iCs/>
        </w:rPr>
        <w:t>SP</w:t>
      </w:r>
      <w:r>
        <w:rPr>
          <w:rFonts w:hint="default" w:ascii="Times New Roman" w:hAnsi="Times New Roman" w:eastAsia="Times New Roman" w:cs="Times New Roman"/>
        </w:rPr>
        <w:t xml:space="preserve">, além da avaliação da composição corporal por um equipamento de bioimpedância elétrica tetrapolar.  A segunda sessão ocorrerá no Laboratório de Biomecânica e Controle Motor (LaBioCoM) e incluirá a avaliação da execução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por meio de sistema de captura de movimento (Vicon</w:t>
      </w:r>
      <w:r>
        <w:rPr>
          <w:rFonts w:hint="default" w:ascii="Times New Roman" w:hAnsi="Times New Roman" w:eastAsia="Times New Roman" w:cs="Times New Roman"/>
          <w:color w:val="0C3C60"/>
        </w:rPr>
        <w:t>®</w:t>
      </w:r>
      <w:r>
        <w:rPr>
          <w:rFonts w:hint="default" w:ascii="Times New Roman" w:hAnsi="Times New Roman" w:eastAsia="Times New Roman" w:cs="Times New Roman"/>
        </w:rPr>
        <w:t>, Oxford, Reino Unido) para aquisição de dados cinemáticos: ângulos articulares (punhos, ombros, quadril e cabeça), base de apoio (distância entre mãos), altura do centro de massa (CoM) e comprimentos dos membros; e determinar parâmetros espaço-temporais, incluindo distância percorrida, tempo de execução, velocidade média, comprimento médio das passadas, cadência, tempo de contato das mãos com o solo e variabilidade entre passadas; e de plataforma de força (Bertec®, Columbus, OH, USA) para quantificação de parâmetros estabilométricos, como variabilidade do</w:t>
      </w:r>
      <w:r>
        <w:rPr>
          <w:rFonts w:hint="default" w:ascii="Times New Roman" w:hAnsi="Times New Roman" w:cs="Times New Roman"/>
          <w:lang w:val="pt-BR"/>
        </w:rPr>
        <w:t xml:space="preserve"> </w:t>
      </w:r>
      <w:r>
        <w:rPr>
          <w:rFonts w:hint="default" w:ascii="Times New Roman" w:hAnsi="Times New Roman" w:eastAsia="Times New Roman" w:cs="Times New Roman"/>
        </w:rPr>
        <w:t>CoP</w:t>
      </w:r>
      <w:r>
        <w:rPr>
          <w:rFonts w:hint="default" w:ascii="Times New Roman" w:hAnsi="Times New Roman" w:cs="Times New Roman"/>
          <w:lang w:val="pt-BR"/>
        </w:rPr>
        <w:t xml:space="preserve">, </w:t>
      </w:r>
      <w:r>
        <w:rPr>
          <w:rFonts w:hint="default" w:ascii="Times New Roman" w:hAnsi="Times New Roman" w:cs="Times New Roman"/>
        </w:rPr>
        <w:t>distância CoP-CoM</w:t>
      </w:r>
      <w:r>
        <w:rPr>
          <w:rFonts w:hint="default" w:ascii="Times New Roman" w:hAnsi="Times New Roman" w:cs="Times New Roman"/>
          <w:lang w:val="pt-BR"/>
        </w:rPr>
        <w:t xml:space="preserve"> e ApEn</w:t>
      </w:r>
      <w:r>
        <w:rPr>
          <w:rFonts w:hint="default" w:ascii="Times New Roman" w:hAnsi="Times New Roman" w:eastAsia="Times New Roman" w:cs="Times New Roman"/>
        </w:rPr>
        <w:t xml:space="preserve">. Para garantir a validade das medidas de força, em que os efeitos da fadiga neuromuscular são detrimentais, a coleta de dados sempre começará com a sessão das avaliações de força [34]. A sessão de avaliação do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mesmas condições ambientais, como temperatura e iluminação, e instruções verbais padronizadas a todos os participantes.</w:t>
      </w:r>
    </w:p>
    <w:p w14:paraId="5BC4660C">
      <w:pPr>
        <w:spacing w:line="360" w:lineRule="auto"/>
        <w:ind w:firstLine="426"/>
        <w:rPr>
          <w:rFonts w:hint="default" w:ascii="Times New Roman" w:hAnsi="Times New Roman" w:cs="Times New Roman"/>
        </w:rPr>
      </w:pPr>
      <w:r>
        <w:rPr>
          <w:rFonts w:hint="default" w:ascii="Times New Roman" w:hAnsi="Times New Roman" w:eastAsia="Times New Roman" w:cs="Times New Roman"/>
        </w:rPr>
        <w:t xml:space="preserve">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será definido pelo tempo máximo de sustentação (s), que associado</w:t>
      </w:r>
      <w:r>
        <w:rPr>
          <w:rFonts w:hint="default" w:ascii="Times New Roman" w:hAnsi="Times New Roman" w:cs="Times New Roman"/>
          <w:shd w:val="clear" w:color="auto" w:fill="8DFF00"/>
        </w:rPr>
        <w:t xml:space="preserve"> </w:t>
      </w:r>
      <w:r>
        <w:rPr>
          <w:rFonts w:hint="default" w:ascii="Times New Roman" w:hAnsi="Times New Roman" w:eastAsia="Times New Roman" w:cs="Times New Roman"/>
        </w:rPr>
        <w:t xml:space="preserve">as outras variáveis poderão distinguir a proficiência de praticantes que sustentam por mais tempo em condições de maior estabilidade, em contraste com aqueles que recorrem a ajustes excessivos e apresentam maior variabilidade oscilatória.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por sua vez, o desempenho será avaliado pela mediana da distância percorrida (m) das tentativas, devido a sua robustez frente a valores extremos, evitando que uma queda precoce ou uma única tentativa ótima distorça o desempenho representativo do indivíduo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{"citationID":"jJ5oUpwe","properties":{"formattedCitation":"[29]","plainCitation":"[29]","noteIndex":0},"citationItems":[{"id":323,"uris":["http://zotero.org/users/17274952/items/JY2NY8BU"],"itemData":{"id":323,"type":"book","call-number":"612.76","edition":"4th ed","ISBN":"978-0-470-39818-0","language":"en","publisher":"Wiley","publisher-place":"Hoboken, N.J","source":"BnF ISBN","title":"Biomechanics and motor control of human movement","author":[{"family":"Winter","given":"David A."}],"issued":{"date-parts":[["2009"]]}}}],"schema":"https://github.com/citation-style-language/schema/raw/master/csl-citation.json"}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[29]</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Todos os parâmetros avaliados poderão comparar estratégias de estabilidade e caracterizar os perfis de cada modalidade. As variáveis coletadas, métodos de medição e justificativa que serão correlacionados ao nível de desempenho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estão apresentadas no Quadro 1 </w:t>
      </w:r>
      <w:bookmarkStart w:id="3" w:name="docs-internal-guid-8216d3de-7fff-2599-8c"/>
      <w:bookmarkEnd w:id="3"/>
      <w:r>
        <w:rPr>
          <w:rFonts w:hint="default" w:ascii="Times New Roman" w:hAnsi="Times New Roman" w:eastAsia="Times New Roman" w:cs="Times New Roman"/>
        </w:rPr>
        <w:t xml:space="preserve">e as correlacionadas ao nível de desempenho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no Quadro 2.</w:t>
      </w:r>
      <w:bookmarkStart w:id="4" w:name="_heading=h.3d7ijnhyh4lu_Copia_1"/>
      <w:bookmarkEnd w:id="4"/>
    </w:p>
    <w:p w14:paraId="188BD1DF">
      <w:pPr>
        <w:spacing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QUADRO 1 – Variáveis relacionadas ao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w:t>
      </w:r>
    </w:p>
    <w:tbl>
      <w:tblPr>
        <w:tblStyle w:val="7"/>
        <w:tblW w:w="11718" w:type="dxa"/>
        <w:jc w:val="center"/>
        <w:tblLayout w:type="fixed"/>
        <w:tblCellMar>
          <w:top w:w="0" w:type="dxa"/>
          <w:left w:w="108" w:type="dxa"/>
          <w:bottom w:w="0" w:type="dxa"/>
          <w:right w:w="108" w:type="dxa"/>
        </w:tblCellMar>
      </w:tblPr>
      <w:tblGrid>
        <w:gridCol w:w="2992"/>
        <w:gridCol w:w="2532"/>
        <w:gridCol w:w="2532"/>
        <w:gridCol w:w="3662"/>
      </w:tblGrid>
      <w:tr w14:paraId="08901776">
        <w:tblPrEx>
          <w:tblCellMar>
            <w:top w:w="0" w:type="dxa"/>
            <w:left w:w="108" w:type="dxa"/>
            <w:bottom w:w="0" w:type="dxa"/>
            <w:right w:w="108" w:type="dxa"/>
          </w:tblCellMar>
        </w:tblPrEx>
        <w:trPr>
          <w:tblHeader/>
          <w:jc w:val="center"/>
        </w:trPr>
        <w:tc>
          <w:tcPr>
            <w:tcW w:w="299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6FF26FC">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Variável</w:t>
            </w:r>
          </w:p>
        </w:tc>
        <w:tc>
          <w:tcPr>
            <w:tcW w:w="253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F6AE53D">
            <w:pPr>
              <w:spacing w:line="360" w:lineRule="auto"/>
              <w:jc w:val="left"/>
              <w:rPr>
                <w:rFonts w:hint="default" w:ascii="Times New Roman" w:hAnsi="Times New Roman" w:eastAsia="Times New Roman" w:cs="Times New Roman"/>
                <w:b/>
                <w:bCs/>
                <w:lang w:val="pt-BR"/>
              </w:rPr>
            </w:pPr>
            <w:r>
              <w:rPr>
                <w:rFonts w:hint="default" w:ascii="Times New Roman" w:hAnsi="Times New Roman" w:eastAsia="Times New Roman" w:cs="Times New Roman"/>
                <w:b/>
                <w:bCs/>
                <w:lang w:val="pt-BR"/>
              </w:rPr>
              <w:t>Unidade</w:t>
            </w:r>
          </w:p>
        </w:tc>
        <w:tc>
          <w:tcPr>
            <w:tcW w:w="253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877C9F">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Método de Medição</w:t>
            </w:r>
          </w:p>
        </w:tc>
        <w:tc>
          <w:tcPr>
            <w:tcW w:w="366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9C4A8E3">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Justificativa</w:t>
            </w:r>
          </w:p>
        </w:tc>
      </w:tr>
      <w:tr w14:paraId="5B65BD3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1AE0BB3F">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Melhor tempo de sustentação</w:t>
            </w:r>
            <w:r>
              <w:rPr>
                <w:rFonts w:hint="default" w:ascii="Times New Roman" w:hAnsi="Times New Roman" w:eastAsia="Times New Roman" w:cs="Times New Roman"/>
                <w:lang w:val="pt-BR"/>
              </w:rPr>
              <w:t xml:space="preserve"> (desfecho)</w:t>
            </w:r>
          </w:p>
        </w:tc>
        <w:tc>
          <w:tcPr>
            <w:tcW w:w="2532" w:type="dxa"/>
            <w:tcBorders>
              <w:top w:val="single" w:color="000000" w:sz="4" w:space="0"/>
              <w:left w:val="single" w:color="000000" w:sz="4" w:space="0"/>
              <w:bottom w:val="single" w:color="000000" w:sz="4" w:space="0"/>
              <w:right w:val="single" w:color="000000" w:sz="4" w:space="0"/>
            </w:tcBorders>
            <w:vAlign w:val="center"/>
          </w:tcPr>
          <w:p w14:paraId="4374F73B">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32" w:type="dxa"/>
            <w:tcBorders>
              <w:top w:val="single" w:color="000000" w:sz="4" w:space="0"/>
              <w:left w:val="single" w:color="000000" w:sz="4" w:space="0"/>
              <w:bottom w:val="single" w:color="000000" w:sz="4" w:space="0"/>
              <w:right w:val="single" w:color="000000" w:sz="4" w:space="0"/>
            </w:tcBorders>
            <w:vAlign w:val="center"/>
          </w:tcPr>
          <w:p w14:paraId="3A7C2E4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9079A07">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43ACE8A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Reflete a capacidade de manutenção do equilíbrio.</w:t>
            </w:r>
          </w:p>
        </w:tc>
      </w:tr>
      <w:tr w14:paraId="5F430EE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11459FE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Autonomia de Estabilização (desfecho)</w:t>
            </w:r>
          </w:p>
        </w:tc>
        <w:tc>
          <w:tcPr>
            <w:tcW w:w="2532" w:type="dxa"/>
            <w:tcBorders>
              <w:top w:val="single" w:color="000000" w:sz="4" w:space="0"/>
              <w:left w:val="single" w:color="000000" w:sz="4" w:space="0"/>
              <w:bottom w:val="single" w:color="000000" w:sz="4" w:space="0"/>
              <w:right w:val="single" w:color="000000" w:sz="4" w:space="0"/>
            </w:tcBorders>
            <w:vAlign w:val="center"/>
          </w:tcPr>
          <w:p w14:paraId="4EF94285">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Binária (Sucesso / Falha)</w:t>
            </w:r>
          </w:p>
        </w:tc>
        <w:tc>
          <w:tcPr>
            <w:tcW w:w="2532" w:type="dxa"/>
            <w:tcBorders>
              <w:top w:val="single" w:color="000000" w:sz="4" w:space="0"/>
              <w:left w:val="single" w:color="000000" w:sz="4" w:space="0"/>
              <w:bottom w:val="single" w:color="000000" w:sz="4" w:space="0"/>
              <w:right w:val="single" w:color="000000" w:sz="4" w:space="0"/>
            </w:tcBorders>
            <w:vAlign w:val="center"/>
          </w:tcPr>
          <w:p w14:paraId="1D8A451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D8ABFC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75AC258B">
            <w:pPr>
              <w:keepNext w:val="0"/>
              <w:keepLines w:val="0"/>
              <w:widowControl/>
              <w:suppressLineNumbers w:val="0"/>
              <w:jc w:val="left"/>
              <w:rPr>
                <w:rFonts w:hint="default" w:ascii="Times New Roman" w:hAnsi="Times New Roman" w:eastAsia="Times New Roman" w:cs="Times New Roman"/>
              </w:rPr>
            </w:pPr>
            <w:r>
              <w:rPr>
                <w:rFonts w:hint="default" w:ascii="Times New Roman" w:hAnsi="Times New Roman" w:eastAsia="Times New Roman" w:cs="Times New Roman"/>
                <w:sz w:val="24"/>
                <w:szCs w:val="24"/>
                <w:lang w:val="en-US" w:eastAsia="zh-CN" w:bidi="ar-SA"/>
              </w:rPr>
              <w:t>Avalia o êxito na entrada autônoma e estabilização livre por ≥</w:t>
            </w:r>
            <w:r>
              <w:rPr>
                <w:rFonts w:hint="default" w:ascii="Times New Roman" w:hAnsi="Times New Roman" w:eastAsia="Times New Roman" w:cs="Times New Roman"/>
                <w:sz w:val="24"/>
                <w:szCs w:val="24"/>
                <w:lang w:val="pt-BR" w:eastAsia="zh-CN" w:bidi="ar-SA"/>
              </w:rPr>
              <w:t>3</w:t>
            </w:r>
            <w:r>
              <w:rPr>
                <w:rFonts w:hint="default" w:ascii="Times New Roman" w:hAnsi="Times New Roman" w:eastAsia="Times New Roman" w:cs="Times New Roman"/>
                <w:sz w:val="24"/>
                <w:szCs w:val="24"/>
                <w:lang w:val="en-US" w:eastAsia="zh-CN" w:bidi="ar-SA"/>
              </w:rPr>
              <w:t xml:space="preserve">s. </w:t>
            </w:r>
          </w:p>
        </w:tc>
      </w:tr>
      <w:tr w14:paraId="0F04AB69">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69188E1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Índice de Verticalidade</w:t>
            </w:r>
          </w:p>
        </w:tc>
        <w:tc>
          <w:tcPr>
            <w:tcW w:w="2532" w:type="dxa"/>
            <w:tcBorders>
              <w:top w:val="single" w:color="000000" w:sz="4" w:space="0"/>
              <w:left w:val="single" w:color="000000" w:sz="4" w:space="0"/>
              <w:bottom w:val="single" w:color="000000" w:sz="4" w:space="0"/>
              <w:right w:val="single" w:color="000000" w:sz="4" w:space="0"/>
            </w:tcBorders>
            <w:vAlign w:val="center"/>
          </w:tcPr>
          <w:p w14:paraId="54BD821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6E10018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716F3C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4692F66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Eficiência do alinhamento angular segmentar 3D absoluto entre ombro e quadril.</w:t>
            </w:r>
          </w:p>
        </w:tc>
      </w:tr>
      <w:tr w14:paraId="666E8B98">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723E0E0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Extensão Cervical</w:t>
            </w:r>
          </w:p>
        </w:tc>
        <w:tc>
          <w:tcPr>
            <w:tcW w:w="2532" w:type="dxa"/>
            <w:tcBorders>
              <w:top w:val="single" w:color="000000" w:sz="4" w:space="0"/>
              <w:left w:val="single" w:color="000000" w:sz="4" w:space="0"/>
              <w:bottom w:val="single" w:color="000000" w:sz="4" w:space="0"/>
              <w:right w:val="single" w:color="000000" w:sz="4" w:space="0"/>
            </w:tcBorders>
            <w:vAlign w:val="center"/>
          </w:tcPr>
          <w:p w14:paraId="73C5241A">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28B0DAA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6CCF34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313385CA">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ans-serif" w:cs="Times New Roman"/>
                <w:kern w:val="0"/>
                <w:sz w:val="24"/>
                <w:szCs w:val="24"/>
                <w:lang w:val="en-US" w:eastAsia="zh-CN" w:bidi="ar"/>
              </w:rPr>
              <w:t>Influência da orientação da cabeça no feedback visual e organização postural.</w:t>
            </w:r>
            <w:r>
              <w:rPr>
                <w:rFonts w:hint="default" w:ascii="Times New Roman" w:hAnsi="Times New Roman" w:eastAsia="SimSun" w:cs="Times New Roman"/>
                <w:kern w:val="0"/>
                <w:sz w:val="24"/>
                <w:szCs w:val="24"/>
                <w:lang w:val="en-US" w:eastAsia="zh-CN" w:bidi="ar"/>
              </w:rPr>
              <w:t xml:space="preserve"> </w:t>
            </w:r>
          </w:p>
        </w:tc>
      </w:tr>
      <w:tr w14:paraId="2D777F44">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373F03A4">
            <w:pPr>
              <w:rPr>
                <w:rFonts w:hint="default" w:ascii="Times New Roman" w:hAnsi="Times New Roman" w:cs="Times New Roman"/>
                <w:lang w:val="pt-BR"/>
              </w:rPr>
            </w:pPr>
            <w:r>
              <w:rPr>
                <w:rFonts w:hint="default" w:ascii="Times New Roman" w:hAnsi="Times New Roman" w:cs="Times New Roman"/>
              </w:rPr>
              <w:t xml:space="preserve">Flexão Plantar do Tornozelo </w:t>
            </w:r>
          </w:p>
        </w:tc>
        <w:tc>
          <w:tcPr>
            <w:tcW w:w="2532" w:type="dxa"/>
            <w:tcBorders>
              <w:top w:val="single" w:color="000000" w:sz="4" w:space="0"/>
              <w:left w:val="single" w:color="000000" w:sz="4" w:space="0"/>
              <w:bottom w:val="single" w:color="000000" w:sz="4" w:space="0"/>
              <w:right w:val="single" w:color="000000" w:sz="4" w:space="0"/>
            </w:tcBorders>
            <w:vAlign w:val="center"/>
          </w:tcPr>
          <w:p w14:paraId="5868CB16">
            <w:pPr>
              <w:rPr>
                <w:rFonts w:hint="default" w:ascii="Times New Roman" w:hAnsi="Times New Roman" w:cs="Times New Roman"/>
                <w:lang w:val="pt-BR"/>
              </w:rPr>
            </w:pPr>
            <w:r>
              <w:rPr>
                <w:rFonts w:hint="default" w:ascii="Times New Roman" w:hAnsi="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41E533FB">
            <w:pPr>
              <w:rPr>
                <w:rFonts w:hint="default" w:ascii="Times New Roman" w:hAnsi="Times New Roman" w:cs="Times New Roman"/>
              </w:rPr>
            </w:pPr>
            <w:r>
              <w:rPr>
                <w:rFonts w:hint="default" w:ascii="Times New Roman" w:hAnsi="Times New Roman" w:cs="Times New Roman"/>
              </w:rPr>
              <w:t xml:space="preserve">Captura de Movimento </w:t>
            </w:r>
          </w:p>
          <w:p w14:paraId="26CE6D70">
            <w:pPr>
              <w:rPr>
                <w:rFonts w:hint="default" w:ascii="Times New Roman" w:hAnsi="Times New Roman" w:cs="Times New Roman"/>
              </w:rPr>
            </w:pPr>
            <w:r>
              <w:rPr>
                <w:rFonts w:hint="default" w:ascii="Times New Roman" w:hAnsi="Times New Roman" w:cs="Times New Roman"/>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5C8D7A68">
            <w:pPr>
              <w:rPr>
                <w:rFonts w:hint="default" w:ascii="Times New Roman" w:hAnsi="Times New Roman" w:cs="Times New Roman"/>
                <w:lang w:val="pt-BR" w:eastAsia="zh-CN"/>
              </w:rPr>
            </w:pPr>
            <w:r>
              <w:rPr>
                <w:rFonts w:hint="default" w:ascii="Times New Roman" w:hAnsi="Times New Roman" w:cs="Times New Roman"/>
              </w:rPr>
              <w:t xml:space="preserve">Avalia a rigidez segmentar distal e </w:t>
            </w:r>
            <w:r>
              <w:rPr>
                <w:rFonts w:hint="default" w:ascii="Times New Roman" w:hAnsi="Times New Roman" w:cs="Times New Roman"/>
                <w:lang w:val="pt-BR"/>
              </w:rPr>
              <w:t>engajamento muscular</w:t>
            </w:r>
            <w:r>
              <w:rPr>
                <w:rFonts w:hint="default" w:ascii="Times New Roman" w:hAnsi="Times New Roman" w:cs="Times New Roman"/>
              </w:rPr>
              <w:t xml:space="preserve"> </w:t>
            </w:r>
            <w:r>
              <w:rPr>
                <w:rFonts w:hint="default" w:ascii="Times New Roman" w:hAnsi="Times New Roman" w:cs="Times New Roman"/>
                <w:i/>
                <w:iCs/>
              </w:rPr>
              <w:t>single-link</w:t>
            </w:r>
            <w:r>
              <w:rPr>
                <w:rFonts w:hint="default" w:ascii="Times New Roman" w:hAnsi="Times New Roman" w:cs="Times New Roman"/>
                <w:lang w:val="pt-BR"/>
              </w:rPr>
              <w:t xml:space="preserve"> (rígido)</w:t>
            </w:r>
            <w:r>
              <w:rPr>
                <w:rFonts w:hint="default" w:ascii="Times New Roman" w:hAnsi="Times New Roman" w:cs="Times New Roman"/>
              </w:rPr>
              <w:t> vs. </w:t>
            </w:r>
            <w:r>
              <w:rPr>
                <w:rFonts w:hint="default" w:ascii="Times New Roman" w:hAnsi="Times New Roman" w:cs="Times New Roman"/>
                <w:i/>
                <w:iCs/>
              </w:rPr>
              <w:t>multi-link</w:t>
            </w:r>
            <w:r>
              <w:rPr>
                <w:rFonts w:hint="default" w:ascii="Times New Roman" w:hAnsi="Times New Roman" w:cs="Times New Roman"/>
              </w:rPr>
              <w:t> </w:t>
            </w:r>
            <w:r>
              <w:rPr>
                <w:rFonts w:hint="default" w:ascii="Times New Roman" w:hAnsi="Times New Roman" w:cs="Times New Roman"/>
                <w:lang w:val="pt-BR"/>
              </w:rPr>
              <w:t>(os</w:t>
            </w:r>
            <w:r>
              <w:rPr>
                <w:rFonts w:hint="default" w:ascii="Times New Roman" w:hAnsi="Times New Roman" w:cs="Times New Roman"/>
              </w:rPr>
              <w:t>ila</w:t>
            </w:r>
            <w:r>
              <w:rPr>
                <w:rFonts w:hint="default" w:ascii="Times New Roman" w:hAnsi="Times New Roman" w:cs="Times New Roman"/>
                <w:lang w:val="pt-BR"/>
              </w:rPr>
              <w:t>nte)</w:t>
            </w:r>
          </w:p>
        </w:tc>
      </w:tr>
      <w:tr w14:paraId="4E59BBC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1309FA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 xml:space="preserve">Largura da </w:t>
            </w:r>
            <w:r>
              <w:rPr>
                <w:rFonts w:hint="default" w:ascii="Times New Roman" w:hAnsi="Times New Roman" w:eastAsia="Times New Roman" w:cs="Times New Roman"/>
              </w:rPr>
              <w:t>Base de apoio</w:t>
            </w:r>
          </w:p>
        </w:tc>
        <w:tc>
          <w:tcPr>
            <w:tcW w:w="2532" w:type="dxa"/>
            <w:tcBorders>
              <w:top w:val="single" w:color="000000" w:sz="4" w:space="0"/>
              <w:left w:val="single" w:color="000000" w:sz="4" w:space="0"/>
              <w:bottom w:val="single" w:color="000000" w:sz="4" w:space="0"/>
              <w:right w:val="single" w:color="000000" w:sz="4" w:space="0"/>
            </w:tcBorders>
            <w:vAlign w:val="center"/>
          </w:tcPr>
          <w:p w14:paraId="215C7CC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0168BE1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50CFE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79445ABB">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Distância mediolateral linear entre as articulações dos punhos na base.</w:t>
            </w:r>
          </w:p>
        </w:tc>
      </w:tr>
      <w:tr w14:paraId="0E9DA64D">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A222E5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Orientação angular das mãos</w:t>
            </w:r>
          </w:p>
        </w:tc>
        <w:tc>
          <w:tcPr>
            <w:tcW w:w="2532" w:type="dxa"/>
            <w:tcBorders>
              <w:top w:val="single" w:color="000000" w:sz="4" w:space="0"/>
              <w:left w:val="single" w:color="000000" w:sz="4" w:space="0"/>
              <w:bottom w:val="single" w:color="000000" w:sz="4" w:space="0"/>
              <w:right w:val="single" w:color="000000" w:sz="4" w:space="0"/>
            </w:tcBorders>
            <w:vAlign w:val="center"/>
          </w:tcPr>
          <w:p w14:paraId="53E00FE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Graus (°)</w:t>
            </w:r>
          </w:p>
        </w:tc>
        <w:tc>
          <w:tcPr>
            <w:tcW w:w="2532" w:type="dxa"/>
            <w:tcBorders>
              <w:top w:val="single" w:color="000000" w:sz="4" w:space="0"/>
              <w:left w:val="single" w:color="000000" w:sz="4" w:space="0"/>
              <w:bottom w:val="single" w:color="000000" w:sz="4" w:space="0"/>
              <w:right w:val="single" w:color="000000" w:sz="4" w:space="0"/>
            </w:tcBorders>
            <w:vAlign w:val="center"/>
          </w:tcPr>
          <w:p w14:paraId="2D431B7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C57F19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34DC9DC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Grau de rotação externa das mãos sobre o solo como estratégia compensatória.</w:t>
            </w:r>
          </w:p>
        </w:tc>
      </w:tr>
      <w:tr w14:paraId="2CA5C87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7CF4A6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Velocidade do CoP</w:t>
            </w:r>
          </w:p>
        </w:tc>
        <w:tc>
          <w:tcPr>
            <w:tcW w:w="2532" w:type="dxa"/>
            <w:tcBorders>
              <w:top w:val="single" w:color="000000" w:sz="4" w:space="0"/>
              <w:left w:val="single" w:color="000000" w:sz="4" w:space="0"/>
              <w:bottom w:val="single" w:color="000000" w:sz="4" w:space="0"/>
              <w:right w:val="single" w:color="000000" w:sz="4" w:space="0"/>
            </w:tcBorders>
            <w:vAlign w:val="center"/>
          </w:tcPr>
          <w:p w14:paraId="0F04989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mm/s</w:t>
            </w:r>
          </w:p>
        </w:tc>
        <w:tc>
          <w:tcPr>
            <w:tcW w:w="2532" w:type="dxa"/>
            <w:tcBorders>
              <w:top w:val="single" w:color="000000" w:sz="4" w:space="0"/>
              <w:left w:val="single" w:color="000000" w:sz="4" w:space="0"/>
              <w:bottom w:val="single" w:color="000000" w:sz="4" w:space="0"/>
              <w:right w:val="single" w:color="000000" w:sz="4" w:space="0"/>
            </w:tcBorders>
            <w:vAlign w:val="center"/>
          </w:tcPr>
          <w:p w14:paraId="7665DE0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3D02B9F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Expressa a frequência e a rapidez do esforço neuromuscular corretivo.</w:t>
            </w:r>
          </w:p>
        </w:tc>
      </w:tr>
      <w:tr w14:paraId="5022C843">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620D3F0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Entropia Aproximada (</w:t>
            </w:r>
            <w:r>
              <w:rPr>
                <w:rFonts w:hint="default" w:ascii="Times New Roman" w:hAnsi="Times New Roman" w:eastAsia="Times New Roman" w:cs="Times New Roman"/>
              </w:rPr>
              <w:t>ApEn</w:t>
            </w:r>
            <w:r>
              <w:rPr>
                <w:rFonts w:hint="default" w:ascii="Times New Roman" w:hAnsi="Times New Roman" w:eastAsia="Times New Roman" w:cs="Times New Roman"/>
                <w:lang w:val="pt-BR"/>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1D4030F0">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Unidades Arbitrárias</w:t>
            </w:r>
          </w:p>
        </w:tc>
        <w:tc>
          <w:tcPr>
            <w:tcW w:w="2532" w:type="dxa"/>
            <w:tcBorders>
              <w:top w:val="single" w:color="000000" w:sz="4" w:space="0"/>
              <w:left w:val="single" w:color="000000" w:sz="4" w:space="0"/>
              <w:bottom w:val="single" w:color="000000" w:sz="4" w:space="0"/>
              <w:right w:val="single" w:color="000000" w:sz="4" w:space="0"/>
            </w:tcBorders>
            <w:vAlign w:val="center"/>
          </w:tcPr>
          <w:p w14:paraId="3137D778">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4651EDF6">
            <w:pPr>
              <w:spacing w:line="360" w:lineRule="auto"/>
              <w:jc w:val="left"/>
              <w:rPr>
                <w:rFonts w:hint="default" w:ascii="Times New Roman" w:hAnsi="Times New Roman" w:cs="Times New Roman"/>
              </w:rPr>
            </w:pPr>
            <w:r>
              <w:rPr>
                <w:rFonts w:hint="default" w:ascii="Times New Roman" w:hAnsi="Times New Roman" w:eastAsia="SimSun" w:cs="Times New Roman"/>
                <w:sz w:val="24"/>
                <w:szCs w:val="24"/>
              </w:rPr>
              <w:t>Mensura a regularidade, complexidade e automaticidade do controle postural.</w:t>
            </w:r>
          </w:p>
        </w:tc>
      </w:tr>
      <w:tr w14:paraId="19E6843A">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CB981D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Distância média entre CoP-CoM</w:t>
            </w:r>
          </w:p>
        </w:tc>
        <w:tc>
          <w:tcPr>
            <w:tcW w:w="2532" w:type="dxa"/>
            <w:tcBorders>
              <w:top w:val="single" w:color="000000" w:sz="4" w:space="0"/>
              <w:left w:val="single" w:color="000000" w:sz="4" w:space="0"/>
              <w:bottom w:val="single" w:color="000000" w:sz="4" w:space="0"/>
              <w:right w:val="single" w:color="000000" w:sz="4" w:space="0"/>
            </w:tcBorders>
            <w:vAlign w:val="center"/>
          </w:tcPr>
          <w:p w14:paraId="70817CB3">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663F49E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3B7C278">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 + 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7BAC3E7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Quantifica o erro real de equilíbrio (braço de momento do torque gravitacional).</w:t>
            </w:r>
          </w:p>
        </w:tc>
      </w:tr>
      <w:tr w14:paraId="32BA1A80">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F1F3A35">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Pico de torque</w:t>
            </w:r>
            <w:r>
              <w:rPr>
                <w:rFonts w:hint="default" w:ascii="Times New Roman" w:hAnsi="Times New Roman" w:eastAsia="Times New Roman" w:cs="Times New Roman"/>
              </w:rPr>
              <w:t xml:space="preserve"> flexores de punhos</w:t>
            </w:r>
            <w:r>
              <w:rPr>
                <w:rFonts w:hint="default" w:ascii="Times New Roman" w:hAnsi="Times New Roman" w:eastAsia="Times New Roman" w:cs="Times New Roman"/>
                <w:lang w:val="pt-BR"/>
              </w:rPr>
              <w:t xml:space="preserve"> (FFP)</w:t>
            </w:r>
          </w:p>
        </w:tc>
        <w:tc>
          <w:tcPr>
            <w:tcW w:w="2532" w:type="dxa"/>
            <w:tcBorders>
              <w:top w:val="single" w:color="000000" w:sz="4" w:space="0"/>
              <w:left w:val="single" w:color="000000" w:sz="4" w:space="0"/>
              <w:bottom w:val="single" w:color="000000" w:sz="4" w:space="0"/>
              <w:right w:val="single" w:color="000000" w:sz="4" w:space="0"/>
            </w:tcBorders>
            <w:vAlign w:val="center"/>
          </w:tcPr>
          <w:p w14:paraId="1F4E18B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N·m/kg</w:t>
            </w:r>
          </w:p>
        </w:tc>
        <w:tc>
          <w:tcPr>
            <w:tcW w:w="2532" w:type="dxa"/>
            <w:tcBorders>
              <w:top w:val="single" w:color="000000" w:sz="4" w:space="0"/>
              <w:left w:val="single" w:color="000000" w:sz="4" w:space="0"/>
              <w:bottom w:val="single" w:color="000000" w:sz="4" w:space="0"/>
              <w:right w:val="single" w:color="000000" w:sz="4" w:space="0"/>
            </w:tcBorders>
            <w:vAlign w:val="center"/>
          </w:tcPr>
          <w:p w14:paraId="3C08BC5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Dinamometria Isométrica (Biodex® PRO)</w:t>
            </w:r>
          </w:p>
        </w:tc>
        <w:tc>
          <w:tcPr>
            <w:tcW w:w="3662" w:type="dxa"/>
            <w:tcBorders>
              <w:top w:val="single" w:color="000000" w:sz="4" w:space="0"/>
              <w:left w:val="single" w:color="000000" w:sz="4" w:space="0"/>
              <w:bottom w:val="single" w:color="000000" w:sz="4" w:space="0"/>
              <w:right w:val="single" w:color="000000" w:sz="4" w:space="0"/>
            </w:tcBorders>
            <w:vAlign w:val="center"/>
          </w:tcPr>
          <w:p w14:paraId="362E8BE8">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Média bilateral normalizada de torque no ângulo funcional de teste (70° extensão).</w:t>
            </w:r>
          </w:p>
        </w:tc>
      </w:tr>
      <w:tr w14:paraId="1F601C18">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2897647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Força de preensão manual (FPM)</w:t>
            </w:r>
          </w:p>
        </w:tc>
        <w:tc>
          <w:tcPr>
            <w:tcW w:w="2532" w:type="dxa"/>
            <w:tcBorders>
              <w:top w:val="single" w:color="000000" w:sz="4" w:space="0"/>
              <w:left w:val="single" w:color="000000" w:sz="4" w:space="0"/>
              <w:bottom w:val="single" w:color="000000" w:sz="4" w:space="0"/>
              <w:right w:val="single" w:color="000000" w:sz="4" w:space="0"/>
            </w:tcBorders>
            <w:vAlign w:val="center"/>
          </w:tcPr>
          <w:p w14:paraId="6FBD6DD2">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kgf/kg</w:t>
            </w:r>
          </w:p>
        </w:tc>
        <w:tc>
          <w:tcPr>
            <w:tcW w:w="2532" w:type="dxa"/>
            <w:tcBorders>
              <w:top w:val="single" w:color="000000" w:sz="4" w:space="0"/>
              <w:left w:val="single" w:color="000000" w:sz="4" w:space="0"/>
              <w:bottom w:val="single" w:color="000000" w:sz="4" w:space="0"/>
              <w:right w:val="single" w:color="000000" w:sz="4" w:space="0"/>
            </w:tcBorders>
            <w:vAlign w:val="center"/>
          </w:tcPr>
          <w:p w14:paraId="52F5D30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Dinamômetro Hidráulico (Saehan® SH5001)</w:t>
            </w:r>
          </w:p>
        </w:tc>
        <w:tc>
          <w:tcPr>
            <w:tcW w:w="3662" w:type="dxa"/>
            <w:tcBorders>
              <w:top w:val="single" w:color="000000" w:sz="4" w:space="0"/>
              <w:left w:val="single" w:color="000000" w:sz="4" w:space="0"/>
              <w:bottom w:val="single" w:color="000000" w:sz="4" w:space="0"/>
              <w:right w:val="single" w:color="000000" w:sz="4" w:space="0"/>
            </w:tcBorders>
            <w:vAlign w:val="center"/>
          </w:tcPr>
          <w:p w14:paraId="3BAE0E1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Média bilateral normalizada da força digital para microajustes de pressão.</w:t>
            </w:r>
          </w:p>
        </w:tc>
      </w:tr>
      <w:tr w14:paraId="69BCD1F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52288FA">
            <w:pPr>
              <w:spacing w:line="360" w:lineRule="auto"/>
              <w:jc w:val="left"/>
              <w:rPr>
                <w:rFonts w:hint="default" w:ascii="Times New Roman" w:hAnsi="Times New Roman" w:eastAsia="Times New Roman" w:cs="Times New Roman"/>
                <w:i/>
                <w:iCs/>
                <w:lang w:val="pt-BR"/>
              </w:rPr>
            </w:pPr>
            <w:r>
              <w:rPr>
                <w:rFonts w:hint="default" w:ascii="Times New Roman" w:hAnsi="Times New Roman" w:eastAsia="Times New Roman" w:cs="Times New Roman"/>
              </w:rPr>
              <w:t>Força máxima relativa à massa corporal no shoulder press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i/>
                <w:iCs/>
                <w:lang w:val="pt-BR"/>
              </w:rPr>
              <w:t>SP</w:t>
            </w:r>
            <w:r>
              <w:rPr>
                <w:rFonts w:hint="default" w:ascii="Times New Roman" w:hAnsi="Times New Roman" w:eastAsia="Times New Roman" w:cs="Times New Roman"/>
                <w:lang w:val="pt-BR"/>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280ED51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Kg/Kg</w:t>
            </w:r>
          </w:p>
        </w:tc>
        <w:tc>
          <w:tcPr>
            <w:tcW w:w="2532" w:type="dxa"/>
            <w:tcBorders>
              <w:top w:val="single" w:color="000000" w:sz="4" w:space="0"/>
              <w:left w:val="single" w:color="000000" w:sz="4" w:space="0"/>
              <w:bottom w:val="single" w:color="000000" w:sz="4" w:space="0"/>
              <w:right w:val="single" w:color="000000" w:sz="4" w:space="0"/>
            </w:tcBorders>
            <w:vAlign w:val="center"/>
          </w:tcPr>
          <w:p w14:paraId="58EDCAD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Teste de 1-RM</w:t>
            </w:r>
          </w:p>
        </w:tc>
        <w:tc>
          <w:tcPr>
            <w:tcW w:w="3662" w:type="dxa"/>
            <w:tcBorders>
              <w:top w:val="single" w:color="000000" w:sz="4" w:space="0"/>
              <w:left w:val="single" w:color="000000" w:sz="4" w:space="0"/>
              <w:bottom w:val="single" w:color="000000" w:sz="4" w:space="0"/>
              <w:right w:val="single" w:color="000000" w:sz="4" w:space="0"/>
            </w:tcBorders>
            <w:vAlign w:val="center"/>
          </w:tcPr>
          <w:p w14:paraId="358C7DA4">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Capacidade relativa de suporte e estabilidade articular do complexo do ombro.</w:t>
            </w:r>
          </w:p>
        </w:tc>
      </w:tr>
      <w:tr w14:paraId="7192C65B">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BD1002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Resistência em posição invertida (</w:t>
            </w:r>
            <w:r>
              <w:rPr>
                <w:rFonts w:hint="default" w:ascii="Times New Roman" w:hAnsi="Times New Roman" w:eastAsia="Times New Roman" w:cs="Times New Roman"/>
                <w:i/>
                <w:iCs/>
              </w:rPr>
              <w:t>wall-supported HS</w:t>
            </w:r>
            <w:r>
              <w:rPr>
                <w:rFonts w:hint="default" w:ascii="Times New Roman" w:hAnsi="Times New Roman" w:eastAsia="Times New Roman" w:cs="Times New Roman"/>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09441101">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32" w:type="dxa"/>
            <w:tcBorders>
              <w:top w:val="single" w:color="000000" w:sz="4" w:space="0"/>
              <w:left w:val="single" w:color="000000" w:sz="4" w:space="0"/>
              <w:bottom w:val="single" w:color="000000" w:sz="4" w:space="0"/>
              <w:right w:val="single" w:color="000000" w:sz="4" w:space="0"/>
            </w:tcBorders>
            <w:vAlign w:val="center"/>
          </w:tcPr>
          <w:p w14:paraId="6C007E5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Cronometro Digital</w:t>
            </w:r>
          </w:p>
        </w:tc>
        <w:tc>
          <w:tcPr>
            <w:tcW w:w="3662" w:type="dxa"/>
            <w:tcBorders>
              <w:top w:val="single" w:color="000000" w:sz="4" w:space="0"/>
              <w:left w:val="single" w:color="000000" w:sz="4" w:space="0"/>
              <w:bottom w:val="single" w:color="000000" w:sz="4" w:space="0"/>
              <w:right w:val="single" w:color="000000" w:sz="4" w:space="0"/>
            </w:tcBorders>
            <w:vAlign w:val="center"/>
          </w:tcPr>
          <w:p w14:paraId="69FB87B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Tolerância à fadiga isométrica dos membros superiores em suporte vertical.</w:t>
            </w:r>
          </w:p>
        </w:tc>
      </w:tr>
      <w:tr w14:paraId="4D39B1C7">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26D07E7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Altura do CoM</w:t>
            </w:r>
          </w:p>
        </w:tc>
        <w:tc>
          <w:tcPr>
            <w:tcW w:w="2532" w:type="dxa"/>
            <w:tcBorders>
              <w:top w:val="single" w:color="000000" w:sz="4" w:space="0"/>
              <w:left w:val="single" w:color="000000" w:sz="4" w:space="0"/>
              <w:bottom w:val="single" w:color="000000" w:sz="4" w:space="0"/>
              <w:right w:val="single" w:color="000000" w:sz="4" w:space="0"/>
            </w:tcBorders>
            <w:vAlign w:val="center"/>
          </w:tcPr>
          <w:p w14:paraId="2237380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2790097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BC83EE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2C22C704">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Determina a altura do pêndulo invertido e a instabilidade mecânica intrínseca.</w:t>
            </w:r>
          </w:p>
        </w:tc>
      </w:tr>
      <w:tr w14:paraId="6AD48F0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39660A84">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Comprimentos dos Membros</w:t>
            </w:r>
            <w:r>
              <w:rPr>
                <w:rFonts w:hint="default" w:ascii="Times New Roman" w:hAnsi="Times New Roman" w:eastAsia="Times New Roman" w:cs="Times New Roman"/>
                <w:lang w:val="pt-BR"/>
              </w:rPr>
              <w:t xml:space="preserve"> Superiores</w:t>
            </w:r>
          </w:p>
        </w:tc>
        <w:tc>
          <w:tcPr>
            <w:tcW w:w="2532" w:type="dxa"/>
            <w:tcBorders>
              <w:top w:val="single" w:color="000000" w:sz="4" w:space="0"/>
              <w:left w:val="single" w:color="000000" w:sz="4" w:space="0"/>
              <w:bottom w:val="single" w:color="000000" w:sz="4" w:space="0"/>
              <w:right w:val="single" w:color="000000" w:sz="4" w:space="0"/>
            </w:tcBorders>
            <w:vAlign w:val="center"/>
          </w:tcPr>
          <w:p w14:paraId="7393A9E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1AAE410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01393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0BFC584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Efeito do braço de alavanca anatômico na magnitude dos torques corretores.</w:t>
            </w:r>
          </w:p>
        </w:tc>
      </w:tr>
      <w:tr w14:paraId="3CF3178E">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778133C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Composição Corporal</w:t>
            </w:r>
          </w:p>
        </w:tc>
        <w:tc>
          <w:tcPr>
            <w:tcW w:w="2532" w:type="dxa"/>
            <w:tcBorders>
              <w:top w:val="single" w:color="000000" w:sz="4" w:space="0"/>
              <w:left w:val="single" w:color="000000" w:sz="4" w:space="0"/>
              <w:bottom w:val="single" w:color="000000" w:sz="4" w:space="0"/>
              <w:right w:val="single" w:color="000000" w:sz="4" w:space="0"/>
            </w:tcBorders>
            <w:vAlign w:val="center"/>
          </w:tcPr>
          <w:p w14:paraId="1FB609E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 Gordura e Massa Livre (kg)</w:t>
            </w:r>
          </w:p>
        </w:tc>
        <w:tc>
          <w:tcPr>
            <w:tcW w:w="2532" w:type="dxa"/>
            <w:tcBorders>
              <w:top w:val="single" w:color="000000" w:sz="4" w:space="0"/>
              <w:left w:val="single" w:color="000000" w:sz="4" w:space="0"/>
              <w:bottom w:val="single" w:color="000000" w:sz="4" w:space="0"/>
              <w:right w:val="single" w:color="000000" w:sz="4" w:space="0"/>
            </w:tcBorders>
            <w:vAlign w:val="center"/>
          </w:tcPr>
          <w:p w14:paraId="32AC208D">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Bioimpedância Tetrapolar (Sanny®)</w:t>
            </w:r>
          </w:p>
        </w:tc>
        <w:tc>
          <w:tcPr>
            <w:tcW w:w="3662" w:type="dxa"/>
            <w:tcBorders>
              <w:top w:val="single" w:color="000000" w:sz="4" w:space="0"/>
              <w:left w:val="single" w:color="000000" w:sz="4" w:space="0"/>
              <w:bottom w:val="single" w:color="000000" w:sz="4" w:space="0"/>
              <w:right w:val="single" w:color="000000" w:sz="4" w:space="0"/>
            </w:tcBorders>
            <w:vAlign w:val="center"/>
          </w:tcPr>
          <w:p w14:paraId="1069912D">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Impacto da adiposidade (massa inerte) e massa magra na capacidade de sustentação.</w:t>
            </w:r>
          </w:p>
        </w:tc>
      </w:tr>
      <w:tr w14:paraId="2D5EC2E0">
        <w:tblPrEx>
          <w:tblCellMar>
            <w:top w:w="0" w:type="dxa"/>
            <w:left w:w="108" w:type="dxa"/>
            <w:bottom w:w="0" w:type="dxa"/>
            <w:right w:w="108" w:type="dxa"/>
          </w:tblCellMar>
        </w:tblPrEx>
        <w:trPr>
          <w:trHeight w:val="1216" w:hRule="atLeast"/>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3004A0F">
            <w:pPr>
              <w:spacing w:line="360" w:lineRule="auto"/>
              <w:rPr>
                <w:rFonts w:hint="default" w:ascii="Times New Roman" w:hAnsi="Times New Roman" w:eastAsia="Times New Roman" w:cs="Times New Roman"/>
              </w:rPr>
            </w:pPr>
            <w:r>
              <w:rPr>
                <w:rFonts w:hint="default" w:ascii="Times New Roman" w:hAnsi="Times New Roman" w:cs="Times New Roman"/>
              </w:rPr>
              <w:t>Volume de Prática Acumulada</w:t>
            </w:r>
          </w:p>
        </w:tc>
        <w:tc>
          <w:tcPr>
            <w:tcW w:w="2532" w:type="dxa"/>
            <w:tcBorders>
              <w:top w:val="single" w:color="000000" w:sz="4" w:space="0"/>
              <w:left w:val="single" w:color="000000" w:sz="4" w:space="0"/>
              <w:bottom w:val="single" w:color="000000" w:sz="4" w:space="0"/>
              <w:right w:val="single" w:color="000000" w:sz="4" w:space="0"/>
            </w:tcBorders>
            <w:vAlign w:val="center"/>
          </w:tcPr>
          <w:p w14:paraId="4E95CFF4">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Horas totais estimadas</w:t>
            </w:r>
          </w:p>
        </w:tc>
        <w:tc>
          <w:tcPr>
            <w:tcW w:w="2532" w:type="dxa"/>
            <w:tcBorders>
              <w:top w:val="single" w:color="000000" w:sz="4" w:space="0"/>
              <w:left w:val="single" w:color="000000" w:sz="4" w:space="0"/>
              <w:bottom w:val="single" w:color="000000" w:sz="4" w:space="0"/>
              <w:right w:val="single" w:color="000000" w:sz="4" w:space="0"/>
            </w:tcBorders>
            <w:vAlign w:val="center"/>
          </w:tcPr>
          <w:p w14:paraId="3D25C32B">
            <w:pPr>
              <w:spacing w:line="360" w:lineRule="auto"/>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662" w:type="dxa"/>
            <w:tcBorders>
              <w:top w:val="single" w:color="000000" w:sz="4" w:space="0"/>
              <w:left w:val="single" w:color="000000" w:sz="4" w:space="0"/>
              <w:bottom w:val="single" w:color="000000" w:sz="4" w:space="0"/>
              <w:right w:val="single" w:color="000000" w:sz="4" w:space="0"/>
            </w:tcBorders>
            <w:vAlign w:val="center"/>
          </w:tcPr>
          <w:p w14:paraId="6CBD186B">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Avalia se experiência prévia está associada a maior estabilidade e proficiência técnica.</w:t>
            </w:r>
          </w:p>
        </w:tc>
      </w:tr>
      <w:tr w14:paraId="41CB3420">
        <w:tblPrEx>
          <w:tblCellMar>
            <w:top w:w="0" w:type="dxa"/>
            <w:left w:w="108" w:type="dxa"/>
            <w:bottom w:w="0" w:type="dxa"/>
            <w:right w:w="108" w:type="dxa"/>
          </w:tblCellMar>
        </w:tblPrEx>
        <w:trPr>
          <w:trHeight w:val="1216" w:hRule="atLeast"/>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1029603">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I</w:t>
            </w:r>
            <w:r>
              <w:rPr>
                <w:rFonts w:hint="default" w:ascii="Times New Roman" w:hAnsi="Times New Roman" w:eastAsia="Times New Roman" w:cs="Times New Roman"/>
              </w:rPr>
              <w:t xml:space="preserve">dade </w:t>
            </w:r>
            <w:r>
              <w:rPr>
                <w:rFonts w:hint="default" w:ascii="Times New Roman" w:hAnsi="Times New Roman" w:eastAsia="Times New Roman" w:cs="Times New Roman"/>
                <w:lang w:val="pt-BR"/>
              </w:rPr>
              <w:t>C</w:t>
            </w:r>
            <w:r>
              <w:rPr>
                <w:rFonts w:hint="default" w:ascii="Times New Roman" w:hAnsi="Times New Roman" w:eastAsia="Times New Roman" w:cs="Times New Roman"/>
              </w:rPr>
              <w:t xml:space="preserve">ronológica </w:t>
            </w:r>
          </w:p>
        </w:tc>
        <w:tc>
          <w:tcPr>
            <w:tcW w:w="2532" w:type="dxa"/>
            <w:tcBorders>
              <w:top w:val="single" w:color="000000" w:sz="4" w:space="0"/>
              <w:left w:val="single" w:color="000000" w:sz="4" w:space="0"/>
              <w:bottom w:val="single" w:color="000000" w:sz="4" w:space="0"/>
              <w:right w:val="single" w:color="000000" w:sz="4" w:space="0"/>
            </w:tcBorders>
            <w:vAlign w:val="center"/>
          </w:tcPr>
          <w:p w14:paraId="037B820A">
            <w:pPr>
              <w:spacing w:line="360" w:lineRule="auto"/>
              <w:rPr>
                <w:rFonts w:hint="default" w:ascii="Times New Roman" w:hAnsi="Times New Roman" w:eastAsia="Times New Roman" w:cs="Times New Roman"/>
                <w:lang w:val="pt-BR"/>
              </w:rPr>
            </w:pPr>
            <w:r>
              <w:rPr>
                <w:rFonts w:hint="default" w:ascii="Times New Roman" w:hAnsi="Times New Roman" w:eastAsia="Times New Roman" w:cs="Times New Roman"/>
                <w:lang w:val="pt-BR"/>
              </w:rPr>
              <w:t>Anos</w:t>
            </w:r>
          </w:p>
        </w:tc>
        <w:tc>
          <w:tcPr>
            <w:tcW w:w="2532" w:type="dxa"/>
            <w:tcBorders>
              <w:top w:val="single" w:color="000000" w:sz="4" w:space="0"/>
              <w:left w:val="single" w:color="000000" w:sz="4" w:space="0"/>
              <w:bottom w:val="single" w:color="000000" w:sz="4" w:space="0"/>
              <w:right w:val="single" w:color="000000" w:sz="4" w:space="0"/>
            </w:tcBorders>
            <w:vAlign w:val="center"/>
          </w:tcPr>
          <w:p w14:paraId="4DAE384E">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662" w:type="dxa"/>
            <w:tcBorders>
              <w:top w:val="single" w:color="000000" w:sz="4" w:space="0"/>
              <w:left w:val="single" w:color="000000" w:sz="4" w:space="0"/>
              <w:bottom w:val="single" w:color="000000" w:sz="4" w:space="0"/>
              <w:right w:val="single" w:color="000000" w:sz="4" w:space="0"/>
            </w:tcBorders>
            <w:vAlign w:val="center"/>
          </w:tcPr>
          <w:p w14:paraId="10AC96E3">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Impacto da idade versus experiência na qualidade do controle sensório-motor</w:t>
            </w:r>
          </w:p>
        </w:tc>
      </w:tr>
    </w:tbl>
    <w:p w14:paraId="613C078A">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Fonte: Elaborado pelo autor (2025).</w:t>
      </w:r>
    </w:p>
    <w:p w14:paraId="5C2A99B7">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QUADRO 2 – Variáveis relacionadas ao desempenho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tbl>
      <w:tblPr>
        <w:tblStyle w:val="7"/>
        <w:tblpPr w:leftFromText="180" w:rightFromText="180" w:vertAnchor="text" w:horzAnchor="page" w:tblpX="367" w:tblpY="425"/>
        <w:tblOverlap w:val="never"/>
        <w:tblW w:w="11634" w:type="dxa"/>
        <w:tblInd w:w="0" w:type="dxa"/>
        <w:tblLayout w:type="fixed"/>
        <w:tblCellMar>
          <w:top w:w="0" w:type="dxa"/>
          <w:left w:w="108" w:type="dxa"/>
          <w:bottom w:w="0" w:type="dxa"/>
          <w:right w:w="108" w:type="dxa"/>
        </w:tblCellMar>
      </w:tblPr>
      <w:tblGrid>
        <w:gridCol w:w="2970"/>
        <w:gridCol w:w="2552"/>
        <w:gridCol w:w="2552"/>
        <w:gridCol w:w="3560"/>
      </w:tblGrid>
      <w:tr w14:paraId="72B9A940">
        <w:tblPrEx>
          <w:tblCellMar>
            <w:top w:w="0" w:type="dxa"/>
            <w:left w:w="108" w:type="dxa"/>
            <w:bottom w:w="0" w:type="dxa"/>
            <w:right w:w="108" w:type="dxa"/>
          </w:tblCellMar>
        </w:tblPrEx>
        <w:trPr>
          <w:tblHeader/>
        </w:trPr>
        <w:tc>
          <w:tcPr>
            <w:tcW w:w="297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57D745">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Variável</w:t>
            </w:r>
          </w:p>
        </w:tc>
        <w:tc>
          <w:tcPr>
            <w:tcW w:w="255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96C7E5E">
            <w:pPr>
              <w:spacing w:line="360" w:lineRule="auto"/>
              <w:jc w:val="left"/>
              <w:rPr>
                <w:rFonts w:hint="default" w:ascii="Times New Roman" w:hAnsi="Times New Roman" w:eastAsia="Times New Roman" w:cs="Times New Roman"/>
                <w:b/>
                <w:bCs/>
                <w:lang w:val="pt-BR"/>
              </w:rPr>
            </w:pPr>
            <w:r>
              <w:rPr>
                <w:rFonts w:hint="default" w:ascii="Times New Roman" w:hAnsi="Times New Roman" w:eastAsia="Times New Roman" w:cs="Times New Roman"/>
                <w:b/>
                <w:bCs/>
                <w:lang w:val="pt-BR"/>
              </w:rPr>
              <w:t>Unidade</w:t>
            </w:r>
          </w:p>
        </w:tc>
        <w:tc>
          <w:tcPr>
            <w:tcW w:w="255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EA7171">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Método de Medição</w:t>
            </w:r>
          </w:p>
        </w:tc>
        <w:tc>
          <w:tcPr>
            <w:tcW w:w="356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0EF429">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Justificativa</w:t>
            </w:r>
          </w:p>
        </w:tc>
      </w:tr>
      <w:tr w14:paraId="5C8EBA1D">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79EECB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 xml:space="preserve">Mediana da </w:t>
            </w:r>
            <w:r>
              <w:rPr>
                <w:rFonts w:hint="default" w:ascii="Times New Roman" w:hAnsi="Times New Roman" w:eastAsia="Times New Roman" w:cs="Times New Roman"/>
              </w:rPr>
              <w:t xml:space="preserve">Distância </w:t>
            </w:r>
            <w:r>
              <w:rPr>
                <w:rFonts w:hint="default" w:ascii="Times New Roman" w:hAnsi="Times New Roman" w:eastAsia="Times New Roman" w:cs="Times New Roman"/>
                <w:lang w:val="pt-BR"/>
              </w:rPr>
              <w:t>P</w:t>
            </w:r>
            <w:r>
              <w:rPr>
                <w:rFonts w:hint="default" w:ascii="Times New Roman" w:hAnsi="Times New Roman" w:eastAsia="Times New Roman" w:cs="Times New Roman"/>
              </w:rPr>
              <w:t>ercorrida</w:t>
            </w:r>
            <w:r>
              <w:rPr>
                <w:rFonts w:hint="default" w:ascii="Times New Roman" w:hAnsi="Times New Roman" w:eastAsia="Times New Roman" w:cs="Times New Roman"/>
                <w:lang w:val="pt-BR"/>
              </w:rPr>
              <w:t xml:space="preserve"> (desfecho)</w:t>
            </w:r>
          </w:p>
        </w:tc>
        <w:tc>
          <w:tcPr>
            <w:tcW w:w="2552" w:type="dxa"/>
            <w:tcBorders>
              <w:top w:val="single" w:color="000000" w:sz="4" w:space="0"/>
              <w:left w:val="single" w:color="000000" w:sz="4" w:space="0"/>
              <w:bottom w:val="single" w:color="000000" w:sz="4" w:space="0"/>
              <w:right w:val="single" w:color="000000" w:sz="4" w:space="0"/>
            </w:tcBorders>
            <w:vAlign w:val="center"/>
          </w:tcPr>
          <w:p w14:paraId="553973B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Metros (m)</w:t>
            </w:r>
          </w:p>
        </w:tc>
        <w:tc>
          <w:tcPr>
            <w:tcW w:w="2552" w:type="dxa"/>
            <w:tcBorders>
              <w:top w:val="single" w:color="000000" w:sz="4" w:space="0"/>
              <w:left w:val="single" w:color="000000" w:sz="4" w:space="0"/>
              <w:bottom w:val="single" w:color="000000" w:sz="4" w:space="0"/>
              <w:right w:val="single" w:color="000000" w:sz="4" w:space="0"/>
            </w:tcBorders>
            <w:vAlign w:val="center"/>
          </w:tcPr>
          <w:p w14:paraId="06EC1B0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D66AC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7ECB692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Reflete a capacidade de manter a posição invertida em deslocamento contínuo.</w:t>
            </w:r>
          </w:p>
        </w:tc>
      </w:tr>
      <w:tr w14:paraId="6DF308A5">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69E274B">
            <w:pPr>
              <w:spacing w:line="360" w:lineRule="auto"/>
              <w:jc w:val="left"/>
              <w:rPr>
                <w:rFonts w:hint="default" w:ascii="Times New Roman" w:hAnsi="Times New Roman" w:eastAsia="Times New Roman" w:cs="Times New Roman"/>
                <w:i/>
                <w:iCs/>
              </w:rPr>
            </w:pPr>
            <w:r>
              <w:rPr>
                <w:rFonts w:hint="default" w:ascii="Times New Roman" w:hAnsi="Times New Roman" w:eastAsia="Times New Roman" w:cs="Times New Roman"/>
              </w:rPr>
              <w:t xml:space="preserve">Melhor tempo de sustentação no </w:t>
            </w:r>
            <w:r>
              <w:rPr>
                <w:rFonts w:hint="default" w:ascii="Times New Roman" w:hAnsi="Times New Roman" w:eastAsia="Times New Roman" w:cs="Times New Roman"/>
                <w:i/>
                <w:iCs/>
              </w:rPr>
              <w:t>HS</w:t>
            </w:r>
          </w:p>
        </w:tc>
        <w:tc>
          <w:tcPr>
            <w:tcW w:w="2552" w:type="dxa"/>
            <w:tcBorders>
              <w:top w:val="single" w:color="000000" w:sz="4" w:space="0"/>
              <w:left w:val="single" w:color="000000" w:sz="4" w:space="0"/>
              <w:bottom w:val="single" w:color="000000" w:sz="4" w:space="0"/>
              <w:right w:val="single" w:color="000000" w:sz="4" w:space="0"/>
            </w:tcBorders>
            <w:vAlign w:val="center"/>
          </w:tcPr>
          <w:p w14:paraId="0D4A792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52" w:type="dxa"/>
            <w:tcBorders>
              <w:top w:val="single" w:color="000000" w:sz="4" w:space="0"/>
              <w:left w:val="single" w:color="000000" w:sz="4" w:space="0"/>
              <w:bottom w:val="single" w:color="000000" w:sz="4" w:space="0"/>
              <w:right w:val="single" w:color="000000" w:sz="4" w:space="0"/>
            </w:tcBorders>
            <w:vAlign w:val="center"/>
          </w:tcPr>
          <w:p w14:paraId="1C563D2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3374603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129B615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Transferência da capacidade de equilíbrio estático para a locomoção dinâmica.</w:t>
            </w:r>
          </w:p>
        </w:tc>
      </w:tr>
      <w:tr w14:paraId="3A84A8E8">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776A34D">
            <w:pPr>
              <w:spacing w:line="360" w:lineRule="auto"/>
              <w:jc w:val="left"/>
              <w:rPr>
                <w:rFonts w:hint="default" w:ascii="Times New Roman" w:hAnsi="Times New Roman" w:eastAsia="Times New Roman" w:cs="Times New Roman"/>
                <w:i/>
                <w:iCs/>
              </w:rPr>
            </w:pPr>
            <w:r>
              <w:rPr>
                <w:rFonts w:hint="default" w:ascii="Times New Roman" w:hAnsi="Times New Roman" w:eastAsia="Times New Roman" w:cs="Times New Roman"/>
              </w:rPr>
              <w:t xml:space="preserve">ApEn no </w:t>
            </w:r>
            <w:r>
              <w:rPr>
                <w:rFonts w:hint="default" w:ascii="Times New Roman" w:hAnsi="Times New Roman" w:eastAsia="Times New Roman" w:cs="Times New Roman"/>
                <w:i/>
                <w:iCs/>
              </w:rPr>
              <w:t>HS</w:t>
            </w:r>
          </w:p>
        </w:tc>
        <w:tc>
          <w:tcPr>
            <w:tcW w:w="2552" w:type="dxa"/>
            <w:tcBorders>
              <w:top w:val="single" w:color="000000" w:sz="4" w:space="0"/>
              <w:left w:val="single" w:color="000000" w:sz="4" w:space="0"/>
              <w:bottom w:val="single" w:color="000000" w:sz="4" w:space="0"/>
              <w:right w:val="single" w:color="000000" w:sz="4" w:space="0"/>
            </w:tcBorders>
            <w:vAlign w:val="center"/>
          </w:tcPr>
          <w:p w14:paraId="6A4BDC88">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Unidades Arbitrárias</w:t>
            </w:r>
          </w:p>
        </w:tc>
        <w:tc>
          <w:tcPr>
            <w:tcW w:w="2552" w:type="dxa"/>
            <w:tcBorders>
              <w:top w:val="single" w:color="000000" w:sz="4" w:space="0"/>
              <w:left w:val="single" w:color="000000" w:sz="4" w:space="0"/>
              <w:bottom w:val="single" w:color="000000" w:sz="4" w:space="0"/>
              <w:right w:val="single" w:color="000000" w:sz="4" w:space="0"/>
            </w:tcBorders>
            <w:vAlign w:val="center"/>
          </w:tcPr>
          <w:p w14:paraId="4D63BDF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Plataforma de Força (Bertec®)</w:t>
            </w:r>
          </w:p>
        </w:tc>
        <w:tc>
          <w:tcPr>
            <w:tcW w:w="3560" w:type="dxa"/>
            <w:tcBorders>
              <w:top w:val="single" w:color="000000" w:sz="4" w:space="0"/>
              <w:left w:val="single" w:color="000000" w:sz="4" w:space="0"/>
              <w:bottom w:val="single" w:color="000000" w:sz="4" w:space="0"/>
              <w:right w:val="single" w:color="000000" w:sz="4" w:space="0"/>
            </w:tcBorders>
            <w:vAlign w:val="center"/>
          </w:tcPr>
          <w:p w14:paraId="067B1296">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Transferência da qualidade de controle postural estático para a dinâmica.</w:t>
            </w:r>
          </w:p>
        </w:tc>
      </w:tr>
      <w:tr w14:paraId="70A4382C">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F9F964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Comprimento médio das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A2A220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1DE33A0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8560B9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2808B21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Identifica o padrão de locomoção, distinguindo estratégias de propulsão ou estabilidade.</w:t>
            </w:r>
          </w:p>
        </w:tc>
      </w:tr>
      <w:tr w14:paraId="3886BF87">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70BF5C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Cadência </w:t>
            </w:r>
          </w:p>
        </w:tc>
        <w:tc>
          <w:tcPr>
            <w:tcW w:w="2552" w:type="dxa"/>
            <w:tcBorders>
              <w:top w:val="single" w:color="000000" w:sz="4" w:space="0"/>
              <w:left w:val="single" w:color="000000" w:sz="4" w:space="0"/>
              <w:bottom w:val="single" w:color="000000" w:sz="4" w:space="0"/>
              <w:right w:val="single" w:color="000000" w:sz="4" w:space="0"/>
            </w:tcBorders>
            <w:vAlign w:val="center"/>
          </w:tcPr>
          <w:p w14:paraId="7253AD45">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Passadas / segundo</w:t>
            </w:r>
          </w:p>
        </w:tc>
        <w:tc>
          <w:tcPr>
            <w:tcW w:w="2552" w:type="dxa"/>
            <w:tcBorders>
              <w:top w:val="single" w:color="000000" w:sz="4" w:space="0"/>
              <w:left w:val="single" w:color="000000" w:sz="4" w:space="0"/>
              <w:bottom w:val="single" w:color="000000" w:sz="4" w:space="0"/>
              <w:right w:val="single" w:color="000000" w:sz="4" w:space="0"/>
            </w:tcBorders>
            <w:vAlign w:val="center"/>
          </w:tcPr>
          <w:p w14:paraId="292C892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0E1C98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0FE581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Avalia a frequência dos apoios e sua relação com eficiência ou fadiga.</w:t>
            </w:r>
          </w:p>
        </w:tc>
      </w:tr>
      <w:tr w14:paraId="3C1C36B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1D7EE5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Variabilidade </w:t>
            </w:r>
            <w:r>
              <w:rPr>
                <w:rFonts w:hint="default" w:ascii="Times New Roman" w:hAnsi="Times New Roman" w:eastAsia="Times New Roman" w:cs="Times New Roman"/>
                <w:lang w:val="pt-BR"/>
              </w:rPr>
              <w:t>E</w:t>
            </w:r>
            <w:r>
              <w:rPr>
                <w:rFonts w:hint="default" w:ascii="Times New Roman" w:hAnsi="Times New Roman" w:eastAsia="Times New Roman" w:cs="Times New Roman"/>
              </w:rPr>
              <w:t xml:space="preserve">spacial entre </w:t>
            </w:r>
            <w:r>
              <w:rPr>
                <w:rFonts w:hint="default" w:ascii="Times New Roman" w:hAnsi="Times New Roman" w:eastAsia="Times New Roman" w:cs="Times New Roman"/>
                <w:lang w:val="pt-BR"/>
              </w:rPr>
              <w:t>P</w:t>
            </w:r>
            <w:r>
              <w:rPr>
                <w:rFonts w:hint="default" w:ascii="Times New Roman" w:hAnsi="Times New Roman" w:eastAsia="Times New Roman" w:cs="Times New Roman"/>
              </w:rPr>
              <w:t>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85ABD0C">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CV (%)</w:t>
            </w:r>
          </w:p>
        </w:tc>
        <w:tc>
          <w:tcPr>
            <w:tcW w:w="2552" w:type="dxa"/>
            <w:tcBorders>
              <w:top w:val="single" w:color="000000" w:sz="4" w:space="0"/>
              <w:left w:val="single" w:color="000000" w:sz="4" w:space="0"/>
              <w:bottom w:val="single" w:color="000000" w:sz="4" w:space="0"/>
              <w:right w:val="single" w:color="000000" w:sz="4" w:space="0"/>
            </w:tcBorders>
            <w:vAlign w:val="center"/>
          </w:tcPr>
          <w:p w14:paraId="0EE9515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63DE86D2">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6AE7079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Coeficiente de variação do comprimento das passadas (consistência motora)</w:t>
            </w:r>
          </w:p>
        </w:tc>
      </w:tr>
      <w:tr w14:paraId="2D8EF073">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F50E38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Variabilidade </w:t>
            </w:r>
            <w:r>
              <w:rPr>
                <w:rFonts w:hint="default" w:ascii="Times New Roman" w:hAnsi="Times New Roman" w:eastAsia="Times New Roman" w:cs="Times New Roman"/>
                <w:lang w:val="pt-BR"/>
              </w:rPr>
              <w:t>T</w:t>
            </w:r>
            <w:r>
              <w:rPr>
                <w:rFonts w:hint="default" w:ascii="Times New Roman" w:hAnsi="Times New Roman" w:eastAsia="Times New Roman" w:cs="Times New Roman"/>
              </w:rPr>
              <w:t>emporal  entre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4AD809E7">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CV (%)</w:t>
            </w:r>
          </w:p>
        </w:tc>
        <w:tc>
          <w:tcPr>
            <w:tcW w:w="2552" w:type="dxa"/>
            <w:tcBorders>
              <w:top w:val="single" w:color="000000" w:sz="4" w:space="0"/>
              <w:left w:val="single" w:color="000000" w:sz="4" w:space="0"/>
              <w:bottom w:val="single" w:color="000000" w:sz="4" w:space="0"/>
              <w:right w:val="single" w:color="000000" w:sz="4" w:space="0"/>
            </w:tcBorders>
            <w:vAlign w:val="center"/>
          </w:tcPr>
          <w:p w14:paraId="071EDEE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0D368F7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1296ED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Coeficiente de variação do tempo entre passadas (ritmicidade motora)</w:t>
            </w:r>
          </w:p>
        </w:tc>
      </w:tr>
      <w:tr w14:paraId="1423362E">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AFE99A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Índice de Verticalidade</w:t>
            </w:r>
          </w:p>
        </w:tc>
        <w:tc>
          <w:tcPr>
            <w:tcW w:w="2552" w:type="dxa"/>
            <w:tcBorders>
              <w:top w:val="single" w:color="000000" w:sz="4" w:space="0"/>
              <w:left w:val="single" w:color="000000" w:sz="4" w:space="0"/>
              <w:bottom w:val="single" w:color="000000" w:sz="4" w:space="0"/>
              <w:right w:val="single" w:color="000000" w:sz="4" w:space="0"/>
            </w:tcBorders>
            <w:vAlign w:val="center"/>
          </w:tcPr>
          <w:p w14:paraId="380DF4B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vAlign w:val="center"/>
          </w:tcPr>
          <w:p w14:paraId="3E735FC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459713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1659F546">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Alinhamento angular tridimensional médio durante o deslocamento.</w:t>
            </w:r>
          </w:p>
        </w:tc>
      </w:tr>
      <w:tr w14:paraId="0CD9A39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01CAF80">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Extensão Cervical</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B27568">
            <w:pPr>
              <w:spacing w:line="360" w:lineRule="auto"/>
              <w:jc w:val="left"/>
              <w:rPr>
                <w:rFonts w:hint="default"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8E2F5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91FF67E">
            <w:pPr>
              <w:spacing w:line="360" w:lineRule="auto"/>
              <w:jc w:val="left"/>
              <w:rPr>
                <w:rFonts w:hint="default"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B916295">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Influência da cabeça na visibilidade e na inclinação de progressão.</w:t>
            </w:r>
          </w:p>
        </w:tc>
      </w:tr>
      <w:tr w14:paraId="1A98BC3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5438F">
            <w:pPr>
              <w:rPr>
                <w:rFonts w:hint="default" w:ascii="Times New Roman" w:hAnsi="Times New Roman" w:eastAsia="Arial" w:cs="Times New Roman"/>
                <w:sz w:val="24"/>
                <w:szCs w:val="24"/>
                <w:lang w:val="pt-BR" w:eastAsia="pt-BR" w:bidi="ar-SA"/>
              </w:rPr>
            </w:pPr>
            <w:r>
              <w:rPr>
                <w:rFonts w:hint="default" w:ascii="Times New Roman" w:hAnsi="Times New Roman" w:cs="Times New Roman"/>
              </w:rPr>
              <w:t xml:space="preserve">Flexão Plantar do Tornozelo </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4CB787">
            <w:pPr>
              <w:rPr>
                <w:rFonts w:hint="default" w:ascii="Times New Roman" w:hAnsi="Times New Roman" w:eastAsia="Arial" w:cs="Times New Roman"/>
                <w:sz w:val="24"/>
                <w:szCs w:val="24"/>
                <w:lang w:val="pt-BR" w:eastAsia="pt-BR" w:bidi="ar-SA"/>
              </w:rPr>
            </w:pPr>
            <w:r>
              <w:rPr>
                <w:rFonts w:hint="default" w:ascii="Times New Roman" w:hAnsi="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DE94A">
            <w:pPr>
              <w:rPr>
                <w:rFonts w:hint="default" w:ascii="Times New Roman" w:hAnsi="Times New Roman" w:cs="Times New Roman"/>
              </w:rPr>
            </w:pPr>
            <w:r>
              <w:rPr>
                <w:rFonts w:hint="default" w:ascii="Times New Roman" w:hAnsi="Times New Roman" w:cs="Times New Roman"/>
              </w:rPr>
              <w:t xml:space="preserve">Captura de Movimento </w:t>
            </w:r>
          </w:p>
          <w:p w14:paraId="3CC5A01D">
            <w:pPr>
              <w:rPr>
                <w:rFonts w:hint="default" w:ascii="Times New Roman" w:hAnsi="Times New Roman" w:eastAsia="Arial" w:cs="Times New Roman"/>
                <w:sz w:val="24"/>
                <w:szCs w:val="24"/>
                <w:lang w:val="pt-BR" w:eastAsia="pt-BR" w:bidi="ar-SA"/>
              </w:rPr>
            </w:pPr>
            <w:r>
              <w:rPr>
                <w:rFonts w:hint="default" w:ascii="Times New Roman" w:hAnsi="Times New Roman" w:cs="Times New Roman"/>
              </w:rPr>
              <w:t xml:space="preserve">(Vicon®) </w:t>
            </w:r>
          </w:p>
        </w:tc>
        <w:tc>
          <w:tcPr>
            <w:tcW w:w="3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C56440">
            <w:pPr>
              <w:rPr>
                <w:rFonts w:hint="default" w:ascii="Times New Roman" w:hAnsi="Times New Roman" w:eastAsia="Arial" w:cs="Times New Roman"/>
                <w:sz w:val="24"/>
                <w:szCs w:val="24"/>
                <w:lang w:val="pt-BR" w:eastAsia="zh-CN" w:bidi="ar-SA"/>
              </w:rPr>
            </w:pPr>
            <w:r>
              <w:rPr>
                <w:rFonts w:hint="default" w:ascii="Times New Roman" w:hAnsi="Times New Roman" w:cs="Times New Roman"/>
              </w:rPr>
              <w:t xml:space="preserve">Avalia a rigidez segmentar distal e </w:t>
            </w:r>
            <w:r>
              <w:rPr>
                <w:rFonts w:hint="default" w:ascii="Times New Roman" w:hAnsi="Times New Roman" w:cs="Times New Roman"/>
                <w:lang w:val="pt-BR"/>
              </w:rPr>
              <w:t>engajamento muscular</w:t>
            </w:r>
            <w:r>
              <w:rPr>
                <w:rFonts w:hint="default" w:ascii="Times New Roman" w:hAnsi="Times New Roman" w:cs="Times New Roman"/>
              </w:rPr>
              <w:t xml:space="preserve"> </w:t>
            </w:r>
            <w:r>
              <w:rPr>
                <w:rFonts w:hint="default" w:ascii="Times New Roman" w:hAnsi="Times New Roman" w:cs="Times New Roman"/>
                <w:i/>
                <w:iCs/>
              </w:rPr>
              <w:t>single-link</w:t>
            </w:r>
            <w:r>
              <w:rPr>
                <w:rFonts w:hint="default" w:ascii="Times New Roman" w:hAnsi="Times New Roman" w:cs="Times New Roman"/>
                <w:lang w:val="pt-BR"/>
              </w:rPr>
              <w:t xml:space="preserve"> (rígido)</w:t>
            </w:r>
            <w:r>
              <w:rPr>
                <w:rFonts w:hint="default" w:ascii="Times New Roman" w:hAnsi="Times New Roman" w:cs="Times New Roman"/>
              </w:rPr>
              <w:t> vs. </w:t>
            </w:r>
            <w:r>
              <w:rPr>
                <w:rFonts w:hint="default" w:ascii="Times New Roman" w:hAnsi="Times New Roman" w:cs="Times New Roman"/>
                <w:i/>
                <w:iCs/>
              </w:rPr>
              <w:t>multi-link</w:t>
            </w:r>
            <w:r>
              <w:rPr>
                <w:rFonts w:hint="default" w:ascii="Times New Roman" w:hAnsi="Times New Roman" w:cs="Times New Roman"/>
              </w:rPr>
              <w:t> </w:t>
            </w:r>
            <w:r>
              <w:rPr>
                <w:rFonts w:hint="default" w:ascii="Times New Roman" w:hAnsi="Times New Roman" w:cs="Times New Roman"/>
                <w:lang w:val="pt-BR"/>
              </w:rPr>
              <w:t>(os</w:t>
            </w:r>
            <w:r>
              <w:rPr>
                <w:rFonts w:hint="default" w:ascii="Times New Roman" w:hAnsi="Times New Roman" w:cs="Times New Roman"/>
              </w:rPr>
              <w:t>ila</w:t>
            </w:r>
            <w:r>
              <w:rPr>
                <w:rFonts w:hint="default" w:ascii="Times New Roman" w:hAnsi="Times New Roman" w:cs="Times New Roman"/>
                <w:lang w:val="pt-BR"/>
              </w:rPr>
              <w:t>nte)</w:t>
            </w:r>
          </w:p>
        </w:tc>
      </w:tr>
      <w:tr w14:paraId="4D0F4E66">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5E23B9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 xml:space="preserve">Largura da </w:t>
            </w:r>
            <w:r>
              <w:rPr>
                <w:rFonts w:hint="default" w:ascii="Times New Roman" w:hAnsi="Times New Roman" w:eastAsia="Times New Roman" w:cs="Times New Roman"/>
              </w:rPr>
              <w:t xml:space="preserve">Base de </w:t>
            </w:r>
            <w:r>
              <w:rPr>
                <w:rFonts w:hint="default" w:ascii="Times New Roman" w:hAnsi="Times New Roman" w:eastAsia="Times New Roman" w:cs="Times New Roman"/>
                <w:lang w:val="pt-BR"/>
              </w:rPr>
              <w:t>A</w:t>
            </w:r>
            <w:r>
              <w:rPr>
                <w:rFonts w:hint="default" w:ascii="Times New Roman" w:hAnsi="Times New Roman" w:eastAsia="Times New Roman" w:cs="Times New Roman"/>
              </w:rPr>
              <w:t xml:space="preserve">poio </w:t>
            </w:r>
          </w:p>
        </w:tc>
        <w:tc>
          <w:tcPr>
            <w:tcW w:w="2552" w:type="dxa"/>
            <w:tcBorders>
              <w:top w:val="single" w:color="000000" w:sz="4" w:space="0"/>
              <w:left w:val="single" w:color="000000" w:sz="4" w:space="0"/>
              <w:bottom w:val="single" w:color="000000" w:sz="4" w:space="0"/>
              <w:right w:val="single" w:color="000000" w:sz="4" w:space="0"/>
            </w:tcBorders>
            <w:vAlign w:val="center"/>
          </w:tcPr>
          <w:p w14:paraId="6BD8567F">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63FD7AF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81050B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24F4593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Distância mediolateral média entre as mãos durante as passadas.</w:t>
            </w:r>
          </w:p>
        </w:tc>
      </w:tr>
      <w:tr w14:paraId="1EB02DF4">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FE36AB8">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Orientação angular das mãos</w:t>
            </w:r>
          </w:p>
        </w:tc>
        <w:tc>
          <w:tcPr>
            <w:tcW w:w="2552" w:type="dxa"/>
            <w:tcBorders>
              <w:top w:val="single" w:color="000000" w:sz="4" w:space="0"/>
              <w:left w:val="single" w:color="000000" w:sz="4" w:space="0"/>
              <w:bottom w:val="single" w:color="000000" w:sz="4" w:space="0"/>
              <w:right w:val="single" w:color="000000" w:sz="4" w:space="0"/>
            </w:tcBorders>
            <w:vAlign w:val="center"/>
          </w:tcPr>
          <w:p w14:paraId="1F85D0A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vAlign w:val="center"/>
          </w:tcPr>
          <w:p w14:paraId="5F93A9D2">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0281FE7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500D061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Rotação externa das mãos facilitando o avanço do CoM.</w:t>
            </w:r>
          </w:p>
        </w:tc>
      </w:tr>
      <w:tr w14:paraId="7FE5F618">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3C8A191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lang w:val="pt-BR"/>
              </w:rPr>
              <w:t>Í</w:t>
            </w:r>
            <w:r>
              <w:rPr>
                <w:rFonts w:hint="default" w:ascii="Times New Roman" w:hAnsi="Times New Roman" w:eastAsia="SimSun" w:cs="Times New Roman"/>
                <w:sz w:val="24"/>
                <w:szCs w:val="24"/>
              </w:rPr>
              <w:t>ndice de Simetria de Membros no punho (LSI_FFP)</w:t>
            </w:r>
          </w:p>
        </w:tc>
        <w:tc>
          <w:tcPr>
            <w:tcW w:w="2552" w:type="dxa"/>
            <w:tcBorders>
              <w:top w:val="single" w:color="000000" w:sz="4" w:space="0"/>
              <w:left w:val="single" w:color="000000" w:sz="4" w:space="0"/>
              <w:bottom w:val="single" w:color="000000" w:sz="4" w:space="0"/>
              <w:right w:val="single" w:color="000000" w:sz="4" w:space="0"/>
            </w:tcBorders>
            <w:vAlign w:val="center"/>
          </w:tcPr>
          <w:p w14:paraId="1D6E2E32">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440F69E3">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Dinamometria Isométrica (Biodex® PRO)</w:t>
            </w:r>
          </w:p>
        </w:tc>
        <w:tc>
          <w:tcPr>
            <w:tcW w:w="3560" w:type="dxa"/>
            <w:tcBorders>
              <w:top w:val="single" w:color="000000" w:sz="4" w:space="0"/>
              <w:left w:val="single" w:color="000000" w:sz="4" w:space="0"/>
              <w:bottom w:val="single" w:color="000000" w:sz="4" w:space="0"/>
              <w:right w:val="single" w:color="000000" w:sz="4" w:space="0"/>
            </w:tcBorders>
            <w:vAlign w:val="center"/>
          </w:tcPr>
          <w:p w14:paraId="2073A9CA">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Relação do pico de torque da mão dominante x não dominante</w:t>
            </w:r>
          </w:p>
        </w:tc>
      </w:tr>
      <w:tr w14:paraId="7DF76432">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4C325DE">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Força máxima relativa à massa corporal no </w:t>
            </w:r>
            <w:r>
              <w:rPr>
                <w:rFonts w:hint="default" w:ascii="Times New Roman" w:hAnsi="Times New Roman" w:eastAsia="Times New Roman" w:cs="Times New Roman"/>
                <w:i/>
                <w:iCs/>
                <w:lang w:val="pt-BR"/>
              </w:rPr>
              <w:t>SP</w:t>
            </w:r>
          </w:p>
        </w:tc>
        <w:tc>
          <w:tcPr>
            <w:tcW w:w="2552" w:type="dxa"/>
            <w:tcBorders>
              <w:top w:val="single" w:color="000000" w:sz="4" w:space="0"/>
              <w:left w:val="single" w:color="000000" w:sz="4" w:space="0"/>
              <w:bottom w:val="single" w:color="000000" w:sz="4" w:space="0"/>
              <w:right w:val="single" w:color="000000" w:sz="4" w:space="0"/>
            </w:tcBorders>
            <w:vAlign w:val="center"/>
          </w:tcPr>
          <w:p w14:paraId="1FEE211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lang w:val="pt-BR"/>
              </w:rPr>
              <w:t>K</w:t>
            </w:r>
            <w:r>
              <w:rPr>
                <w:rFonts w:hint="default" w:ascii="Times New Roman" w:hAnsi="Times New Roman" w:eastAsia="SimSun" w:cs="Times New Roman"/>
                <w:sz w:val="24"/>
                <w:szCs w:val="24"/>
              </w:rPr>
              <w:t>g/</w:t>
            </w:r>
            <w:r>
              <w:rPr>
                <w:rFonts w:hint="default" w:ascii="Times New Roman" w:hAnsi="Times New Roman" w:eastAsia="SimSun" w:cs="Times New Roman"/>
                <w:sz w:val="24"/>
                <w:szCs w:val="24"/>
                <w:lang w:val="pt-BR"/>
              </w:rPr>
              <w:t>K</w:t>
            </w:r>
            <w:r>
              <w:rPr>
                <w:rFonts w:hint="default" w:ascii="Times New Roman" w:hAnsi="Times New Roman" w:eastAsia="SimSun" w:cs="Times New Roman"/>
                <w:sz w:val="24"/>
                <w:szCs w:val="24"/>
              </w:rPr>
              <w:t>g</w:t>
            </w:r>
          </w:p>
        </w:tc>
        <w:tc>
          <w:tcPr>
            <w:tcW w:w="2552" w:type="dxa"/>
            <w:tcBorders>
              <w:top w:val="single" w:color="000000" w:sz="4" w:space="0"/>
              <w:left w:val="single" w:color="000000" w:sz="4" w:space="0"/>
              <w:bottom w:val="single" w:color="000000" w:sz="4" w:space="0"/>
              <w:right w:val="single" w:color="000000" w:sz="4" w:space="0"/>
            </w:tcBorders>
            <w:vAlign w:val="center"/>
          </w:tcPr>
          <w:p w14:paraId="0D90A08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Teste de 1-RM </w:t>
            </w:r>
          </w:p>
        </w:tc>
        <w:tc>
          <w:tcPr>
            <w:tcW w:w="3560" w:type="dxa"/>
            <w:tcBorders>
              <w:top w:val="single" w:color="000000" w:sz="4" w:space="0"/>
              <w:left w:val="single" w:color="000000" w:sz="4" w:space="0"/>
              <w:bottom w:val="single" w:color="000000" w:sz="4" w:space="0"/>
              <w:right w:val="single" w:color="000000" w:sz="4" w:space="0"/>
            </w:tcBorders>
            <w:vAlign w:val="center"/>
          </w:tcPr>
          <w:p w14:paraId="006A02BB">
            <w:pPr>
              <w:keepNext w:val="0"/>
              <w:keepLines w:val="0"/>
              <w:widowControl/>
              <w:suppressLineNumbers w:val="0"/>
              <w:jc w:val="left"/>
              <w:rPr>
                <w:rFonts w:hint="default" w:ascii="Times New Roman" w:hAnsi="Times New Roman" w:eastAsia="Times New Roman" w:cs="Times New Roman"/>
              </w:rPr>
            </w:pPr>
            <w:r>
              <w:rPr>
                <w:rFonts w:hint="default" w:ascii="Times New Roman" w:hAnsi="Times New Roman" w:eastAsia="sans-serif" w:cs="Times New Roman"/>
                <w:kern w:val="0"/>
                <w:sz w:val="24"/>
                <w:szCs w:val="24"/>
                <w:lang w:val="en-US" w:eastAsia="zh-CN" w:bidi="ar"/>
              </w:rPr>
              <w:t>Capacidade de suportar o impacto dinâmico e transferir carga a cada ciclo.</w:t>
            </w:r>
            <w:r>
              <w:rPr>
                <w:rFonts w:hint="default" w:ascii="Times New Roman" w:hAnsi="Times New Roman" w:eastAsia="SimSun" w:cs="Times New Roman"/>
                <w:kern w:val="0"/>
                <w:sz w:val="24"/>
                <w:szCs w:val="24"/>
                <w:lang w:val="en-US" w:eastAsia="zh-CN" w:bidi="ar"/>
              </w:rPr>
              <w:t xml:space="preserve"> </w:t>
            </w:r>
          </w:p>
        </w:tc>
      </w:tr>
      <w:tr w14:paraId="61F3D36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6CBCF1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Resistência em posição invertida (wall-supported </w:t>
            </w:r>
            <w:r>
              <w:rPr>
                <w:rFonts w:hint="default" w:ascii="Times New Roman" w:hAnsi="Times New Roman" w:eastAsia="Times New Roman" w:cs="Times New Roman"/>
                <w:i/>
                <w:iCs/>
              </w:rPr>
              <w:t>HS</w:t>
            </w:r>
            <w:r>
              <w:rPr>
                <w:rFonts w:hint="default" w:ascii="Times New Roman" w:hAnsi="Times New Roman" w:eastAsia="Times New Roman" w:cs="Times New Roman"/>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7C7D1842">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52" w:type="dxa"/>
            <w:tcBorders>
              <w:top w:val="single" w:color="000000" w:sz="4" w:space="0"/>
              <w:left w:val="single" w:color="000000" w:sz="4" w:space="0"/>
              <w:bottom w:val="single" w:color="000000" w:sz="4" w:space="0"/>
              <w:right w:val="single" w:color="000000" w:sz="4" w:space="0"/>
            </w:tcBorders>
            <w:vAlign w:val="center"/>
          </w:tcPr>
          <w:p w14:paraId="23D3C5F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Cronometro Digital</w:t>
            </w:r>
          </w:p>
        </w:tc>
        <w:tc>
          <w:tcPr>
            <w:tcW w:w="3560" w:type="dxa"/>
            <w:tcBorders>
              <w:top w:val="single" w:color="000000" w:sz="4" w:space="0"/>
              <w:left w:val="single" w:color="000000" w:sz="4" w:space="0"/>
              <w:bottom w:val="single" w:color="000000" w:sz="4" w:space="0"/>
              <w:right w:val="single" w:color="000000" w:sz="4" w:space="0"/>
            </w:tcBorders>
            <w:vAlign w:val="center"/>
          </w:tcPr>
          <w:p w14:paraId="0E5EB288">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Tolerância à fadiga de suporte durante a marcha prolongada.</w:t>
            </w:r>
          </w:p>
        </w:tc>
      </w:tr>
      <w:tr w14:paraId="2941409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202525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Altura do CoM</w:t>
            </w:r>
          </w:p>
        </w:tc>
        <w:tc>
          <w:tcPr>
            <w:tcW w:w="2552" w:type="dxa"/>
            <w:tcBorders>
              <w:top w:val="single" w:color="000000" w:sz="4" w:space="0"/>
              <w:left w:val="single" w:color="000000" w:sz="4" w:space="0"/>
              <w:bottom w:val="single" w:color="000000" w:sz="4" w:space="0"/>
              <w:right w:val="single" w:color="000000" w:sz="4" w:space="0"/>
            </w:tcBorders>
            <w:vAlign w:val="center"/>
          </w:tcPr>
          <w:p w14:paraId="04B6A09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0E1D9C5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1045D9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3F869650">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Instabilidade do centro de gravidade durante o deslocamento invertido.</w:t>
            </w:r>
          </w:p>
        </w:tc>
      </w:tr>
      <w:tr w14:paraId="40F25F37">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757F6A3">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Comprimento dos </w:t>
            </w:r>
            <w:r>
              <w:rPr>
                <w:rFonts w:hint="default" w:ascii="Times New Roman" w:hAnsi="Times New Roman" w:eastAsia="Times New Roman" w:cs="Times New Roman"/>
                <w:lang w:val="pt-BR"/>
              </w:rPr>
              <w:t>M</w:t>
            </w:r>
            <w:r>
              <w:rPr>
                <w:rFonts w:hint="default" w:ascii="Times New Roman" w:hAnsi="Times New Roman" w:eastAsia="Times New Roman" w:cs="Times New Roman"/>
              </w:rPr>
              <w:t>embros</w:t>
            </w:r>
            <w:r>
              <w:rPr>
                <w:rFonts w:hint="default" w:ascii="Times New Roman" w:hAnsi="Times New Roman" w:eastAsia="Times New Roman" w:cs="Times New Roman"/>
                <w:lang w:val="pt-BR"/>
              </w:rPr>
              <w:t xml:space="preserve"> Superiores</w:t>
            </w:r>
          </w:p>
        </w:tc>
        <w:tc>
          <w:tcPr>
            <w:tcW w:w="2552" w:type="dxa"/>
            <w:tcBorders>
              <w:top w:val="single" w:color="000000" w:sz="4" w:space="0"/>
              <w:left w:val="single" w:color="000000" w:sz="4" w:space="0"/>
              <w:bottom w:val="single" w:color="000000" w:sz="4" w:space="0"/>
              <w:right w:val="single" w:color="000000" w:sz="4" w:space="0"/>
            </w:tcBorders>
            <w:vAlign w:val="center"/>
          </w:tcPr>
          <w:p w14:paraId="0A2B703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149DA8E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F64752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4BEF934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Influência do comprimento da alavanca na amplitude das passadas.</w:t>
            </w:r>
          </w:p>
        </w:tc>
      </w:tr>
      <w:tr w14:paraId="69ED7CA1">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D3B98F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Composição Corporal</w:t>
            </w:r>
          </w:p>
        </w:tc>
        <w:tc>
          <w:tcPr>
            <w:tcW w:w="2552" w:type="dxa"/>
            <w:tcBorders>
              <w:top w:val="single" w:color="000000" w:sz="4" w:space="0"/>
              <w:left w:val="single" w:color="000000" w:sz="4" w:space="0"/>
              <w:bottom w:val="single" w:color="000000" w:sz="4" w:space="0"/>
              <w:right w:val="single" w:color="000000" w:sz="4" w:space="0"/>
            </w:tcBorders>
            <w:vAlign w:val="center"/>
          </w:tcPr>
          <w:p w14:paraId="6070818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 Gordura e Massa Livre (kg)</w:t>
            </w:r>
          </w:p>
        </w:tc>
        <w:tc>
          <w:tcPr>
            <w:tcW w:w="2552" w:type="dxa"/>
            <w:tcBorders>
              <w:top w:val="single" w:color="000000" w:sz="4" w:space="0"/>
              <w:left w:val="single" w:color="000000" w:sz="4" w:space="0"/>
              <w:bottom w:val="single" w:color="000000" w:sz="4" w:space="0"/>
              <w:right w:val="single" w:color="000000" w:sz="4" w:space="0"/>
            </w:tcBorders>
            <w:vAlign w:val="center"/>
          </w:tcPr>
          <w:p w14:paraId="62675F31">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Bioimpedância Tetrapolar (Sanny®</w:t>
            </w:r>
          </w:p>
        </w:tc>
        <w:tc>
          <w:tcPr>
            <w:tcW w:w="3560" w:type="dxa"/>
            <w:tcBorders>
              <w:top w:val="single" w:color="000000" w:sz="4" w:space="0"/>
              <w:left w:val="single" w:color="000000" w:sz="4" w:space="0"/>
              <w:bottom w:val="single" w:color="000000" w:sz="4" w:space="0"/>
              <w:right w:val="single" w:color="000000" w:sz="4" w:space="0"/>
            </w:tcBorders>
            <w:vAlign w:val="center"/>
          </w:tcPr>
          <w:p w14:paraId="32BBCE7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Influência da massa inerte e muscular ativa na eficiência locomotora</w:t>
            </w:r>
          </w:p>
        </w:tc>
      </w:tr>
      <w:tr w14:paraId="2B12CB8E">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039362C1">
            <w:pPr>
              <w:spacing w:line="360" w:lineRule="auto"/>
              <w:rPr>
                <w:rFonts w:hint="default" w:ascii="Times New Roman" w:hAnsi="Times New Roman" w:eastAsia="Times New Roman" w:cs="Times New Roman"/>
              </w:rPr>
            </w:pPr>
            <w:r>
              <w:rPr>
                <w:rFonts w:hint="default" w:ascii="Times New Roman" w:hAnsi="Times New Roman" w:cs="Times New Roman"/>
              </w:rPr>
              <w:t>Volume de Prática Acumulada</w:t>
            </w:r>
          </w:p>
        </w:tc>
        <w:tc>
          <w:tcPr>
            <w:tcW w:w="2552" w:type="dxa"/>
            <w:tcBorders>
              <w:top w:val="single" w:color="000000" w:sz="4" w:space="0"/>
              <w:left w:val="single" w:color="000000" w:sz="4" w:space="0"/>
              <w:bottom w:val="single" w:color="000000" w:sz="4" w:space="0"/>
              <w:right w:val="single" w:color="000000" w:sz="4" w:space="0"/>
            </w:tcBorders>
            <w:vAlign w:val="center"/>
          </w:tcPr>
          <w:p w14:paraId="0C29B919">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Horas totais estimadas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DFBF8C1">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560" w:type="dxa"/>
            <w:tcBorders>
              <w:top w:val="single" w:color="000000" w:sz="4" w:space="0"/>
              <w:left w:val="single" w:color="000000" w:sz="4" w:space="0"/>
              <w:bottom w:val="single" w:color="000000" w:sz="4" w:space="0"/>
              <w:right w:val="single" w:color="000000" w:sz="4" w:space="0"/>
            </w:tcBorders>
            <w:vAlign w:val="center"/>
          </w:tcPr>
          <w:p w14:paraId="468302E4">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Avalia se experiência prévia está associada a maior estabilidade e proficiência técnica.</w:t>
            </w:r>
          </w:p>
        </w:tc>
      </w:tr>
      <w:tr w14:paraId="63A4CFF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D21917D">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I</w:t>
            </w:r>
            <w:r>
              <w:rPr>
                <w:rFonts w:hint="default" w:ascii="Times New Roman" w:hAnsi="Times New Roman" w:eastAsia="Times New Roman" w:cs="Times New Roman"/>
              </w:rPr>
              <w:t xml:space="preserve">dade </w:t>
            </w:r>
            <w:r>
              <w:rPr>
                <w:rFonts w:hint="default" w:ascii="Times New Roman" w:hAnsi="Times New Roman" w:eastAsia="Times New Roman" w:cs="Times New Roman"/>
                <w:lang w:val="pt-BR"/>
              </w:rPr>
              <w:t>C</w:t>
            </w:r>
            <w:r>
              <w:rPr>
                <w:rFonts w:hint="default" w:ascii="Times New Roman" w:hAnsi="Times New Roman" w:eastAsia="Times New Roman" w:cs="Times New Roman"/>
              </w:rPr>
              <w:t xml:space="preserve">ronológica </w:t>
            </w:r>
          </w:p>
        </w:tc>
        <w:tc>
          <w:tcPr>
            <w:tcW w:w="2552" w:type="dxa"/>
            <w:tcBorders>
              <w:top w:val="single" w:color="000000" w:sz="4" w:space="0"/>
              <w:left w:val="single" w:color="000000" w:sz="4" w:space="0"/>
              <w:bottom w:val="single" w:color="000000" w:sz="4" w:space="0"/>
              <w:right w:val="single" w:color="000000" w:sz="4" w:space="0"/>
            </w:tcBorders>
            <w:vAlign w:val="center"/>
          </w:tcPr>
          <w:p w14:paraId="416E4E2F">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Anos</w:t>
            </w:r>
          </w:p>
        </w:tc>
        <w:tc>
          <w:tcPr>
            <w:tcW w:w="2552" w:type="dxa"/>
            <w:tcBorders>
              <w:top w:val="single" w:color="000000" w:sz="4" w:space="0"/>
              <w:left w:val="single" w:color="000000" w:sz="4" w:space="0"/>
              <w:bottom w:val="single" w:color="000000" w:sz="4" w:space="0"/>
              <w:right w:val="single" w:color="000000" w:sz="4" w:space="0"/>
            </w:tcBorders>
            <w:vAlign w:val="center"/>
          </w:tcPr>
          <w:p w14:paraId="3B02B381">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560" w:type="dxa"/>
            <w:tcBorders>
              <w:top w:val="single" w:color="000000" w:sz="4" w:space="0"/>
              <w:left w:val="single" w:color="000000" w:sz="4" w:space="0"/>
              <w:bottom w:val="single" w:color="000000" w:sz="4" w:space="0"/>
              <w:right w:val="single" w:color="000000" w:sz="4" w:space="0"/>
            </w:tcBorders>
            <w:vAlign w:val="center"/>
          </w:tcPr>
          <w:p w14:paraId="5F34FF83">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Impacto da idade versus experiência na qualidade do controle sensório-motor</w:t>
            </w:r>
          </w:p>
        </w:tc>
      </w:tr>
    </w:tbl>
    <w:p w14:paraId="0B17E18D">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Fonte: Elaborado pelo autor (2025).</w:t>
      </w:r>
    </w:p>
    <w:p w14:paraId="2E34A555">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3.2 Participantes</w:t>
      </w:r>
    </w:p>
    <w:p w14:paraId="34B76FD1">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ab/>
      </w:r>
      <w:r>
        <w:rPr>
          <w:rFonts w:hint="default" w:ascii="Times New Roman" w:hAnsi="Times New Roman" w:eastAsia="Times New Roman" w:cs="Times New Roman"/>
        </w:rPr>
        <w:t xml:space="preserve">Serão recrutados adultos, de ambos os sexos, com idade mínima de 18 anos, fisicamente ativos, praticantes de </w:t>
      </w:r>
      <w:r>
        <w:rPr>
          <w:rFonts w:hint="default" w:ascii="Times New Roman" w:hAnsi="Times New Roman" w:eastAsia="Times New Roman" w:cs="Times New Roman"/>
          <w:lang w:val="pt-BR"/>
        </w:rPr>
        <w:t xml:space="preserve">pelo menos </w:t>
      </w:r>
      <w:r>
        <w:rPr>
          <w:rFonts w:hint="default" w:ascii="Times New Roman" w:hAnsi="Times New Roman" w:eastAsia="Times New Roman" w:cs="Times New Roman"/>
        </w:rPr>
        <w:t xml:space="preserve">uma modalidade que inclua o treinamento do </w:t>
      </w:r>
      <w:r>
        <w:rPr>
          <w:rFonts w:hint="default" w:ascii="Times New Roman" w:hAnsi="Times New Roman" w:eastAsia="Times New Roman" w:cs="Times New Roman"/>
          <w:i/>
        </w:rPr>
        <w:t>handstand</w:t>
      </w:r>
      <w:r>
        <w:rPr>
          <w:rFonts w:hint="default" w:ascii="Times New Roman" w:hAnsi="Times New Roman" w:eastAsia="Times New Roman" w:cs="Times New Roman"/>
        </w:rPr>
        <w:t xml:space="preserve">. Deverão ser capazes de manter o equilíbrio livre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por pelo menos 3 segundos e/ou conseguir realizar três passadas no </w:t>
      </w:r>
      <w:r>
        <w:rPr>
          <w:rFonts w:hint="default" w:ascii="Times New Roman" w:hAnsi="Times New Roman" w:eastAsia="Times New Roman" w:cs="Times New Roman"/>
          <w:i/>
          <w:iCs/>
        </w:rPr>
        <w:t>HSW</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interfira na execução dos exercícios e avaliações propostas. Os participantes serão convidados por meio de cartaz virtual compartilhado ao público nas redes sociais: </w:t>
      </w:r>
      <w:r>
        <w:rPr>
          <w:rFonts w:hint="default" w:ascii="Times New Roman" w:hAnsi="Times New Roman" w:eastAsia="Times New Roman" w:cs="Times New Roman"/>
          <w:i/>
        </w:rPr>
        <w:t>instagram</w:t>
      </w:r>
      <w:r>
        <w:rPr>
          <w:rFonts w:hint="default" w:ascii="Times New Roman" w:hAnsi="Times New Roman" w:eastAsia="Times New Roman" w:cs="Times New Roman"/>
        </w:rPr>
        <w:t xml:space="preserve"> e </w:t>
      </w:r>
      <w:r>
        <w:rPr>
          <w:rFonts w:hint="default" w:ascii="Times New Roman" w:hAnsi="Times New Roman" w:eastAsia="Times New Roman" w:cs="Times New Roman"/>
          <w:i/>
        </w:rPr>
        <w:t>facebook</w:t>
      </w:r>
      <w:r>
        <w:rPr>
          <w:rFonts w:hint="default" w:ascii="Times New Roman" w:hAnsi="Times New Roman" w:eastAsia="Times New Roman" w:cs="Times New Roman"/>
        </w:rPr>
        <w:t xml:space="preserve">, e aplicativo de mensagem </w:t>
      </w:r>
      <w:r>
        <w:rPr>
          <w:rFonts w:hint="default" w:ascii="Times New Roman" w:hAnsi="Times New Roman" w:eastAsia="Times New Roman" w:cs="Times New Roman"/>
          <w:i/>
        </w:rPr>
        <w:t xml:space="preserve">whatsapp, </w:t>
      </w:r>
      <w:r>
        <w:rPr>
          <w:rFonts w:hint="default" w:ascii="Times New Roman" w:hAnsi="Times New Roman" w:eastAsia="Times New Roman" w:cs="Times New Roman"/>
        </w:rPr>
        <w:t>além de busca ativa por participantes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junto a academias de ginástica, </w:t>
      </w:r>
      <w:r>
        <w:rPr>
          <w:rFonts w:hint="default" w:ascii="Times New Roman" w:hAnsi="Times New Roman" w:eastAsia="Times New Roman" w:cs="Times New Roman"/>
          <w:i/>
          <w:iCs/>
        </w:rPr>
        <w:t>boxes</w:t>
      </w:r>
      <w:r>
        <w:rPr>
          <w:rFonts w:hint="default" w:ascii="Times New Roman" w:hAnsi="Times New Roman" w:eastAsia="Times New Roman" w:cs="Times New Roman"/>
        </w:rPr>
        <w:t xml:space="preserve"> de </w:t>
      </w:r>
      <w:r>
        <w:rPr>
          <w:rFonts w:hint="default" w:ascii="Times New Roman" w:hAnsi="Times New Roman" w:eastAsia="Times New Roman" w:cs="Times New Roman"/>
          <w:i/>
        </w:rPr>
        <w:t>CrossFit</w:t>
      </w:r>
      <w:r>
        <w:rPr>
          <w:rFonts w:hint="default" w:ascii="Times New Roman" w:hAnsi="Times New Roman" w:eastAsia="Times New Roman" w:cs="Times New Roman"/>
        </w:rPr>
        <w:t>®, estúdios de dança, centros de treinamento circenses e grupos de calistenia da região.</w:t>
      </w:r>
    </w:p>
    <w:p w14:paraId="7C4978C4">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Cada voluntário preencherá um formulário online padronizado na plataforma </w:t>
      </w:r>
      <w:r>
        <w:rPr>
          <w:rFonts w:hint="default" w:ascii="Times New Roman" w:hAnsi="Times New Roman" w:eastAsia="Times New Roman" w:cs="Times New Roman"/>
          <w:i/>
          <w:iCs/>
        </w:rPr>
        <w:t>Google Forms</w:t>
      </w:r>
      <w:r>
        <w:rPr>
          <w:rFonts w:hint="default" w:ascii="Times New Roman" w:hAnsi="Times New Roman" w:eastAsia="Times New Roman" w:cs="Times New Roman"/>
        </w:rPr>
        <w:t xml:space="preserve">, estruturado </w:t>
      </w:r>
      <w:r>
        <w:rPr>
          <w:rFonts w:hint="default" w:ascii="Times New Roman" w:hAnsi="Times New Roman" w:eastAsia="Times New Roman" w:cs="Times New Roman"/>
          <w:lang w:val="pt-BR"/>
        </w:rPr>
        <w:t>em</w:t>
      </w:r>
      <w:r>
        <w:rPr>
          <w:rFonts w:hint="default" w:ascii="Times New Roman" w:hAnsi="Times New Roman" w:eastAsia="Times New Roman" w:cs="Times New Roman"/>
        </w:rPr>
        <w:t>: dados sociodemográficos e de contato (idade, sexo, telefone e e-mail)</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triagem de segurança em saúde por meio do Questionário de Prontidão para Atividade Física (PAR-Q), garantindo a aptidão cardiovascular e osteomuscular para os testes de esforço físico máximo</w:t>
      </w:r>
      <w:r>
        <w:rPr>
          <w:rFonts w:hint="default" w:ascii="Times New Roman" w:hAnsi="Times New Roman" w:eastAsia="Times New Roman" w:cs="Times New Roman"/>
          <w:lang w:val="pt-BR"/>
        </w:rPr>
        <w:t>,</w:t>
      </w:r>
      <w:r>
        <w:rPr>
          <w:rFonts w:hint="default" w:ascii="Times New Roman" w:hAnsi="Times New Roman" w:eastAsia="Times New Roman" w:cs="Times New Roman"/>
        </w:rPr>
        <w:t> histórico de lesões musculoesqueléticas nos membros superiores nos últimos 12 meses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modalidades praticadas</w:t>
      </w:r>
      <w:r>
        <w:rPr>
          <w:rFonts w:hint="default" w:ascii="Times New Roman" w:hAnsi="Times New Roman" w:eastAsia="Times New Roman" w:cs="Times New Roman"/>
          <w:lang w:val="pt-BR"/>
        </w:rPr>
        <w:t xml:space="preserve"> que tenha </w:t>
      </w:r>
      <w:r>
        <w:rPr>
          <w:rFonts w:hint="default" w:ascii="Times New Roman" w:hAnsi="Times New Roman" w:eastAsia="Times New Roman" w:cs="Times New Roman"/>
          <w:i/>
          <w:iCs/>
          <w:lang w:val="pt-BR"/>
        </w:rPr>
        <w:t xml:space="preserve">HS </w:t>
      </w:r>
      <w:r>
        <w:rPr>
          <w:rFonts w:hint="default" w:ascii="Times New Roman" w:hAnsi="Times New Roman" w:eastAsia="Times New Roman" w:cs="Times New Roman"/>
          <w:i w:val="0"/>
          <w:iCs w:val="0"/>
          <w:lang w:val="pt-BR"/>
        </w:rPr>
        <w:t>como habilidade</w:t>
      </w:r>
      <w:r>
        <w:rPr>
          <w:rFonts w:hint="default" w:ascii="Times New Roman" w:hAnsi="Times New Roman" w:eastAsia="Times New Roman" w:cs="Times New Roman"/>
        </w:rPr>
        <w:t xml:space="preserve"> (permitindo seleção única ou múltipla entre Calistenia, CrossFit®, Ginástica Artística, Circo, Dança, Yoga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i/>
          <w:iCs/>
          <w:lang w:val="pt-BR"/>
        </w:rPr>
        <w:t>Movement culture</w:t>
      </w:r>
      <w:r>
        <w:rPr>
          <w:rFonts w:hint="default" w:ascii="Times New Roman" w:hAnsi="Times New Roman" w:eastAsia="Times New Roman" w:cs="Times New Roman"/>
          <w:i w:val="0"/>
          <w:iCs w:val="0"/>
          <w:lang w:val="pt-BR"/>
        </w:rPr>
        <w:t xml:space="preserve">, Prática isolada da </w:t>
      </w:r>
      <w:r>
        <w:rPr>
          <w:rFonts w:hint="default" w:ascii="Times New Roman" w:hAnsi="Times New Roman" w:eastAsia="Times New Roman" w:cs="Times New Roman"/>
          <w:i/>
          <w:iCs/>
          <w:lang w:val="pt-BR"/>
        </w:rPr>
        <w:t>HS</w:t>
      </w:r>
      <w:r>
        <w:rPr>
          <w:rFonts w:hint="default" w:ascii="Times New Roman" w:hAnsi="Times New Roman" w:eastAsia="Times New Roman" w:cs="Times New Roman"/>
        </w:rPr>
        <w:t xml:space="preserve"> e Outras)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 xml:space="preserve">e histórico de treinamento no </w:t>
      </w:r>
      <w:r>
        <w:rPr>
          <w:rFonts w:hint="default" w:ascii="Times New Roman" w:hAnsi="Times New Roman" w:eastAsia="Times New Roman" w:cs="Times New Roman"/>
          <w:i/>
          <w:iCs/>
          <w:lang w:val="pt-BR"/>
        </w:rPr>
        <w:t>HS</w:t>
      </w:r>
      <w:r>
        <w:rPr>
          <w:rFonts w:hint="default" w:ascii="Times New Roman" w:hAnsi="Times New Roman" w:eastAsia="Times New Roman" w:cs="Times New Roman"/>
        </w:rPr>
        <w:t xml:space="preserve">, mensurado pelo tempo de prática acumulada (em meses) e pelo volume semanal médio dedicado especificamente ao treinamento da postura invertida (horas por semana). A partir dessas informações, será calculado o Volume de Prática Acumulada (horas totais estimadas) como métrica de exposição motora real. Todos os participantes elegíveis assinarão um termo de consentimento livre e esclarecido, aprovado pelo Comitê de Ética em Pesquisa da Escola de Educação Física e Esporte de Ribeirão Preto antes de iniciar os testes. </w:t>
      </w:r>
    </w:p>
    <w:p w14:paraId="507F55D2">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rPr>
        <w:t>3.</w:t>
      </w:r>
      <w:r>
        <w:rPr>
          <w:rFonts w:hint="default" w:ascii="Times New Roman" w:hAnsi="Times New Roman" w:cs="Times New Roman"/>
          <w:lang w:val="pt-BR"/>
        </w:rPr>
        <w:t>3</w:t>
      </w:r>
      <w:r>
        <w:rPr>
          <w:rFonts w:hint="default" w:ascii="Times New Roman" w:hAnsi="Times New Roman" w:cs="Times New Roman"/>
        </w:rPr>
        <w:t xml:space="preserve"> </w:t>
      </w:r>
      <w:r>
        <w:rPr>
          <w:rFonts w:hint="default" w:ascii="Times New Roman" w:hAnsi="Times New Roman" w:eastAsia="SimSun" w:cs="Times New Roman"/>
          <w:sz w:val="24"/>
          <w:szCs w:val="24"/>
        </w:rPr>
        <w:t>Dimensionamento e Poder Amostral</w:t>
      </w:r>
    </w:p>
    <w:p w14:paraId="29336C30">
      <w:pPr>
        <w:pStyle w:val="11"/>
        <w:spacing w:before="0" w:beforeAutospacing="0" w:after="0" w:afterAutospacing="0" w:line="360" w:lineRule="auto"/>
        <w:ind w:firstLine="360"/>
        <w:jc w:val="both"/>
        <w:rPr>
          <w:rFonts w:hint="default" w:ascii="Times New Roman" w:hAnsi="Times New Roman" w:cs="Times New Roman"/>
        </w:rPr>
      </w:pPr>
      <w:r>
        <w:rPr>
          <w:rFonts w:hint="default" w:ascii="Times New Roman" w:hAnsi="Times New Roman" w:cs="Times New Roman"/>
        </w:rPr>
        <w:t xml:space="preserve">O dimensionamento amostral foi calculado a priori por meio do software G*Power (versão 3.1.9.7)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{"citationID":"oPZR8SSe","properties":{"unsorted":false,"formattedCitation":"[40], [41]","plainCitation":"[40], [41]","noteIndex":0},"citationItems":[{"id":316,"uris":["http://zotero.org/users/17274952/items/K4E2624D"],"itemData":{"id":316,"type":"article-journal","container-title":"Behavior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volume":"39","author":[{"family":"Faul","given":"Franz"},{"family":"Erdfelder","given":"Edgar"},{"family":"Lang","given":"Albert-Georg"},{"family":"Buchner","given":"Axel"}],"issued":{"date-parts":[["2007",5]]}}},{"id":315,"uris":["http://zotero.org/users/17274952/items/XHK7HA2Z"],"itemData":{"id":315,"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[40], [41]</w:t>
      </w:r>
      <w:r>
        <w:rPr>
          <w:rFonts w:hint="default" w:ascii="Times New Roman" w:hAnsi="Times New Roman" w:cs="Times New Roman"/>
        </w:rPr>
        <w:fldChar w:fldCharType="end"/>
      </w:r>
      <w:r>
        <w:rPr>
          <w:rFonts w:hint="default" w:ascii="Times New Roman" w:hAnsi="Times New Roman" w:cs="Times New Roman"/>
        </w:rPr>
        <w:t xml:space="preserve">, fundamentando-se nos delineamentos de regressão linear múltipla e regressão logística binária propostos: </w:t>
      </w:r>
    </w:p>
    <w:p w14:paraId="0EF7C61C">
      <w:pPr>
        <w:pStyle w:val="11"/>
        <w:numPr>
          <w:ilvl w:val="0"/>
          <w:numId w:val="2"/>
        </w:numPr>
        <w:spacing w:line="360" w:lineRule="auto"/>
        <w:jc w:val="both"/>
        <w:rPr>
          <w:rFonts w:hint="default" w:ascii="Times New Roman" w:hAnsi="Times New Roman" w:cs="Times New Roman"/>
        </w:rPr>
      </w:pPr>
      <w:r>
        <w:rPr>
          <w:rFonts w:hint="default" w:ascii="Times New Roman" w:hAnsi="Times New Roman" w:cs="Times New Roman"/>
          <w:u w:val="single"/>
        </w:rPr>
        <w:t xml:space="preserve">Modelos Temáticos de Regressão Linear Múltipla: </w:t>
      </w:r>
      <w:r>
        <w:rPr>
          <w:rFonts w:hint="default" w:ascii="Times New Roman" w:hAnsi="Times New Roman" w:cs="Times New Roman"/>
        </w:rPr>
        <w:t>Para as análises organizadas por domínios, considerando o modelo linear fixo de desvio do R² em relação a zero (</w:t>
      </w:r>
      <w:r>
        <w:rPr>
          <w:rFonts w:hint="default" w:ascii="Times New Roman" w:hAnsi="Times New Roman" w:cs="Times New Roman"/>
          <w:i/>
          <w:iCs/>
        </w:rPr>
        <w:t>Linear</w:t>
      </w:r>
      <w:r>
        <w:rPr>
          <w:rFonts w:hint="default" w:ascii="Times New Roman" w:hAnsi="Times New Roman" w:cs="Times New Roman"/>
        </w:rPr>
        <w:t xml:space="preserve"> </w:t>
      </w:r>
      <w:r>
        <w:rPr>
          <w:rFonts w:hint="default" w:ascii="Times New Roman" w:hAnsi="Times New Roman" w:cs="Times New Roman"/>
          <w:i/>
          <w:iCs/>
        </w:rPr>
        <w:t>multiple</w:t>
      </w:r>
      <w:r>
        <w:rPr>
          <w:rFonts w:hint="default" w:ascii="Times New Roman" w:hAnsi="Times New Roman" w:cs="Times New Roman"/>
        </w:rPr>
        <w:t xml:space="preserve"> </w:t>
      </w:r>
      <w:r>
        <w:rPr>
          <w:rFonts w:hint="default" w:ascii="Times New Roman" w:hAnsi="Times New Roman" w:cs="Times New Roman"/>
          <w:i/>
          <w:iCs/>
        </w:rPr>
        <w:t>regression</w:t>
      </w:r>
      <w:r>
        <w:rPr>
          <w:rFonts w:hint="default" w:ascii="Times New Roman" w:hAnsi="Times New Roman" w:cs="Times New Roman"/>
        </w:rPr>
        <w:t xml:space="preserve">: </w:t>
      </w:r>
      <w:r>
        <w:rPr>
          <w:rFonts w:hint="default" w:ascii="Times New Roman" w:hAnsi="Times New Roman" w:cs="Times New Roman"/>
          <w:i/>
          <w:iCs/>
        </w:rPr>
        <w:t>Fixed</w:t>
      </w:r>
      <w:r>
        <w:rPr>
          <w:rFonts w:hint="default" w:ascii="Times New Roman" w:hAnsi="Times New Roman" w:cs="Times New Roman"/>
        </w:rPr>
        <w:t xml:space="preserve"> </w:t>
      </w:r>
      <w:r>
        <w:rPr>
          <w:rFonts w:hint="default" w:ascii="Times New Roman" w:hAnsi="Times New Roman" w:cs="Times New Roman"/>
          <w:i/>
          <w:iCs/>
        </w:rPr>
        <w:t>model</w:t>
      </w:r>
      <w:r>
        <w:rPr>
          <w:rFonts w:hint="default" w:ascii="Times New Roman" w:hAnsi="Times New Roman" w:cs="Times New Roman"/>
        </w:rPr>
        <w:t xml:space="preserve">, R² </w:t>
      </w:r>
      <w:r>
        <w:rPr>
          <w:rFonts w:hint="default" w:ascii="Times New Roman" w:hAnsi="Times New Roman" w:cs="Times New Roman"/>
          <w:i/>
          <w:iCs/>
        </w:rPr>
        <w:t>deviation</w:t>
      </w:r>
      <w:r>
        <w:rPr>
          <w:rFonts w:hint="default" w:ascii="Times New Roman" w:hAnsi="Times New Roman" w:cs="Times New Roman"/>
        </w:rPr>
        <w:t xml:space="preserve"> </w:t>
      </w:r>
      <w:r>
        <w:rPr>
          <w:rFonts w:hint="default" w:ascii="Times New Roman" w:hAnsi="Times New Roman" w:cs="Times New Roman"/>
          <w:i/>
          <w:iCs/>
        </w:rPr>
        <w:t>from</w:t>
      </w:r>
      <w:r>
        <w:rPr>
          <w:rFonts w:hint="default" w:ascii="Times New Roman" w:hAnsi="Times New Roman" w:cs="Times New Roman"/>
        </w:rPr>
        <w:t xml:space="preserve"> </w:t>
      </w:r>
      <w:r>
        <w:rPr>
          <w:rFonts w:hint="default" w:ascii="Times New Roman" w:hAnsi="Times New Roman" w:cs="Times New Roman"/>
          <w:i/>
          <w:iCs/>
        </w:rPr>
        <w:t>zero</w:t>
      </w:r>
      <w:r>
        <w:rPr>
          <w:rFonts w:hint="default" w:ascii="Times New Roman" w:hAnsi="Times New Roman" w:cs="Times New Roman"/>
        </w:rPr>
        <w:t xml:space="preserve">), adotou-se um tamanho de efeito moderado (f² = 0,15, correspondente a um R² aproximado de 0,13 sob as convenções de Cohen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{"citationID":"hrbBWQIg","properties":{"unsorted":false,"formattedCitation":"[42]","plainCitation":"[42]","noteIndex":0},"citationItems":[{"id":314,"uris":["http://zotero.org/users/17274952/items/EBM2FGG5"],"itemData":{"id":314,"type":"book","edition":"2. ed., reprint","ISBN":"978-0-8058-0283-2","language":"en","number-of-pages":"567","publisher":"Psychology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[42]</w:t>
      </w:r>
      <w:r>
        <w:rPr>
          <w:rFonts w:hint="default" w:ascii="Times New Roman" w:hAnsi="Times New Roman" w:cs="Times New Roman"/>
        </w:rPr>
        <w:fldChar w:fldCharType="end"/>
      </w:r>
      <w:r>
        <w:rPr>
          <w:rFonts w:hint="default" w:ascii="Times New Roman" w:hAnsi="Times New Roman" w:cs="Times New Roman"/>
        </w:rPr>
        <w:t xml:space="preserve">), nível de significância de α = 0,05, poder estatístico de (1 - β) = 0,80 e o número máximo de até 4 preditores simultâneos. O cálculo indicou a necessidade de um tamanho amostral mínimo de N = 85 participantes (parâmetro de não-centralidade λ = 12,75; F crítico = 2,486; poder real = 0,805). </w:t>
      </w:r>
    </w:p>
    <w:p w14:paraId="398764AA">
      <w:pPr>
        <w:pStyle w:val="11"/>
        <w:numPr>
          <w:ilvl w:val="0"/>
          <w:numId w:val="2"/>
        </w:numPr>
        <w:spacing w:line="360" w:lineRule="auto"/>
        <w:jc w:val="both"/>
        <w:rPr>
          <w:rFonts w:hint="default" w:ascii="Times New Roman" w:hAnsi="Times New Roman" w:cs="Times New Roman"/>
        </w:rPr>
      </w:pPr>
      <w:r>
        <w:rPr>
          <w:rFonts w:hint="default" w:ascii="Times New Roman" w:hAnsi="Times New Roman" w:cs="Times New Roman"/>
          <w:u w:val="single"/>
        </w:rPr>
        <w:t xml:space="preserve">Modelo de Regressão Logística Binária (Autonomia no </w:t>
      </w:r>
      <w:r>
        <w:rPr>
          <w:rFonts w:hint="default" w:ascii="Times New Roman" w:hAnsi="Times New Roman" w:cs="Times New Roman"/>
          <w:i/>
          <w:iCs/>
          <w:u w:val="single"/>
        </w:rPr>
        <w:t>HS</w:t>
      </w:r>
      <w:r>
        <w:rPr>
          <w:rFonts w:hint="default" w:ascii="Times New Roman" w:hAnsi="Times New Roman" w:cs="Times New Roman"/>
          <w:u w:val="single"/>
        </w:rPr>
        <w:t>):</w:t>
      </w:r>
      <w:r>
        <w:rPr>
          <w:rFonts w:hint="default" w:ascii="Times New Roman" w:hAnsi="Times New Roman" w:cs="Times New Roman"/>
        </w:rPr>
        <w:t xml:space="preserve"> Para o modelo logístico</w:t>
      </w:r>
      <w:r>
        <w:rPr>
          <w:rFonts w:hint="default" w:ascii="Times New Roman" w:hAnsi="Times New Roman" w:cs="Times New Roman"/>
          <w:lang w:val="pt-BR"/>
        </w:rPr>
        <w:t xml:space="preserve"> de autonomia de estabilização</w:t>
      </w:r>
      <w:r>
        <w:rPr>
          <w:rFonts w:hint="default" w:ascii="Times New Roman" w:hAnsi="Times New Roman" w:cs="Times New Roman"/>
        </w:rPr>
        <w:t xml:space="preserve"> com 3 preditores (força relativa no SP, tempo de sustentação assistido e tempo de prática), adotou-se um nível de significância de α = 0,05, poder estatístico de (1 - β) = 0,80 e uma razão de chances (</w:t>
      </w:r>
      <w:r>
        <w:rPr>
          <w:rFonts w:hint="default" w:ascii="Times New Roman" w:hAnsi="Times New Roman" w:cs="Times New Roman"/>
          <w:i/>
          <w:iCs/>
        </w:rPr>
        <w:t>Odds</w:t>
      </w:r>
      <w:r>
        <w:rPr>
          <w:rFonts w:hint="default" w:ascii="Times New Roman" w:hAnsi="Times New Roman" w:cs="Times New Roman"/>
        </w:rPr>
        <w:t xml:space="preserve"> </w:t>
      </w:r>
      <w:r>
        <w:rPr>
          <w:rFonts w:hint="default" w:ascii="Times New Roman" w:hAnsi="Times New Roman" w:cs="Times New Roman"/>
          <w:i/>
          <w:iCs/>
        </w:rPr>
        <w:t>Ratio</w:t>
      </w:r>
      <w:r>
        <w:rPr>
          <w:rFonts w:hint="default" w:ascii="Times New Roman" w:hAnsi="Times New Roman" w:cs="Times New Roman"/>
        </w:rPr>
        <w:t xml:space="preserve">) mínima esperada de 2,0 para preditores contínuos padronizados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{"citationID":"emky6ZlS","properties":{"unsorted":false,"formattedCitation":"[41], [43]","plainCitation":"[41], [43]","noteIndex":0},"citationItems":[{"id":315,"uris":["http://zotero.org/users/17274952/items/XHK7HA2Z"],"itemData":{"id":315,"type":"article-journal","container-title":"Behavior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id":14,"uris":["http://zotero.org/users/17274952/items/FIG95YIC"],"itemData":{"id":14,"type":"article-journal","container-title":"Communications in Statistics - Simulation and Computation","DOI":"10.1080/03610911003650383","ISSN":"0361-0918, 1532-4141","issue":"4","journalAbbreviation":"Communications in Statistics - Simulation and Computation","language":"en","page":"860-864","source":"DOI.org (Crossref)","title":"How Big is a Big Odds Ratio? Interpreting the Magnitudes of Odds Ratios in Epidemiological Studies","title-short":"How Big is a Big Odds Ratio?","volume":"39","author":[{"family":"Chen","given":"Henian"},{"family":"Cohen","given":"Patricia"},{"family":"Chen","given":"Sophie"}],"issued":{"date-parts":[["2010",3,31]]}}}],"schema":"https://github.com/citation-style-language/schema/raw/master/csl-citation.json"}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[41], [43]</w:t>
      </w:r>
      <w:r>
        <w:rPr>
          <w:rFonts w:hint="default" w:ascii="Times New Roman" w:hAnsi="Times New Roman" w:cs="Times New Roman"/>
        </w:rPr>
        <w:fldChar w:fldCharType="end"/>
      </w:r>
      <w:r>
        <w:rPr>
          <w:rFonts w:hint="default" w:ascii="Times New Roman" w:hAnsi="Times New Roman" w:cs="Times New Roman"/>
        </w:rPr>
        <w:t xml:space="preserve">. O cálculo indicou a necessidade de uma amostra mínima entre 70 e 90 participantes, atendendo adicionalmente ao pressuposto clássico de eventos por variável (EPV maior ou igual a 10 a 15 eventos para cada preditor no modelo)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{"citationID":"NUGvpRyn","properties":{"unsorted":false,"formattedCitation":"[44]","plainCitation":"[44]","noteIndex":0},"citationItems":[{"id":13,"uris":["http://zotero.org/users/17274952/items/RRLNZB4G"],"itemData":{"id":13,"type":"article-journal","container-title":"Journal of Clinical Epidemiology","DOI":"10.1016/S0895-4356(96)00236-3","ISSN":"08954356","issue":"12","journalAbbreviation":"Journal of Clinical Epidemiology","language":"en","page":"1373-1379","source":"DOI.org (Crossref)","title":"A simulation study of the number of events per variable in logistic regression analysis","volume":"49","author":[{"family":"Peduzzi","given":"Peter"},{"family":"Concato","given":"John"},{"family":"Kemper","given":"Elizabeth"},{"family":"Holford","given":"Theodore R."},{"family":"Feinstein","given":"Alvan R."}],"issued":{"date-parts":[["1996",12]]}}}],"schema":"https://github.com/citation-style-language/schema/raw/master/csl-citation.json"}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[44]</w:t>
      </w:r>
      <w:r>
        <w:rPr>
          <w:rFonts w:hint="default" w:ascii="Times New Roman" w:hAnsi="Times New Roman" w:cs="Times New Roman"/>
        </w:rPr>
        <w:fldChar w:fldCharType="end"/>
      </w:r>
      <w:r>
        <w:rPr>
          <w:rFonts w:hint="default" w:ascii="Times New Roman" w:hAnsi="Times New Roman" w:cs="Times New Roman"/>
        </w:rPr>
        <w:t xml:space="preserve">. </w:t>
      </w:r>
    </w:p>
    <w:p w14:paraId="6310C0E3">
      <w:pPr>
        <w:pStyle w:val="11"/>
        <w:spacing w:line="360" w:lineRule="auto"/>
        <w:ind w:firstLine="360"/>
        <w:jc w:val="both"/>
        <w:rPr>
          <w:rFonts w:hint="default" w:ascii="Times New Roman" w:hAnsi="Times New Roman" w:cs="Times New Roman"/>
        </w:rPr>
      </w:pPr>
      <w:r>
        <w:rPr>
          <w:rFonts w:hint="default" w:ascii="Times New Roman" w:hAnsi="Times New Roman" w:cs="Times New Roman"/>
        </w:rPr>
        <w:t xml:space="preserve">Para mitigar a inflação da taxa de Erro Tipo I decorrente dos múltiplos modelos testados sem comprometer excessivamente o poder estatístico, será aplicada a correção de </w:t>
      </w:r>
      <w:r>
        <w:rPr>
          <w:rFonts w:hint="default" w:ascii="Times New Roman" w:hAnsi="Times New Roman" w:cs="Times New Roman"/>
          <w:i/>
          <w:iCs/>
        </w:rPr>
        <w:t>False Discovery Rate</w:t>
      </w:r>
      <w:r>
        <w:rPr>
          <w:rFonts w:hint="default" w:ascii="Times New Roman" w:hAnsi="Times New Roman" w:cs="Times New Roman"/>
        </w:rPr>
        <w:t xml:space="preserve"> (</w:t>
      </w:r>
      <w:r>
        <w:rPr>
          <w:rFonts w:hint="default" w:ascii="Times New Roman" w:hAnsi="Times New Roman" w:cs="Times New Roman"/>
          <w:i/>
          <w:iCs/>
        </w:rPr>
        <w:t>FDR</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{"citationID":"cLgHBl3x","properties":{"unsorted":false,"formattedCitation":"[45]","plainCitation":"[45]","noteIndex":0},"citationItems":[{"id":313,"uris":["http://zotero.org/users/17274952/items/F5P6TDDP"],"itemData":{"id":313,"type":"article-journal","abstract":"SUMMARY\n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[45]</w:t>
      </w:r>
      <w:r>
        <w:rPr>
          <w:rFonts w:hint="default" w:ascii="Times New Roman" w:hAnsi="Times New Roman" w:cs="Times New Roman"/>
        </w:rPr>
        <w:fldChar w:fldCharType="end"/>
      </w:r>
      <w:r>
        <w:rPr>
          <w:rFonts w:hint="default" w:ascii="Times New Roman" w:hAnsi="Times New Roman" w:cs="Times New Roman"/>
        </w:rPr>
        <w:t xml:space="preserve">, com taxa de falso-descoberta fixada em Q = 0,05. </w:t>
      </w:r>
    </w:p>
    <w:p w14:paraId="2253C75E">
      <w:pPr>
        <w:pStyle w:val="11"/>
        <w:numPr>
          <w:ilvl w:val="0"/>
          <w:numId w:val="3"/>
        </w:numPr>
        <w:spacing w:before="240" w:line="360" w:lineRule="auto"/>
        <w:ind w:left="709" w:hanging="283"/>
        <w:jc w:val="both"/>
        <w:rPr>
          <w:rFonts w:hint="default" w:ascii="Times New Roman" w:hAnsi="Times New Roman" w:cs="Times New Roman"/>
        </w:rPr>
      </w:pPr>
      <w:r>
        <w:rPr>
          <w:rFonts w:hint="default" w:ascii="Times New Roman" w:hAnsi="Times New Roman" w:cs="Times New Roman"/>
          <w:u w:val="single"/>
        </w:rPr>
        <w:t>Modelo Final Refinado:</w:t>
      </w:r>
      <w:r>
        <w:rPr>
          <w:rFonts w:hint="default" w:ascii="Times New Roman" w:hAnsi="Times New Roman" w:cs="Times New Roman"/>
        </w:rPr>
        <w:t xml:space="preserve"> A partir dos modelos temáticos, os preditores que apresentarem significância estatística após o controle da </w:t>
      </w:r>
      <w:r>
        <w:rPr>
          <w:rFonts w:hint="default" w:ascii="Times New Roman" w:hAnsi="Times New Roman" w:cs="Times New Roman"/>
          <w:i/>
          <w:iCs/>
        </w:rPr>
        <w:t>FDR</w:t>
      </w:r>
      <w:r>
        <w:rPr>
          <w:rFonts w:hint="default" w:ascii="Times New Roman" w:hAnsi="Times New Roman" w:cs="Times New Roman"/>
        </w:rPr>
        <w:t xml:space="preserve"> e maior relevância prática (maiores coeficientes β padronizados) serão combinados em um modelo de regressão linear múltipla final consolidado para cada desfecho (</w:t>
      </w:r>
      <w:r>
        <w:rPr>
          <w:rFonts w:hint="default" w:ascii="Times New Roman" w:hAnsi="Times New Roman" w:cs="Times New Roman"/>
          <w:i/>
          <w:iCs/>
        </w:rPr>
        <w:t xml:space="preserve">HS </w:t>
      </w:r>
      <w:r>
        <w:rPr>
          <w:rFonts w:hint="default" w:ascii="Times New Roman" w:hAnsi="Times New Roman" w:cs="Times New Roman"/>
        </w:rPr>
        <w:t xml:space="preserve">e </w:t>
      </w:r>
      <w:r>
        <w:rPr>
          <w:rFonts w:hint="default" w:ascii="Times New Roman" w:hAnsi="Times New Roman" w:cs="Times New Roman"/>
          <w:i/>
          <w:iCs/>
        </w:rPr>
        <w:t>HSW</w:t>
      </w:r>
      <w:r>
        <w:rPr>
          <w:rFonts w:hint="default" w:ascii="Times New Roman" w:hAnsi="Times New Roman" w:cs="Times New Roman"/>
        </w:rPr>
        <w:t>). Projetando a retenção máxima de variáveis independentes centrais nesse modelo final (f² = 0,15, α= 0,05 e poder = 0,80), o tamanho amostral necessário N = 98 participantes (λ = 14,70; F crítico = 2,199; poder real = 0,804).</w:t>
      </w:r>
    </w:p>
    <w:p w14:paraId="53300BC2">
      <w:pPr>
        <w:pStyle w:val="11"/>
        <w:spacing w:line="360" w:lineRule="auto"/>
        <w:ind w:firstLine="426"/>
        <w:jc w:val="both"/>
        <w:rPr>
          <w:rFonts w:hint="default" w:ascii="Times New Roman" w:hAnsi="Times New Roman" w:cs="Times New Roman"/>
        </w:rPr>
      </w:pPr>
      <w:r>
        <w:rPr>
          <w:rFonts w:hint="default" w:ascii="Times New Roman" w:hAnsi="Times New Roman" w:cs="Times New Roman"/>
        </w:rPr>
        <w:t>Considerando potenciais perdas amostrais, desistências e a necessidade de preservar alta precisão estatística, o estudo estabeleceu como meta o recrutamento de 100 a 110 participantes. Este tamanho amostral confere um poder estatístico superior a 88% para os modelos temáticos primários (N = 85), garante ampla robust</w:t>
      </w:r>
      <w:r>
        <w:rPr>
          <w:rFonts w:hint="default" w:cs="Times New Roman"/>
          <w:lang w:val="pt-BR"/>
        </w:rPr>
        <w:t>ez</w:t>
      </w:r>
      <w:r>
        <w:rPr>
          <w:rFonts w:hint="default" w:ascii="Times New Roman" w:hAnsi="Times New Roman" w:cs="Times New Roman"/>
        </w:rPr>
        <w:t xml:space="preserve"> para a regressão logística</w:t>
      </w:r>
      <w:r>
        <w:rPr>
          <w:rFonts w:hint="default" w:ascii="Times New Roman" w:hAnsi="Times New Roman" w:cs="Times New Roman"/>
          <w:lang w:val="pt-BR"/>
        </w:rPr>
        <w:t xml:space="preserve"> </w:t>
      </w:r>
      <w:r>
        <w:rPr>
          <w:rFonts w:hint="default" w:ascii="Times New Roman" w:hAnsi="Times New Roman" w:cs="Times New Roman"/>
        </w:rPr>
        <w:t xml:space="preserve"> e assegura uma amostra substancialmente superior à literatura prévia de biomecânica em </w:t>
      </w:r>
      <w:r>
        <w:rPr>
          <w:rFonts w:hint="default" w:ascii="Times New Roman" w:hAnsi="Times New Roman" w:cs="Times New Roman"/>
          <w:i/>
          <w:iCs/>
        </w:rPr>
        <w:t>HS</w:t>
      </w:r>
      <w:r>
        <w:rPr>
          <w:rFonts w:hint="default" w:ascii="Times New Roman" w:hAnsi="Times New Roman" w:cs="Times New Roman"/>
        </w:rPr>
        <w:t>, caracterizada predominantemente por amostras reduzidas e restritas a populações homogêneas</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{"citationID":"BYixKyMI","properties":{"unsorted":false,"formattedCitation":"[15]","plainCitation":"[15]","noteIndex":0},"citationItems":[{"id":303,"uris":["http://zotero.org/users/17274952/items/GMN3DDXM"],"itemData":{"id":303,"type":"article-journal","abstract":"Purpose: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t>.</w:t>
      </w:r>
    </w:p>
    <w:p w14:paraId="205AB1AA">
      <w:pPr>
        <w:spacing w:line="360" w:lineRule="auto"/>
        <w:rPr>
          <w:rFonts w:hint="default" w:ascii="Times New Roman" w:hAnsi="Times New Roman" w:eastAsia="Times New Roman" w:cs="Times New Roman"/>
          <w:lang w:val="pt-BR"/>
        </w:rPr>
      </w:pPr>
      <w:r>
        <w:rPr>
          <w:rFonts w:hint="default" w:ascii="Times New Roman" w:hAnsi="Times New Roman" w:eastAsia="Times New Roman" w:cs="Times New Roman"/>
        </w:rPr>
        <w:t>3.</w:t>
      </w:r>
      <w:r>
        <w:rPr>
          <w:rFonts w:hint="default" w:ascii="Times New Roman" w:hAnsi="Times New Roman" w:eastAsia="Times New Roman" w:cs="Times New Roman"/>
          <w:lang w:val="pt-BR"/>
        </w:rPr>
        <w:t>4</w:t>
      </w:r>
      <w:r>
        <w:rPr>
          <w:rFonts w:hint="default" w:ascii="Times New Roman" w:hAnsi="Times New Roman" w:eastAsia="Times New Roman" w:cs="Times New Roman"/>
        </w:rPr>
        <w:t xml:space="preserve"> Procedimentos</w:t>
      </w:r>
      <w:r>
        <w:rPr>
          <w:rFonts w:hint="default" w:ascii="Times New Roman" w:hAnsi="Times New Roman" w:eastAsia="Times New Roman" w:cs="Times New Roman"/>
          <w:lang w:val="pt-BR"/>
        </w:rPr>
        <w:t xml:space="preserve"> Experimentais</w:t>
      </w:r>
    </w:p>
    <w:p w14:paraId="525E84F3">
      <w:pPr>
        <w:widowControl w:val="0"/>
        <w:spacing w:line="360" w:lineRule="auto"/>
        <w:rPr>
          <w:rFonts w:hint="default" w:ascii="Times New Roman" w:hAnsi="Times New Roman" w:eastAsia="Times New Roman" w:cs="Times New Roman"/>
          <w:u w:val="none"/>
        </w:rPr>
      </w:pPr>
      <w:r>
        <w:rPr>
          <w:rFonts w:hint="default" w:ascii="Times New Roman" w:hAnsi="Times New Roman" w:eastAsia="Times New Roman" w:cs="Times New Roman"/>
          <w:u w:val="none"/>
          <w:lang w:val="pt-BR"/>
        </w:rPr>
        <w:t xml:space="preserve">3.4.1 </w:t>
      </w:r>
      <w:r>
        <w:rPr>
          <w:rFonts w:hint="default" w:ascii="Times New Roman" w:hAnsi="Times New Roman" w:eastAsia="Times New Roman" w:cs="Times New Roman"/>
          <w:u w:val="none"/>
        </w:rPr>
        <w:t>Sessão 1 - Avaliação de Variáveis de Força e Composição Corporal</w:t>
      </w:r>
    </w:p>
    <w:p w14:paraId="1EC31854">
      <w:pPr>
        <w:pStyle w:val="11"/>
        <w:spacing w:before="0" w:beforeAutospacing="0" w:after="0" w:afterAutospacing="0" w:line="360" w:lineRule="auto"/>
        <w:ind w:firstLine="708"/>
        <w:jc w:val="both"/>
        <w:rPr>
          <w:rFonts w:hint="default" w:ascii="Times New Roman" w:hAnsi="Times New Roman" w:cs="Times New Roman"/>
          <w:lang w:val="pt-BR"/>
        </w:rPr>
      </w:pPr>
      <w:r>
        <w:rPr>
          <w:rFonts w:hint="default" w:ascii="Times New Roman" w:hAnsi="Times New Roman" w:cs="Times New Roman"/>
        </w:rPr>
        <w:t>A primeira sessão de testes será realizada nas dependências do Laboratório de Cineantropometria e Desempenho Humano (LaCiDH) da EEFERP-USP. A ordem de aplicação dos testes a seguir, foi estruturada segundo as diretrizes da literatura científica para mitigar a interferência cumulativa da fadiga neuromuscular sobre as capacidades de produção de força máxima e preservar a validade interna das medidas</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{"citationID":"avlK7lu0","properties":{"unsorted":false,"formattedCitation":"[46], [47]","plainCitation":"[46], [47]","noteIndex":0},"citationItems":[{"id":311,"uris":["http://zotero.org/users/17274952/items/JSG8TTN4"],"itemData":{"id":311,"type":"book","abstract":"\"ACSM's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[46], [47]</w:t>
      </w:r>
      <w:r>
        <w:rPr>
          <w:rFonts w:hint="default" w:ascii="Times New Roman" w:hAnsi="Times New Roman" w:cs="Times New Roman"/>
          <w:lang w:val="pt-BR"/>
        </w:rPr>
        <w:fldChar w:fldCharType="end"/>
      </w:r>
      <w:r>
        <w:rPr>
          <w:rFonts w:hint="default" w:ascii="Times New Roman" w:hAnsi="Times New Roman" w:cs="Times New Roman"/>
          <w:lang w:val="pt-BR"/>
        </w:rPr>
        <w:t>.</w:t>
      </w:r>
    </w:p>
    <w:p w14:paraId="3C4FDAFE">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rPr>
        <w:t>a) Composição Corporal por Bioimpedância Elétrica (BIA)</w:t>
      </w:r>
    </w:p>
    <w:p w14:paraId="2796D672">
      <w:pPr>
        <w:pStyle w:val="11"/>
        <w:spacing w:before="0" w:beforeAutospacing="0" w:after="0" w:afterAutospacing="0" w:line="360" w:lineRule="auto"/>
        <w:ind w:firstLine="708" w:firstLineChars="0"/>
        <w:jc w:val="both"/>
        <w:rPr>
          <w:rFonts w:hint="default" w:ascii="Times New Roman" w:hAnsi="Times New Roman" w:cs="Times New Roman"/>
        </w:rPr>
      </w:pPr>
      <w:r>
        <w:rPr>
          <w:rFonts w:hint="default" w:ascii="Times New Roman" w:hAnsi="Times New Roman" w:cs="Times New Roman"/>
        </w:rPr>
        <w:t>A composição corporal (percentual de gordura corporal, massa livre de gordura e ângulo de fase) será avaliada por meio de um analisador de bioimpedância elétrica tetrapolar (Sanny®, modelo BIA1011AF, American Medical do Brasil, São Bernardo do Campo, SP, Brasil; Reg. ANVISA nº 81540240002). Este método não invasivo e indolor estima a composição corporal através da oposição dos tecidos biológicos (resistência e reatância) à passagem de uma corrente elétrica alternada de baixa intensidade e alta frequência (50 kHz, 800 µA), permitindo a determinação do ângulo de fase e apresentando forte correlação validada com o padrão-ouro de absorciometria de raios-X de dupla energia (DEXA) e equações específicas validadas para a população brasileira</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{"citationID":"0oN44gWa","properties":{"unsorted":false,"formattedCitation":"[48], [49]","plainCitation":"[48], [49]","noteIndex":0},"citationItems":[{"id":442,"uris":["http://zotero.org/users/17274952/items/RFK7DA44"],"itemData":{"id":442,"type":"article-journal","container-title":"Clinical Nutrition","DOI":"10.1016/j.clnu.2004.06.004","ISSN":"02615614","issue":"5","journalAbbreviation":"Clinical Nutrition","language":"en","license":"https://www.elsevier.com/tdm/userlicense/1.0/","page":"1226-1243","source":"DOI.org (Crossref)","title":"Bioelectrical impedance analysis?part I: review of principles and methods","title-short":"Bioelectrical impedance analysis?","volume":"23","author":[{"family":"Kyle","given":"U"}],"issued":{"date-parts":[["2004",10]]}}},{"id":443,"uris":["http://zotero.org/users/17274952/items/URWUP22Z"],"itemData":{"id":443,"type":"article-journal","abstract":"This study was conducted to validate the relationship between bioelectrical conductance (ht2/R) and densitometrically determined fat-free mass, and to compare the prediction errors of body fatness derived from the tetrapolar impedance method and skinfold thicknesses, relative to hydrodensitometry. One-hundred and fourteen male and female subjects, aged 18–50 yr, with a wide range of fat-free mass (34–96 kg) and percent body fat (4–41%), participated. For males, densitometrically determined fat-free mass was correlated highly (r = 0.979), with fat-free mass predicted from tetrapolar conductance measures using an equation developed for males in a previous study. For females, the correlation between measured fat-free mass and values predicted from the combined (previous and present male data) equation for men also was strong (r = 0.954). The regression coefficients in the male and female regression equations were not significantly different. Relative to hydrodensitometry, the impedance method had a lower predictive error or standard error of the estimates of estimating body fatness than did a standard anthropometric technique (2.7 vs. 3.9%). Therefore this study establishes the validity and reliability of the tetrapolar impedance method for use in assessment of body composition in healthy humans.","container-title":"Journal of Applied Physiology","DOI":"10.1152/jappl.1986.60.4.1327","ISSN":"8750-7587, 1522-1601","issue":"4","journalAbbreviation":"Journal of Applied Physiology","language":"en","page":"1327-1332","source":"DOI.org (Crossref)","title":"Validation of tetrapolar bioelectrical impedance method to assess human body composition","volume":"60","author":[{"family":"Lukaski","given":"H. C."},{"family":"Bolonchuk","given":"W. W."},{"family":"Hall","given":"C. B."},{"family":"Siders","given":"W. A."}],"issued":{"date-parts":[["1986",4,1]]}}}],"schema":"https://github.com/citation-style-language/schema/raw/master/csl-citation.json"}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[48], [49]</w:t>
      </w:r>
      <w:r>
        <w:rPr>
          <w:rFonts w:hint="default" w:ascii="Times New Roman" w:hAnsi="Times New Roman" w:cs="Times New Roman"/>
          <w:lang w:val="pt-BR"/>
        </w:rPr>
        <w:fldChar w:fldCharType="end"/>
      </w:r>
      <w:r>
        <w:rPr>
          <w:rFonts w:hint="default" w:ascii="Times New Roman" w:hAnsi="Times New Roman" w:cs="Times New Roman"/>
        </w:rPr>
        <w:t>. Para a estimativa da massa livre de gordura e percentual de gordura corporal, será padronizada a equação preditiva desenvolvida por Sun et al. (2003)</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{"citationID":"ZhKoA3QW","properties":{"unsorted":false,"formattedCitation":"[72]","plainCitation":"[72]","noteIndex":0},"citationItems":[{"id":453,"uris":["http://zotero.org/users/17274952/items/U3HW93FD"],"itemData":{"id":453,"type":"article-journal","container-title":"The American Journal of Clinical Nutrition","DOI":"10.1093/ajcn/77.2.331","ISSN":"00029165","issue":"2","journalAbbreviation":"The American Journal of Clinical Nutrition","language":"en","page":"331-340","source":"DOI.org (Crossref)","title":"Development of bioelectrical impedance analysis prediction equations for body composition with the use of a multicomponent model for use in epidemiologic surveys","volume":"77","author":[{"family":"Sun","given":"Shumei S"},{"family":"Chumlea","given":"W Cameron"},{"family":"Heymsfield","given":"Steven B"},{"family":"Lukaski","given":"Henry C"},{"family":"Schoeller","given":"Dale"},{"family":"Friedl","given":"Karl"},{"family":"Kuczmarski","given":"Robert J"},{"family":"Flegal","given":"Katherine M"},{"family":"Johnson","given":"Clifford L"},{"family":"Hubbard","given":"Van S"}],"issued":{"date-parts":[["2003",2]]}}}],"schema":"https://github.com/citation-style-language/schema/raw/master/csl-citation.json"}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[72]</w:t>
      </w:r>
      <w:r>
        <w:rPr>
          <w:rFonts w:hint="default" w:ascii="Times New Roman" w:hAnsi="Times New Roman" w:cs="Times New Roman"/>
          <w:lang w:val="pt-BR"/>
        </w:rPr>
        <w:fldChar w:fldCharType="end"/>
      </w:r>
      <w:r>
        <w:rPr>
          <w:rFonts w:hint="default" w:ascii="Times New Roman" w:hAnsi="Times New Roman" w:cs="Times New Roman"/>
        </w:rPr>
        <w:t>, calibrada a partir de um modelo multicompartimental (4C: hidrodensitometria, diluição com deutério e DEXA). Diferentemente de equações populacionais empíricas que penalizam o peso corporal total elevado pelo IMC, a equação de Sun prioriza o índice de condutividade elétrica e volume tecidual (Estatura</w:t>
      </w:r>
      <w:r>
        <w:rPr>
          <w:rFonts w:hint="default" w:ascii="Times New Roman" w:hAnsi="Times New Roman" w:cs="Times New Roman"/>
          <w:lang w:val="pt-BR"/>
        </w:rPr>
        <w:t>2</w:t>
      </w:r>
      <w:r>
        <w:rPr>
          <w:rFonts w:hint="default" w:ascii="Times New Roman" w:hAnsi="Times New Roman" w:cs="Times New Roman"/>
        </w:rPr>
        <w:t>/Resist</w:t>
      </w:r>
      <w:r>
        <w:rPr>
          <w:rFonts w:hint="default" w:ascii="Times New Roman" w:hAnsi="Times New Roman" w:cs="Times New Roman"/>
          <w:lang w:val="pt-BR"/>
        </w:rPr>
        <w:t>ê</w:t>
      </w:r>
      <w:r>
        <w:rPr>
          <w:rFonts w:hint="default" w:ascii="Times New Roman" w:hAnsi="Times New Roman" w:cs="Times New Roman"/>
        </w:rPr>
        <w:t>ncia), apresentando elevada acurácia para populações ativas e com maior densidade musculoesquelética de membros superiores e tronco, evitando a superestimação de adiposidade</w:t>
      </w:r>
      <w:r>
        <w:rPr>
          <w:rFonts w:hint="default" w:ascii="Times New Roman" w:hAnsi="Times New Roman" w:cs="Times New Roman"/>
          <w:lang w:val="pt-BR"/>
        </w:rPr>
        <w:t xml:space="preserve">.  </w:t>
      </w:r>
      <w:r>
        <w:rPr>
          <w:rFonts w:hint="default" w:cs="Times New Roman"/>
          <w:lang w:val="pt-BR"/>
        </w:rPr>
        <w:t>A</w:t>
      </w:r>
      <w:r>
        <w:rPr>
          <w:rFonts w:hint="default" w:ascii="Times New Roman" w:hAnsi="Times New Roman" w:cs="Times New Roman"/>
        </w:rPr>
        <w:t xml:space="preserve"> avaliação será conduzida com o participante em decúbito dorsal sobre uma maca isolada não condutora, com membros superiores abduzidos a 30° em relação ao tronco e membros inferiores afastados a 45° entre si, após um período prévio de repouso passivo de 5 minutos para estabilização e redistribuição homogênea dos fluidos corporais. Serão afixados quatro eletrodos adesivos descartáveis de prata/cloreto de prata (Ag/AgCl) na superfície dorsal da mão e do pé direitos, respeitando a distância padrão de 5 cm entre os eletrodos sensores e injetores, após assepsia local com álcool a 70%. O participante será avaliado antes de qualquer esforço físico, seguindo rigorosamente os protocolos pré-teste padronizados: jejum prévio de 4 horas, ausência de consumo de bebidas alcoólicas ou cafeinadas nas 24 horas antecedentes e esvaziamento vesical imediato antes da medida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pl41XISY","properties":{"unsorted":false,"formattedCitation":"[48]","plainCitation":"[48]","noteIndex":0},"citationItems":[{"id":442,"uris":["http://zotero.org/users/17274952/items/RFK7DA44"],"itemData":{"id":442,"type":"article-journal","container-title":"Clinical Nutrition","DOI":"10.1016/j.clnu.2004.06.004","ISSN":"02615614","issue":"5","journalAbbreviation":"Clinical Nutrition","language":"en","license":"https://www.elsevier.com/tdm/userlicense/1.0/","page":"1226-1243","source":"DOI.org (Crossref)","title":"Bioelectrical impedance analysis?part I: review of principles and methods","title-short":"Bioelectrical impedance analysis?","volume":"23","author":[{"family":"Kyle","given":"U"}],"issued":{"date-parts":[["2004",10]]}}}],"schema":"https://github.com/citation-style-language/schema/raw/master/csl-citation.json"}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[48]</w:t>
      </w:r>
      <w:r>
        <w:rPr>
          <w:rFonts w:hint="default" w:ascii="Times New Roman" w:hAnsi="Times New Roman" w:cs="Times New Roman"/>
        </w:rPr>
        <w:fldChar w:fldCharType="end"/>
      </w:r>
      <w:r>
        <w:rPr>
          <w:rFonts w:hint="default" w:ascii="Times New Roman" w:hAnsi="Times New Roman" w:cs="Times New Roman"/>
        </w:rPr>
        <w:t>.</w:t>
      </w:r>
    </w:p>
    <w:p w14:paraId="014F066F">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rPr>
        <w:t>b) Avaliação da Força de Preensão Manual (FPM)</w:t>
      </w:r>
    </w:p>
    <w:p w14:paraId="273EA8E8">
      <w:pPr>
        <w:pStyle w:val="11"/>
        <w:spacing w:before="0" w:beforeAutospacing="0" w:after="0" w:afterAutospacing="0" w:line="360" w:lineRule="auto"/>
        <w:ind w:firstLine="360"/>
        <w:jc w:val="both"/>
        <w:rPr>
          <w:rFonts w:hint="default" w:ascii="Times New Roman" w:hAnsi="Times New Roman" w:cs="Times New Roman"/>
        </w:rPr>
      </w:pPr>
      <w:r>
        <w:rPr>
          <w:rFonts w:hint="default" w:ascii="Times New Roman" w:hAnsi="Times New Roman" w:cs="Times New Roman"/>
        </w:rPr>
        <w:t xml:space="preserve">As avaliações serão feitas bilateralmente (membro dominante e não-dominante) por meio de um dinamômetro hidráulico portátil devidamente calibrado (Saehan Corporation, modelo SH5001, Changwon, Coreia do Sul), equipamento com validade concorrente e reprodutibilidade equivalente ao modelo Jamar®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{"citationID":"RCHSxARg","properties":{"unsorted":false,"formattedCitation":"[50], [51]","plainCitation":"[50], [51]","noteIndex":0},"citationItems":[{"id":10,"uris":["http://zotero.org/users/17274952/items/2MPKBVK5"],"itemData":{"id":10,"type":"article-journal","abstract":"Abstract\n            This study compared the Jamar and Rolyan hydraulic dynamometers to determine their concurrent validity with known weights as well as their inter‐instrument reliability and concurrent validity for measuring grip strength in a clinical setting. Thirty females and 30 males were tested on these two grip strength measurement devices using a repeated measure design. Results showed that the Jamar and Rolyan dynamometers have acceptable concurrent validity with known weights (that is, correlation coefficients were r ≥ 0.9994), excellent inter‐instrument reliability (that is, intraclass correlation coefficients ranged from 0.90 to 0.97) and strong concurrent validity (that is, no significant differences between dynamometers' scores). Data indicate that Jamar and Rolyan dynamometers measure grip strength equivalently and can be used interchangeably. Thus, therapists using the Rolyan dynamometer are justified in using published normative data, which were collected with the Jamar dynamometer. Copyright © 2002 Whurr Publishers Ltd.","container-title":"Occupational Therapy International","DOI":"10.1002/oti.165","ISSN":"0966-7903, 1557-0703","issue":"3","journalAbbreviation":"Occupation Therapy Intl","language":"en","license":"http://onlinelibrary.wiley.com/termsAndConditions#vor","page":"201-209","source":"DOI.org (Crossref)","title":"Comparison of Rolyan and Jamar dynamometers for measuring grip strength","volume":"9","author":[{"family":"Mathiowetz","given":"Virgil"}],"issued":{"date-parts":[["2002",8]]}}},{"id":11,"uris":["http://zotero.org/users/17274952/items/PMVQP5WP"],"itemData":{"id":11,"type":"article-journal","abstract":"Existe uma grande variedade de instrumentos utilizados para a avaliação da força de preensão manual. Porém, não existem estudos demonstrando a validade e a confiabilidade da maioria destes instrumentos. O objetivo deste estudo foi avaliar a validade concorrente e a confiabilidade intraexaminador do dinamômetro Saehan hidráulico comparado-o com o dinamômetro Jamar hidráulico. Cem indivíduos sadios (50 homens e 50 mulheres), entre 20 e 50 anos de idade, sem alterações cognitivas, deficiências físicas, disfunções neuromusculares e ortopédicas e história de lesões nos membros superiores, foram testados com os dinamômetros Jamar e Saehan. A validade concorrente entre o dinamômetro Jamar e o dinamômetro Saehan foi excelente para os testes de força de preensão realizados com as mãos direita (r=0,976) e esquerda (r=0,986). A confiabilidade intra-examinador foi excelente tanto para o dinamômetro Jamar (r=0,985 mãos direita e esquerda) quanto para o dinamômetro Saehan (r=0,981 mão direita e r=0,985 mão esquerda). O dinamômetro Saehan é válido, confiável e comparável com o dinamômetro Jamar. Portanto, dados coletados com o dinamômetro Jamar são equivalentes aos dados coletados com o dinamômetro Saehan. Consequentemente, valores de força obtidos por testes com dinamômetro Saehan podem ser comparados com valores de referência de força de preensão que foram obtidos com o dinamômetro Jamar.\n          , \n            There is a great variety of instruments available for evaluating hand grip strength. There is, however, a lack of studies showing the validity and reliability of most of these instruments. The purpose of this study was to examine the concurrent validity and test-retest reliability of the hydraulic Saehan dynamometer using the hydraulic Jamar dynamometer. One hundred healthy subjects (50 men and 50 women), between the ages of 20 and 50 years old, without cognitive impairment, physical disability, neuromuscular or orthopedic dysfunction, and history of upper extremity injuries were tested with the Jamar and Saehan dynamometers. The concurrent validity between the Jamar and the Saehan dynamometers was excellent for both the right hand (r=0.976) and the left hand (r=0.986). Test-retest reliability was excellent for both the Jamar (r=0.985 right and left hands) and the Saehan (r=0.981 right hand and r=0.985 left hand). The Saehan dynamometer is valid, reliable and comparable to the Jamar dynamometer. Therefore, the Jamar and Saehan dynamometers measure handgrip strength equivalently. As a result, strength values obtained with the Saehan dynamometer can be compared with reference values which were collected with the Jamar dynamometer.","container-title":"Fisioterapia e Pesquisa","DOI":"10.1590/S1809-29502011000200013","ISSN":"1809-2950","issue":"2","journalAbbreviation":"Fisioter. Pesqui.","page":"176-181","source":"DOI.org (Crossref)","title":"Medida da força de preensão manual- validade e confiabilidade do dinamômetro saehan","volume":"18","author":[{"family":"Reis","given":"Maurício Moreira"},{"family":"Arantes","given":"Paula Maria Machado"}],"issued":{"date-parts":[["2011",6]]}}}],"schema":"https://github.com/citation-style-language/schema/raw/master/csl-citation.json"}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[50], [51]</w:t>
      </w:r>
      <w:r>
        <w:rPr>
          <w:rFonts w:hint="default" w:ascii="Times New Roman" w:hAnsi="Times New Roman" w:cs="Times New Roman"/>
        </w:rPr>
        <w:fldChar w:fldCharType="end"/>
      </w:r>
      <w:r>
        <w:rPr>
          <w:rFonts w:hint="default" w:ascii="Times New Roman" w:hAnsi="Times New Roman" w:cs="Times New Roman"/>
        </w:rPr>
        <w:t xml:space="preserve">. O participante permanecerá sentado em cadeira sem braços, com coluna ereta, pés apoiados no solo, ombro aduzido em rotação neutra, cotovelo fletido a 90° e antebraço em posição neutra sem repouso sobre superfícies, seguindo a diretriz padronizada da </w:t>
      </w:r>
      <w:r>
        <w:rPr>
          <w:rFonts w:hint="default" w:ascii="Times New Roman" w:hAnsi="Times New Roman" w:cs="Times New Roman"/>
          <w:i/>
          <w:iCs/>
        </w:rPr>
        <w:t>American Society of Hand Therapists</w:t>
      </w:r>
      <w:r>
        <w:rPr>
          <w:rFonts w:hint="default" w:ascii="Times New Roman" w:hAnsi="Times New Roman" w:cs="Times New Roman"/>
        </w:rPr>
        <w:t xml:space="preserve"> (ASHT)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{"citationID":"lTDhzuNi","properties":{"unsorted":false,"formattedCitation":"[50], [52]","plainCitation":"[50], [52]","noteIndex":0},"citationItems":[{"id":10,"uris":["http://zotero.org/users/17274952/items/2MPKBVK5"],"itemData":{"id":10,"type":"article-journal","abstract":"Abstract\n            This study compared the Jamar and Rolyan hydraulic dynamometers to determine their concurrent validity with known weights as well as their inter‐instrument reliability and concurrent validity for measuring grip strength in a clinical setting. Thirty females and 30 males were tested on these two grip strength measurement devices using a repeated measure design. Results showed that the Jamar and Rolyan dynamometers have acceptable concurrent validity with known weights (that is, correlation coefficients were r ≥ 0.9994), excellent inter‐instrument reliability (that is, intraclass correlation coefficients ranged from 0.90 to 0.97) and strong concurrent validity (that is, no significant differences between dynamometers' scores). Data indicate that Jamar and Rolyan dynamometers measure grip strength equivalently and can be used interchangeably. Thus, therapists using the Rolyan dynamometer are justified in using published normative data, which were collected with the Jamar dynamometer. Copyright © 2002 Whurr Publishers Ltd.","container-title":"Occupational Therapy International","DOI":"10.1002/oti.165","ISSN":"0966-7903, 1557-0703","issue":"3","journalAbbreviation":"Occupation Therapy Intl","language":"en","license":"http://onlinelibrary.wiley.com/termsAndConditions#vor","page":"201-209","source":"DOI.org (Crossref)","title":"Comparison of Rolyan and Jamar dynamometers for measuring grip strength","volume":"9","author":[{"family":"Mathiowetz","given":"Virgil"}],"issued":{"date-parts":[["2002",8]]}}},{"id":308,"uris":["http://zotero.org/users/17274952/items/6363HPGD"],"itemData":{"id":308,"type":"article-journal","container-title":"Age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[50], [52]</w:t>
      </w:r>
      <w:r>
        <w:rPr>
          <w:rFonts w:hint="default" w:ascii="Times New Roman" w:hAnsi="Times New Roman" w:cs="Times New Roman"/>
        </w:rPr>
        <w:fldChar w:fldCharType="end"/>
      </w:r>
      <w:r>
        <w:rPr>
          <w:rFonts w:hint="default" w:ascii="Times New Roman" w:hAnsi="Times New Roman" w:cs="Times New Roman"/>
        </w:rPr>
        <w:t xml:space="preserve">. A manopla móvel será ajustada na 2ª posição padrão (cerca de 4,7 cm de abertura). O voluntário realizará três contrações voluntárias máximas de 3 a 5 segundos com estímulo verbal padronizado, respeitando um intervalo de 60 segundos de recuperação entre as tentativas no mesmo membro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{"citationID":"sBVeGGZo","properties":{"unsorted":false,"formattedCitation":"[52]","plainCitation":"[52]","noteIndex":0},"citationItems":[{"id":308,"uris":["http://zotero.org/users/17274952/items/6363HPGD"],"itemData":{"id":308,"type":"article-journal","container-title":"Age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[52]</w:t>
      </w:r>
      <w:r>
        <w:rPr>
          <w:rFonts w:hint="default" w:ascii="Times New Roman" w:hAnsi="Times New Roman" w:cs="Times New Roman"/>
        </w:rPr>
        <w:fldChar w:fldCharType="end"/>
      </w:r>
      <w:r>
        <w:rPr>
          <w:rFonts w:hint="default" w:ascii="Times New Roman" w:hAnsi="Times New Roman" w:cs="Times New Roman"/>
        </w:rPr>
        <w:t>. O maior valor de pico obtido em cada membro será registrado em quilogramas-força (</w:t>
      </w:r>
      <w:r>
        <w:rPr>
          <w:rFonts w:hint="default" w:ascii="Times New Roman" w:hAnsi="Times New Roman" w:cs="Times New Roman"/>
          <w:lang w:val="pt-BR"/>
        </w:rPr>
        <w:t>K</w:t>
      </w:r>
      <w:r>
        <w:rPr>
          <w:rFonts w:hint="default" w:ascii="Times New Roman" w:hAnsi="Times New Roman" w:cs="Times New Roman"/>
        </w:rPr>
        <w:t>gf) e posteriormente normalizado pela massa corporal total (</w:t>
      </w:r>
      <w:r>
        <w:rPr>
          <w:rFonts w:hint="default" w:ascii="Times New Roman" w:hAnsi="Times New Roman" w:cs="Times New Roman"/>
          <w:lang w:val="pt-BR"/>
        </w:rPr>
        <w:t>K</w:t>
      </w:r>
      <w:r>
        <w:rPr>
          <w:rFonts w:hint="default" w:ascii="Times New Roman" w:hAnsi="Times New Roman" w:cs="Times New Roman"/>
        </w:rPr>
        <w:t>gf/</w:t>
      </w:r>
      <w:r>
        <w:rPr>
          <w:rFonts w:hint="default" w:ascii="Times New Roman" w:hAnsi="Times New Roman" w:cs="Times New Roman"/>
          <w:lang w:val="pt-BR"/>
        </w:rPr>
        <w:t>K</w:t>
      </w:r>
      <w:r>
        <w:rPr>
          <w:rFonts w:hint="default" w:ascii="Times New Roman" w:hAnsi="Times New Roman" w:cs="Times New Roman"/>
        </w:rPr>
        <w:t>g)</w:t>
      </w:r>
      <w:r>
        <w:rPr>
          <w:rFonts w:hint="default" w:ascii="Times New Roman" w:hAnsi="Times New Roman" w:cs="Times New Roman"/>
          <w:lang w:val="pt-BR"/>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{"citationID":"viSBB8Rj","properties":{"unsorted":false,"formattedCitation":"[53]","plainCitation":"[53]","noteIndex":0},"citationItems":[{"id":9,"uris":["http://zotero.org/users/17274952/items/PRWFRTC3"],"itemData":{"id":9,"type":"article-journal","container-title":"Sports Medicine","DOI":"10.2165/00007256-200232100-00002","ISSN":"0112-1642","issue":"10","journalAbbreviation":"Sports Medicine","language":"en","page":"615-631","source":"DOI.org (Crossref)","title":"Muscle Strength Testing: Use of Normalisation for Body Size","title-short":"Muscle Strength Testing","volume":"32","author":[{"family":"Jaric","given":"Slobodan"}],"issued":{"date-parts":[["2002"]]}}}],"schema":"https://github.com/citation-style-language/schema/raw/master/csl-citation.json"}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[53]</w:t>
      </w:r>
      <w:r>
        <w:rPr>
          <w:rFonts w:hint="default" w:ascii="Times New Roman" w:hAnsi="Times New Roman" w:cs="Times New Roman"/>
        </w:rPr>
        <w:fldChar w:fldCharType="end"/>
      </w:r>
      <w:r>
        <w:rPr>
          <w:rFonts w:hint="default" w:ascii="Times New Roman" w:hAnsi="Times New Roman" w:cs="Times New Roman"/>
        </w:rPr>
        <w:t xml:space="preserve">. </w:t>
      </w:r>
    </w:p>
    <w:p w14:paraId="1E58B391">
      <w:pPr>
        <w:pStyle w:val="11"/>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 Pico de Torque Isométrico dos Flexores de Punho (FFP)</w:t>
      </w:r>
    </w:p>
    <w:p w14:paraId="7581F6A6">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As avaliações serão feitas bilateralmente (membro dominante e não-dominante) por meio de um dinamômetro isocinético/isométrico (Biodex Multi-Joint System PRO, Biodex Medical Systems, Shirley, NY, EUA). O participante sentará na cadeira com o encosto ajustado a 85°, tronco estabilizado por cintos cruzados peitorais e pélvico. O antebraço do membro testado será posicionado em uma calha de suporte acolchoada (</w:t>
      </w:r>
      <w:r>
        <w:rPr>
          <w:rFonts w:hint="default" w:ascii="Times New Roman" w:hAnsi="Times New Roman" w:cs="Times New Roman"/>
          <w:i/>
          <w:iCs/>
        </w:rPr>
        <w:t>Limb-Support Pad</w:t>
      </w:r>
      <w:r>
        <w:rPr>
          <w:rFonts w:hint="default" w:ascii="Times New Roman" w:hAnsi="Times New Roman" w:cs="Times New Roman"/>
        </w:rPr>
        <w:t>) e rigidamente imobilizado por cintas inelásticas de velcro (com cotovelo a 90° e antebraço pronado) para eliminar a contribuição dos flexores de cotovelo e músculos do ombro. O eixo de rotação mecânico do dinamômetro será alinhado ao eixo anatômico da articulação radiocárpica (linha bissecante entre os processos estiloides do rádio e da ulna, na altura do osso capitato). A alavanca (</w:t>
      </w:r>
      <w:r>
        <w:rPr>
          <w:rFonts w:hint="default" w:ascii="Times New Roman" w:hAnsi="Times New Roman" w:cs="Times New Roman"/>
          <w:i/>
          <w:iCs/>
        </w:rPr>
        <w:t>wrist attachment</w:t>
      </w:r>
      <w:r>
        <w:rPr>
          <w:rFonts w:hint="default" w:ascii="Times New Roman" w:hAnsi="Times New Roman" w:cs="Times New Roman"/>
        </w:rPr>
        <w:t xml:space="preserve">) será travada no modo isométrico no ângulo articular de </w:t>
      </w:r>
      <w:r>
        <w:rPr>
          <w:rFonts w:hint="default" w:ascii="Times New Roman" w:hAnsi="Times New Roman" w:cs="Times New Roman"/>
          <w:highlight w:val="none"/>
        </w:rPr>
        <w:t xml:space="preserve">70° de extensão de punho, </w:t>
      </w:r>
      <w:r>
        <w:rPr>
          <w:rFonts w:hint="default" w:ascii="Times New Roman" w:hAnsi="Times New Roman" w:cs="Times New Roman"/>
        </w:rPr>
        <w:t>simulando com alta especificidade a angulação funcional de suporte e a atuação da estratégia de punho (</w:t>
      </w:r>
      <w:r>
        <w:rPr>
          <w:rFonts w:hint="default" w:ascii="Times New Roman" w:hAnsi="Times New Roman" w:cs="Times New Roman"/>
          <w:i/>
          <w:iCs/>
        </w:rPr>
        <w:t>wrist strategy</w:t>
      </w:r>
      <w:r>
        <w:rPr>
          <w:rFonts w:hint="default" w:ascii="Times New Roman" w:hAnsi="Times New Roman" w:cs="Times New Roman"/>
        </w:rPr>
        <w:t xml:space="preserve">) durante o </w:t>
      </w:r>
      <w:r>
        <w:rPr>
          <w:rFonts w:hint="default" w:ascii="Times New Roman" w:hAnsi="Times New Roman" w:cs="Times New Roman"/>
          <w:i/>
          <w:iCs/>
          <w:lang w:val="pt-BR"/>
        </w:rPr>
        <w:t xml:space="preserve">HS </w:t>
      </w:r>
      <w:r>
        <w:rPr>
          <w:rFonts w:hint="default" w:ascii="Times New Roman" w:hAnsi="Times New Roman" w:cs="Times New Roman"/>
          <w:i w:val="0"/>
          <w:iCs w:val="0"/>
          <w:lang w:val="pt-BR"/>
        </w:rPr>
        <w:fldChar w:fldCharType="begin"/>
      </w:r>
      <w:r>
        <w:rPr>
          <w:rFonts w:hint="default" w:ascii="Times New Roman" w:hAnsi="Times New Roman" w:cs="Times New Roman"/>
          <w:i w:val="0"/>
          <w:iCs w:val="0"/>
          <w:lang w:val="pt-BR"/>
        </w:rPr>
        <w:instrText xml:space="preserve"> ADDIN ZOTERO_ITEM CSL_CITATION {"citationID":"5xg4t7kb","properties":{"unsorted":false,"formattedCitation":"[3], [9], [54]","plainCitation":"[3], [9], [54]","noteIndex":0},"citationItems":[{"id":336,"uris":["http://zotero.org/users/17274952/items/P82NI7IB"],"itemData":{"id":336,"type":"article-journal","abstract":"KERWIN,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G."},{"family":"Trewartha","given":"Grant"}],"issued":{"date-parts":[["2001",7]]}}},{"id":8,"uris":["http://zotero.org/users/17274952/items/YSSQK76Z"],"itemData":{"id":8,"type":"article-journal","container-title":"Journal of Electromyography and Kinesiology","DOI":"10.1016/S1050-6411(97)00025-4","ISSN":"10506411","issue":"2","journalAbbreviation":"Journal of Electromyography and Kinesiology","language":"en","license":"https://www.elsevier.com/tdm/userlicense/1.0/","page":"93-100","source":"DOI.org (Crossref)","title":"Musculoskeletal balance of the human wrist elucidated using intraoperative laser diffraction","volume":"8","author":[{"family":"Lieber","given":"Richard L"},{"family":"Fridén","given":"Jan"}],"issued":{"date-parts":[["1998",4]]}}},{"id":299,"uris":["http://zotero.org/users/17274952/items/EJ28IYIX"],"itemData":{"id":299,"type":"article-journal","abstract":"In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hint="default" w:ascii="Times New Roman" w:hAnsi="Times New Roman" w:cs="Times New Roman"/>
          <w:i w:val="0"/>
          <w:iCs w:val="0"/>
          <w:lang w:val="pt-BR"/>
        </w:rPr>
        <w:fldChar w:fldCharType="separate"/>
      </w:r>
      <w:r>
        <w:rPr>
          <w:rFonts w:hint="default" w:ascii="Times New Roman" w:hAnsi="Times New Roman" w:cs="Times New Roman"/>
          <w:i w:val="0"/>
          <w:iCs w:val="0"/>
          <w:lang w:val="pt-BR"/>
        </w:rPr>
        <w:t>[3], [9], [54]</w:t>
      </w:r>
      <w:r>
        <w:rPr>
          <w:rFonts w:hint="default" w:ascii="Times New Roman" w:hAnsi="Times New Roman" w:cs="Times New Roman"/>
          <w:i w:val="0"/>
          <w:iCs w:val="0"/>
          <w:lang w:val="pt-BR"/>
        </w:rPr>
        <w:fldChar w:fldCharType="end"/>
      </w:r>
      <w:r>
        <w:rPr>
          <w:rFonts w:hint="default" w:ascii="Times New Roman" w:hAnsi="Times New Roman" w:cs="Times New Roman"/>
          <w:i/>
          <w:iCs/>
          <w:lang w:val="pt-BR"/>
        </w:rPr>
        <w:t xml:space="preserve"> </w:t>
      </w:r>
      <w:r>
        <w:rPr>
          <w:rFonts w:hint="default" w:ascii="Times New Roman" w:hAnsi="Times New Roman" w:cs="Times New Roman"/>
        </w:rPr>
        <w:t>. Após a calibração do zero anatômico e a correção automática do peso do membro e da alavanca (</w:t>
      </w:r>
      <w:r>
        <w:rPr>
          <w:rFonts w:hint="default" w:ascii="Times New Roman" w:hAnsi="Times New Roman" w:cs="Times New Roman"/>
          <w:i/>
          <w:iCs/>
        </w:rPr>
        <w:t>gravity correction</w:t>
      </w:r>
      <w:r>
        <w:rPr>
          <w:rFonts w:hint="default" w:ascii="Times New Roman" w:hAnsi="Times New Roman" w:cs="Times New Roman"/>
        </w:rPr>
        <w:t xml:space="preserve">), o participante realizará contrações voluntárias máximas de flexão de punho com duração de 5 segundos cada, intercaladas por 60 segundos de repouso passivo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4M4RcQOL","properties":{"unsorted":false,"formattedCitation":"[55]","plainCitation":"[55]","noteIndex":0},"citationItems":[{"id":7,"uris":["http://zotero.org/users/17274952/items/YBUZXYJB"],"itemData":{"id":7,"type":"book","DOI":"10.4324/9781003380719","edition":"3","ISBN":"978-1-003-38071-9","language":"en","publisher":"Routledge","publisher-place":"New York","source":"DOI.org (Crossref)","title":"Isokinetics: Muscle Testing, Interpretation and Clinical Applications","title-short":"Isokinetics","URL":"https://www.taylorfrancis.com/books/9781003380719","author":[{"family":"Dvir","given":"Zeevi"}],"accessed":{"date-parts":[["2026",8,27]]},"issued":{"date-parts":[["2025",5,9]]}}}],"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[55]</w:t>
      </w:r>
      <w:r>
        <w:rPr>
          <w:rFonts w:hint="default" w:ascii="Times New Roman" w:hAnsi="Times New Roman" w:cs="Times New Roman"/>
        </w:rPr>
        <w:fldChar w:fldCharType="end"/>
      </w:r>
      <w:r>
        <w:rPr>
          <w:rFonts w:hint="default" w:ascii="Times New Roman" w:hAnsi="Times New Roman" w:cs="Times New Roman"/>
        </w:rPr>
        <w:t xml:space="preserve">. O maior valor de pico de torque (PT, em N·m) será registrado e normalizado pela massa corporal (N·m/kg) (Jaric, 2002). Adicionalmente, será calculado será calculado o Índice de Simetria de Membros [LSI (%) = (PT não dominante / PT dominante) × 100] para posterior análise na locomoção dinâmica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{"citationID":"Tk2je6FQ","properties":{"unsorted":false,"formattedCitation":"[56]","plainCitation":"[56]","noteIndex":0},"citationItems":[{"id":4,"uris":["http://zotero.org/users/17274952/items/EFWZLII9"],"itemData":{"id":4,"type":"article-journal","abstract":"ABSTRACT\n            The concept of thresholds has commonly appeared in the literature for the topic of interlimb asymmetry. However, with an abundance of literature showing asymmetry to be task- and metric-specific, the use of thresholds seems flawed. When computed, practitioners are often left with a percentage figure and it is not always entirely obvious how to interpret this value. This article aims to provide practitioners with some guidelines on meaningful ways to use and interpret interlimb asymmetry data.","container-title":"Strength &amp; Conditioning Journal","DOI":"10.1519/SSC.0000000000000554","ISSN":"1524-1602","issue":"1","language":"en","page":"32-36","source":"DOI.org (Crossref)","title":"Interlimb Asymmetries: Are Thresholds a Usable Concept?","title-short":"Interlimb Asymmetries","volume":"43","author":[{"family":"Bishop","given":"Chris"}],"issued":{"date-parts":[["2021",2]]}}}],"schema":"https://github.com/citation-style-language/schema/raw/master/csl-citation.json"}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[56]</w:t>
      </w:r>
      <w:r>
        <w:rPr>
          <w:rFonts w:hint="default" w:ascii="Times New Roman" w:hAnsi="Times New Roman" w:cs="Times New Roman"/>
        </w:rPr>
        <w:fldChar w:fldCharType="end"/>
      </w:r>
      <w:r>
        <w:rPr>
          <w:rFonts w:hint="default" w:ascii="Times New Roman" w:hAnsi="Times New Roman" w:cs="Times New Roman"/>
        </w:rPr>
        <w:t>. Um intervalo de recuperação passiva de 5 minutos será respeitado entre o término da dinamometria e o início do aquecimento para o teste de 1-RM.</w:t>
      </w:r>
    </w:p>
    <w:p w14:paraId="15E03332">
      <w:pPr>
        <w:pStyle w:val="11"/>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d) Teste de 1 Repetição Máxima (1-RM) no </w:t>
      </w:r>
      <w:r>
        <w:rPr>
          <w:rFonts w:hint="default" w:ascii="Times New Roman" w:hAnsi="Times New Roman" w:cs="Times New Roman"/>
          <w:i/>
          <w:iCs/>
        </w:rPr>
        <w:t>SP</w:t>
      </w:r>
    </w:p>
    <w:p w14:paraId="1B36F705">
      <w:pPr>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A força máxima dinâmica dos músculos de membros superiores em empurrar acima da cabeça será mensurada pelo teste de 1-RM no </w:t>
      </w:r>
      <w:r>
        <w:rPr>
          <w:rFonts w:hint="default" w:ascii="Times New Roman" w:hAnsi="Times New Roman" w:eastAsia="Times New Roman" w:cs="Times New Roman"/>
          <w:i/>
        </w:rPr>
        <w:t>shoulder press</w:t>
      </w:r>
      <w:r>
        <w:rPr>
          <w:rFonts w:hint="default" w:ascii="Times New Roman" w:hAnsi="Times New Roman" w:eastAsia="Times New Roman" w:cs="Times New Roman"/>
        </w:rPr>
        <w:t xml:space="preserve"> com barra e pesos livres, seguindo protocolo adaptado de teste progressivo de carga máxima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{"citationID":"pyYfeFLJ","properties":{"unsorted":false,"formattedCitation":"[47], [57], [58]","plainCitation":"[47], [57], [58]","noteIndex":0},"citationItems":[{"id":357,"uris":["http://zotero.org/users/17274952/items/PT598QVY"],"itemData":{"id":357,"type":"article-journal","abstract":"Embora testes de uma repetição máxima (1-RM) sejam freqüentemente utilizados para a avaliação da força muscular, acredita-se que os resultados obtidos possam ser afetados pela falta de familiarização prévia, até mesmo em sujeitos com experiência em exercícios com pesos. Assim, o objetivo deste estudo foi investigar o impacto do processo de familiarização para avaliação da força muscular em testes de 1-RM. Para tanto, 21 homens (24,5 ± 3,8 anos), aparentemente saudáveis, com experiência prévia de pelo menos seis meses em treinamento com pesos, foram submetidos a testes repetitivos de 1-RM nos exercícios supino em banco horizontal, agachamento e rosca direta de bíceps. Os testes foram executados em quatro sessões, intervaladas a cada 48-72 horas. Um número máximo de três tentativas, com intervalo de três a cinco minutos para recuperação, foi utilizado em cada exercício, nas quatro sessões de testagem. ANOVA para medidas repetidas, seguida pelo teste post hoc de Tukey, quando p &lt; 0,05, foi utilizada para o tratamento dos dados. Aumentos significantes na força muscular (p &lt; 0,01) foram encontrados nos três exercícios analisados entre a primeira e a quarta sessão de familiarização (2,4% no supino em banco horizontal, 3,4% no agachamento e 5,4% na rosca direta de bíceps). Todavia, nenhuma diferença estatisticamente significante foi encontrada entre a segunda e a quarta sessão de familiarização na rosca direta de bíceps (p &gt; 0,05), bem como entre a terceira e a quarta sessão no supino em banco horizontal e no agachamento (p &gt; 0,05). Os resultados indicam que a falta de familiarização prévia com testes de 1-RM pode comprometer a avaliação da força muscular. Portanto, sugere-se, para avaliação mais acurada da força muscular mediante testes de 1-RM, a execução de duas a três sessões de familiarização em homens adultos com experiência em exercícios com pesos.Embora la utilización de tests de una repetición máxima (1-RM) es frecuente para la evaluación de la fuerza muscular, se acredita que los resultados obtenidos puedan ser afectados por la falta de familiarización previa, hasta mismo en sujetos con experiencia en ejercicios con pesos. Asi, el objetivo de este estudio fué investigar el impacto del proceso de familiarización para evaluación de la fuerza muscular en tests de 1-RM. Por lo tanto, 21 hombres (24,5 ± 3,8 años), aparentemente saludables con experiencia previa de por lo menos seis meses de entrenamiento con pesos, fueron sometidos a tests reptitivos de 1-RM en los ejercicios supino en banco horizontal, agachamiento y rosca directa de bíceps. Los tests fueran ejecutados en cuatro sesiones, intervaladas en cada 48-72 horas. Un número máximo de tres tentativas, con intérvalo de tres a cinco minutos para recuperación, fué utilizado en cada ejercicio, en las cuatro sessiones de testeo. ANOVA se utilizó para medidas repetidas, seguida por el test post hoc de Tukey, cuando p &lt; 0,05, fué utilizada para el tratamiento de los datos. Aumentos significantes en la fuerza muscular (p &lt; 0,01) fueron encontrados los tres ejercicios analizados entre la primera y la cuarta sesión de familiarización (2,4% en supino en banco horizontal, 3,4% en agachamiento y 5,4% en la rosca directa del bíceps). Todavía, ninguna diferencia estadísticamente significativamente fuera encontrada entre la segunda y la cuarta sesión de familiarización en la rosca directa de bíceps (p &gt; 0,05), bien con entre la tercera y la cuarta sesión en el supino en el banco horizontal y en el agachamiento (p &gt; 0,05). Los resultados indican que la falta de familiarización previa con tests de 1-RM puede comprometer la evaluación de la fuerza muscular. Por lo tanto, se sugiere para la evaluación mas acurada de la fuerza muscular mediante tests de 1-RM la ejecución de dos a tres sesiones de familiarización en los hombres adultos con experiencia en ejercicios con pesos.Although the use of maximum repetition tests (1-RM) is frequent for assessment of the muscular strength, one believes that the results obtained may be affected by the lack of previous familiarization, even in skilled subjects in exercises with weights. Thus, the objective of this study was to investigate the impact of the familiarization process on the muscular strength assessment in 1-RM tests. To do so, 21 men (24.5 ± 3.8 years of age), apparently healthy and with previous experience of at least six months on weight training, were submitted to repetitive tests of 1-RM in bench press, squat, and arm curl exercises. The tests were performed in four sessions with intervals every 48-72 hours. A maximum number of three attempts with 3-5 minutes interval for recovery was used in each exercise in the four testing sessions. The analysis of variance ANOVA for repeated measures followed by the post hoc Tukey test when p &lt; 0.05 were used for the data treatment. Significant increases on the muscular strength (p &lt; 0.01) were found in the three exercises analyzed between the first and the fourth familiarization session (2.4% in bench press, 3.4% in squat, and 5.4% in the arm curl). However, no statistically significant difference was found between the second and fourth familiarization sessions in the arm curl (p &gt; 0.05) as well as between the third and fourth sessions in the bench press and squat (p &gt; 0.05). The results indicate that the lack of previous familiarization with 1-RM tests may impair the muscular strength evaluation. Therefore, the performance of two to three familiarization sessions in adult men with previous experience with weightlifting is suggested for a more accurate muscular strength assessment by means of the 1-RM tests.","container-title":"Revista Brasileira de Medicina do Esporte","DOI":"10.1590/s1517-86922005000100004","issue":"1","title":"Influência do processo de familiarização para avaliação da força muscular em testes de 1-RM","volume":"11","author":[{"family":"Dias","given":"Raphael Mendes Ritti"},{"family":"Cyrino","given":"Edilson Serpeloni"},{"family":"Salvador","given":"Emanuel Péricles"},{"family":"Caldeira","given":"Lúcio Flávio Soares"},{"family":"Nakamura","given":"Fábio Yuzo"},{"family":"Papst","given":"Rafael Raul"},{"family":"Bruna","given":"Nelson"},{"family":"Gurjão","given":"André Luiz Demantova"}],"issued":{"date-parts":[["2005"]]}}},{"id":1,"uris":["http://zotero.org/users/17274952/items/XDV7JVW7"],"itemData":{"id":1,"type":"book","edition":"Fifth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Association"}],"issued":{"date-parts":[["2027"]]}}},{"id":3,"uris":["http://zotero.org/users/17274952/items/QXK7H6DX"],"itemData":{"id":3,"type":"article-journal","container-title":"Sports Medicine","DOI":"10.1007/s40279-019-01096-8","ISSN":"0112-1642, 1179-2035","issue":"6","journalAbbreviation":"Sports Med","language":"en","page":"867-885","source":"DOI.org (Crossref)","title":"Weightlifting Overhead Pressing Derivatives: A Review of the Literature","title-short":"Weightlifting Overhead Pressing Derivatives","volume":"49","author":[{"family":"Soriano","given":"Marcos A."},{"family":"Suchomel","given":"Timothy J."},{"family":"Comfort","given":"Paul"}],"issued":{"date-parts":[["2019",6]]}}}],"schema":"https://github.com/citation-style-language/schema/raw/master/csl-citation.json"}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[47], [57], [58]</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Previamente ao teste de carga máxima, os participantes realizarão um protocolo padronizado de aquecimento e preparação articular específico composto por: mobilidade torácica e flexão de ombros apoiando as mãos na parede (</w:t>
      </w:r>
      <w:r>
        <w:rPr>
          <w:rFonts w:hint="default" w:ascii="Times New Roman" w:hAnsi="Times New Roman" w:eastAsia="Times New Roman" w:cs="Times New Roman"/>
          <w:i/>
        </w:rPr>
        <w:t>wall opener</w:t>
      </w:r>
      <w:r>
        <w:rPr>
          <w:rFonts w:hint="default" w:ascii="Times New Roman" w:hAnsi="Times New Roman" w:eastAsia="Times New Roman" w:cs="Times New Roman"/>
        </w:rPr>
        <w:t>, cinco respirações profundas em alinhamento articular); ativação do manguito rotador e estabilizadores escapulares em decúbito ventral no solo (</w:t>
      </w:r>
      <w:r>
        <w:rPr>
          <w:rFonts w:hint="default" w:ascii="Times New Roman" w:hAnsi="Times New Roman" w:eastAsia="Times New Roman" w:cs="Times New Roman"/>
          <w:i/>
        </w:rPr>
        <w:t>prone</w:t>
      </w:r>
      <w:r>
        <w:rPr>
          <w:rFonts w:hint="default" w:ascii="Times New Roman" w:hAnsi="Times New Roman" w:eastAsia="Times New Roman" w:cs="Times New Roman"/>
        </w:rPr>
        <w:t xml:space="preserve"> Y-T-W, cinco repetições controladas em cada posição com polegares elevados); ativação do serrátil anterior em prancha alta (</w:t>
      </w:r>
      <w:r>
        <w:rPr>
          <w:rFonts w:hint="default" w:ascii="Times New Roman" w:hAnsi="Times New Roman" w:eastAsia="Times New Roman" w:cs="Times New Roman"/>
          <w:i/>
        </w:rPr>
        <w:t>scapular push-ups</w:t>
      </w:r>
      <w:r>
        <w:rPr>
          <w:rFonts w:hint="default" w:ascii="Times New Roman" w:hAnsi="Times New Roman" w:eastAsia="Times New Roman" w:cs="Times New Roman"/>
        </w:rPr>
        <w:t>, oito a dez repetições); e familiarização específica com a barra metálica olímpica (FlexFit®, Franca, Brasil, pesando 20 kg para homens e 15 kg para mulheres), executando quatro a cinco repetições com fase concêntrica em velocidade máxima e bloqueio vertical controlado acima da cabeça por um segundo (</w:t>
      </w:r>
      <w:r>
        <w:rPr>
          <w:rFonts w:hint="default" w:ascii="Times New Roman" w:hAnsi="Times New Roman" w:eastAsia="Times New Roman" w:cs="Times New Roman"/>
          <w:i/>
        </w:rPr>
        <w:t>lockout</w:t>
      </w:r>
      <w:r>
        <w:rPr>
          <w:rFonts w:hint="default" w:ascii="Times New Roman" w:hAnsi="Times New Roman" w:eastAsia="Times New Roman" w:cs="Times New Roman"/>
        </w:rPr>
        <w:t>). Em seguida, anilhas calibradas (FlexFit®, Franca, Brasil) serão adicionadas para a progressão da carga. A distância de pegada das mãos na barra será padronizada ligeiramente além da largura dos ombros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xtLaG6Gj","properties":{"unsorted":false,"formattedCitation":"[59]","plainCitation":"[59]","noteIndex":0},"citationItems":[{"id":332,"uris":["http://zotero.org/users/17274952/items/3G6MAY8K"],"itemData":{"id":332,"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[59]</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w:t>
      </w:r>
    </w:p>
    <w:p w14:paraId="2D5E3914">
      <w:pPr>
        <w:keepNext w:val="0"/>
        <w:keepLines w:val="0"/>
        <w:pageBreakBefore w:val="0"/>
        <w:widowControl/>
        <w:suppressAutoHyphens w:val="0"/>
        <w:kinsoku/>
        <w:wordWrap/>
        <w:overflowPunct/>
        <w:topLinePunct w:val="0"/>
        <w:autoSpaceDE/>
        <w:autoSpaceDN/>
        <w:bidi w:val="0"/>
        <w:adjustRightInd/>
        <w:snapToGrid/>
        <w:spacing w:beforeAutospacing="0" w:after="0" w:afterAutospacing="0" w:line="360" w:lineRule="auto"/>
        <w:ind w:firstLine="708"/>
        <w:textAlignment w:val="auto"/>
        <w:rPr>
          <w:rFonts w:hint="default" w:ascii="Times New Roman" w:hAnsi="Times New Roman" w:eastAsia="Times New Roman" w:cs="Times New Roman"/>
          <w:highlight w:val="none"/>
        </w:rPr>
      </w:pPr>
      <w:r>
        <w:rPr>
          <w:rFonts w:hint="default" w:ascii="Times New Roman" w:hAnsi="Times New Roman" w:eastAsia="Times New Roman" w:cs="Times New Roman"/>
          <w:highlight w:val="none"/>
        </w:rPr>
        <w:t xml:space="preserve">No primeiro estágio, a carga será ajustada para 50% do valor de 1-RM caso o participante conheça sua marca prévia (PR), ou utilizada carga correspondente a 40% da massa corporal para aqueles que desconhecem sua 1-RM, assegurando uma ativação inicial entre 40% e 60% da capacidade máxima estimada sem indução de fadiga prematura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{"citationID":"xK6D7HpQ","properties":{"unsorted":false,"formattedCitation":"[47]","plainCitation":"[47]","noteIndex":0},"citationItems":[{"id":1,"uris":["http://zotero.org/users/17274952/items/XDV7JVW7"],"itemData":{"id":1,"type":"book","edition":"Fifth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[47]</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w:t>
      </w:r>
      <w:r>
        <w:rPr>
          <w:rFonts w:hint="default" w:ascii="Times New Roman" w:hAnsi="Times New Roman" w:cs="Times New Roman"/>
          <w:highlight w:val="none"/>
        </w:rPr>
        <w:t xml:space="preserve"> </w:t>
      </w:r>
      <w:r>
        <w:rPr>
          <w:rFonts w:hint="default" w:ascii="Times New Roman" w:hAnsi="Times New Roman" w:eastAsia="Times New Roman" w:cs="Times New Roman"/>
          <w:highlight w:val="none"/>
        </w:rPr>
        <w:t xml:space="preserve">Os estágios seguintes serão executados em incrementos progressivos de 10% (60%, 70%, 80%, 90% e 100% da estimativa máxima). O intervalo entre cada estágio será de 3 minutos para recuperação neuromuscular plena, realizando-se apenas uma repetição por tentativa para mitigar o acúmulo de fadiga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{"citationID":"IZPXcbao","properties":{"unsorted":false,"formattedCitation":"[57]","plainCitation":"[57]","noteIndex":0},"citationItems":[{"id":357,"uris":["http://zotero.org/users/17274952/items/PT598QVY"],"itemData":{"id":357,"type":"article-journal","abstract":"Embora testes de uma repetição máxima (1-RM) sejam freqüentemente utilizados para a avaliação da força muscular, acredita-se que os resultados obtidos possam ser afetados pela falta de familiarização prévia, até mesmo em sujeitos com experiência em exercícios com pesos. Assim, o objetivo deste estudo foi investigar o impacto do processo de familiarização para avaliação da força muscular em testes de 1-RM. Para tanto, 21 homens (24,5 ± 3,8 anos), aparentemente saudáveis, com experiência prévia de pelo menos seis meses em treinamento com pesos, foram submetidos a testes repetitivos de 1-RM nos exercícios supino em banco horizontal, agachamento e rosca direta de bíceps. Os testes foram executados em quatro sessões, intervaladas a cada 48-72 horas. Um número máximo de três tentativas, com intervalo de três a cinco minutos para recuperação, foi utilizado em cada exercício, nas quatro sessões de testagem. ANOVA para medidas repetidas, seguida pelo teste post hoc de Tukey, quando p &lt; 0,05, foi utilizada para o tratamento dos dados. Aumentos significantes na força muscular (p &lt; 0,01) foram encontrados nos três exercícios analisados entre a primeira e a quarta sessão de familiarização (2,4% no supino em banco horizontal, 3,4% no agachamento e 5,4% na rosca direta de bíceps). Todavia, nenhuma diferença estatisticamente significante foi encontrada entre a segunda e a quarta sessão de familiarização na rosca direta de bíceps (p &gt; 0,05), bem como entre a terceira e a quarta sessão no supino em banco horizontal e no agachamento (p &gt; 0,05). Os resultados indicam que a falta de familiarização prévia com testes de 1-RM pode comprometer a avaliação da força muscular. Portanto, sugere-se, para avaliação mais acurada da força muscular mediante testes de 1-RM, a execução de duas a três sessões de familiarização em homens adultos com experiência em exercícios com pesos.Embora la utilización de tests de una repetición máxima (1-RM) es frecuente para la evaluación de la fuerza muscular, se acredita que los resultados obtenidos puedan ser afectados por la falta de familiarización previa, hasta mismo en sujetos con experiencia en ejercicios con pesos. Asi, el objetivo de este estudio fué investigar el impacto del proceso de familiarización para evaluación de la fuerza muscular en tests de 1-RM. Por lo tanto, 21 hombres (24,5 ± 3,8 años), aparentemente saludables con experiencia previa de por lo menos seis meses de entrenamiento con pesos, fueron sometidos a tests reptitivos de 1-RM en los ejercicios supino en banco horizontal, agachamiento y rosca directa de bíceps. Los tests fueran ejecutados en cuatro sesiones, intervaladas en cada 48-72 horas. Un número máximo de tres tentativas, con intérvalo de tres a cinco minutos para recuperación, fué utilizado en cada ejercicio, en las cuatro sessiones de testeo. ANOVA se utilizó para medidas repetidas, seguida por el test post hoc de Tukey, cuando p &lt; 0,05, fué utilizada para el tratamiento de los datos. Aumentos significantes en la fuerza muscular (p &lt; 0,01) fueron encontrados los tres ejercicios analizados entre la primera y la cuarta sesión de familiarización (2,4% en supino en banco horizontal, 3,4% en agachamiento y 5,4% en la rosca directa del bíceps). Todavía, ninguna diferencia estadísticamente significativamente fuera encontrada entre la segunda y la cuarta sesión de familiarización en la rosca directa de bíceps (p &gt; 0,05), bien con entre la tercera y la cuarta sesión en el supino en el banco horizontal y en el agachamiento (p &gt; 0,05). Los resultados indican que la falta de familiarización previa con tests de 1-RM puede comprometer la evaluación de la fuerza muscular. Por lo tanto, se sugiere para la evaluación mas acurada de la fuerza muscular mediante tests de 1-RM la ejecución de dos a tres sesiones de familiarización en los hombres adultos con experiencia en ejercicios con pesos.Although the use of maximum repetition tests (1-RM) is frequent for assessment of the muscular strength, one believes that the results obtained may be affected by the lack of previous familiarization, even in skilled subjects in exercises with weights. Thus, the objective of this study was to investigate the impact of the familiarization process on the muscular strength assessment in 1-RM tests. To do so, 21 men (24.5 ± 3.8 years of age), apparently healthy and with previous experience of at least six months on weight training, were submitted to repetitive tests of 1-RM in bench press, squat, and arm curl exercises. The tests were performed in four sessions with intervals every 48-72 hours. A maximum number of three attempts with 3-5 minutes interval for recovery was used in each exercise in the four testing sessions. The analysis of variance ANOVA for repeated measures followed by the post hoc Tukey test when p &lt; 0.05 were used for the data treatment. Significant increases on the muscular strength (p &lt; 0.01) were found in the three exercises analyzed between the first and the fourth familiarization session (2.4% in bench press, 3.4% in squat, and 5.4% in the arm curl). However, no statistically significant difference was found between the second and fourth familiarization sessions in the arm curl (p &gt; 0.05) as well as between the third and fourth sessions in the bench press and squat (p &gt; 0.05). The results indicate that the lack of previous familiarization with 1-RM tests may impair the muscular strength evaluation. Therefore, the performance of two to three familiarization sessions in adult men with previous experience with weightlifting is suggested for a more accurate muscular strength assessment by means of the 1-RM tests.","container-title":"Revista Brasileira de Medicina do Esporte","DOI":"10.1590/s1517-86922005000100004","issue":"1","title":"Influência do processo de familiarização para avaliação da força muscular em testes de 1-RM","volume":"11","author":[{"family":"Dias","given":"Raphael Mendes Ritti"},{"family":"Cyrino","given":"Edilson Serpeloni"},{"family":"Salvador","given":"Emanuel Péricles"},{"family":"Caldeira","given":"Lúcio Flávio Soares"},{"family":"Nakamura","given":"Fábio Yuzo"},{"family":"Papst","given":"Rafael Raul"},{"family":"Bruna","given":"Nelson"},{"family":"Gurjão","given":"André Luiz Demantova"}],"issued":{"date-parts":[["2005"]]}}}],"schema":"https://github.com/citation-style-language/schema/raw/master/csl-citation.json"}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[57]</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Para a validação do movimento estrito, o participante deverá manter pés na largura do quadril, glúteos e abdômen ativados, sendo desconsiderada a repetição que apresentar auxílio de impulsão de membros inferiores, elevação dos calcanhares do solo ou hiperextensão lombar excessiva. A conclusão válida da repetição exige a extensão completa dos cotovelos com a barra estabilizada acima da cabeça no plano vertical.</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rPr>
        <w:t xml:space="preserve">Caso uma tentativa não seja completada com técnica estrita no último estágio, uma segunda tentativa será realizada após 3 minutos de repouso com redução de 5% da carga em relação à tentativa anterior. Havendo sucesso fácil na carga estimada de 100%, o participante terá a opção de realizar novas tentativas com incrementos de 5% até a determinação exata da carga de 1-RM. A força máxima no SP será expressa pela carga absoluta em quilogramas (kg) e pela força relativa à massa corporal total (kg/kg)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{"citationID":"KwvKTcbj","properties":{"unsorted":false,"formattedCitation":"[53], [59]","plainCitation":"[53], [59]","noteIndex":0},"citationItems":[{"id":332,"uris":["http://zotero.org/users/17274952/items/3G6MAY8K"],"itemData":{"id":332,"type":"thesis","language":"pt","source":"Zotero","title":"A força máxima no shoulder press relativa à massa corporal é uma medida preditiva do  desempenho no strict handstand push-up dentro da modalidade CrossFit®?","author":[{"family":"Lemos","given":"Guilherme De Paula"}],"issued":{"date-parts":[["2024"]]}}},{"id":9,"uris":["http://zotero.org/users/17274952/items/PRWFRTC3"],"itemData":{"id":9,"type":"article-journal","container-title":"Sports Medicine","DOI":"10.2165/00007256-200232100-00002","ISSN":"0112-1642","issue":"10","journalAbbreviation":"Sports Medicine","language":"en","page":"615-631","source":"DOI.org (Crossref)","title":"Muscle Strength Testing: Use of Normalisation for Body Size","title-short":"Muscle Strength Testing","volume":"32","author":[{"family":"Jaric","given":"Slobodan"}],"issued":{"date-parts":[["2002"]]}}}],"schema":"https://github.com/citation-style-language/schema/raw/master/csl-citation.json"}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[53], [59]</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Após a conclusão do teste de 1-RM, será concedido um período de repouso passivo de 8 minutos para a ressíntese dos estoques energéticos antes do teste final de resistência isométrica.</w:t>
      </w:r>
    </w:p>
    <w:p w14:paraId="1F86B586">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rPr>
      </w:pPr>
      <w:r>
        <w:rPr>
          <w:rFonts w:hint="default" w:ascii="Times New Roman" w:hAnsi="Times New Roman" w:cs="Times New Roman"/>
        </w:rPr>
        <w:t>e) Teste de Resistência em Posição Invertida (</w:t>
      </w:r>
      <w:r>
        <w:rPr>
          <w:rFonts w:hint="default" w:ascii="Times New Roman" w:hAnsi="Times New Roman" w:cs="Times New Roman"/>
          <w:i/>
          <w:iCs/>
        </w:rPr>
        <w:t>wall-supported HS</w:t>
      </w:r>
      <w:r>
        <w:rPr>
          <w:rFonts w:hint="default" w:ascii="Times New Roman" w:hAnsi="Times New Roman" w:cs="Times New Roman"/>
        </w:rPr>
        <w:t>)</w:t>
      </w:r>
    </w:p>
    <w:p w14:paraId="294A95D0">
      <w:pPr>
        <w:keepNext w:val="0"/>
        <w:keepLines w:val="0"/>
        <w:pageBreakBefore w:val="0"/>
        <w:widowControl/>
        <w:suppressAutoHyphens w:val="0"/>
        <w:kinsoku/>
        <w:wordWrap/>
        <w:overflowPunct/>
        <w:topLinePunct w:val="0"/>
        <w:autoSpaceDE/>
        <w:autoSpaceDN/>
        <w:bidi w:val="0"/>
        <w:adjustRightInd/>
        <w:snapToGrid/>
        <w:spacing w:beforeAutospacing="0" w:after="0" w:afterAutospacing="0" w:line="360" w:lineRule="auto"/>
        <w:ind w:firstLine="708" w:firstLineChars="0"/>
        <w:jc w:val="both"/>
        <w:textAlignment w:val="auto"/>
        <w:rPr>
          <w:rFonts w:hint="default" w:ascii="Times New Roman" w:hAnsi="Times New Roman" w:eastAsia="Times New Roman" w:cs="Times New Roman"/>
        </w:rPr>
      </w:pPr>
      <w:r>
        <w:rPr>
          <w:rFonts w:hint="default" w:ascii="Times New Roman" w:hAnsi="Times New Roman" w:eastAsia="Times New Roman" w:cs="Times New Roman"/>
        </w:rPr>
        <w:t xml:space="preserve">A resistência muscular isométrica dos membros superiores em posição invertida será avaliada por meio do tempo máximo de sustentação (em segundos) no HS com o ventre voltado para a parede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{"citationID":"iSLUpIZV","properties":{"unsorted":false,"formattedCitation":"[19], [27]","plainCitation":"[19], [27]","noteIndex":0},"citationItems":[{"id":319,"uris":["http://zotero.org/users/17274952/items/PUS5K2KW"],"itemData":{"id":319,"type":"article-journal","issue":"10","language":"en","source":"Zotero","title":"Influence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[19], [27]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Para padronização da base de sustentação, será fixada uma fita adesiva no solo demarcando o limite de posicionamento das mãos a 20 cm da parede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{"citationID":"M2NMI0ab","properties":{"unsorted":false,"formattedCitation":"[60]","plainCitation":"[60]","noteIndex":0},"citationItems":[{"id":37,"uris":["http://zotero.org/users/17274952/items/QWZYMZ6N"],"itemData":{"id":37,"type":"book","collection-title":"Medicine and Sport Science","DOI":"10.1159/isbn.978-3-318-00894-4","ISBN":"978-3-8055-7476-1","language":"en","publisher":"S. Karger AG","source":"DOI.org (Crossref)","title":"Scientific Aspects of Women's Gymnastics","URL":"https://karger.com/book/doi/10.1159/isbn.978-3-318-00894-4","volume":"45","author":[{"family":"Sands","given":"W.A."},{"family":"Caine","given":"D.J."},{"family":"Borms","given":"J."}],"accessed":{"date-parts":[["2026",4,15]]},"issued":{"date-parts":[["2002",10,31]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 participante assumirá a postura invertida por meio de escalada pela parede (</w:t>
      </w:r>
      <w:r>
        <w:rPr>
          <w:rFonts w:hint="default" w:ascii="Times New Roman" w:hAnsi="Times New Roman" w:eastAsia="Times New Roman" w:cs="Times New Roman"/>
          <w:i/>
          <w:iCs/>
        </w:rPr>
        <w:t>wall</w:t>
      </w:r>
      <w:r>
        <w:rPr>
          <w:rFonts w:hint="default" w:ascii="Times New Roman" w:hAnsi="Times New Roman" w:eastAsia="Times New Roman" w:cs="Times New Roman"/>
        </w:rPr>
        <w:t>-</w:t>
      </w:r>
      <w:r>
        <w:rPr>
          <w:rFonts w:hint="default" w:ascii="Times New Roman" w:hAnsi="Times New Roman" w:eastAsia="Times New Roman" w:cs="Times New Roman"/>
          <w:i/>
          <w:iCs/>
        </w:rPr>
        <w:t>walk</w:t>
      </w:r>
      <w:r>
        <w:rPr>
          <w:rFonts w:hint="default" w:ascii="Times New Roman" w:hAnsi="Times New Roman" w:eastAsia="Times New Roman" w:cs="Times New Roman"/>
        </w:rPr>
        <w:t xml:space="preserve">), alinhando as mãos na largura dos ombros com as pontas dos dedos sobre a demarcação e mantendo apenas o dorso dos pés e a ponta dos dedos em contato com a estrutura vertical, com o corpo posicionado no maior alinhamento vertical possível. O participante será instruído a sustentar a postura até a exaustão voluntária máxima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{"citationID":"MzlS9Q6b","properties":{"unsorted":false,"formattedCitation":"[46], [47]","plainCitation":"[46], [47]","noteIndex":0},"citationItems":[{"id":311,"uris":["http://zotero.org/users/17274952/items/JSG8TTN4"],"itemData":{"id":311,"type":"book","abstract":"\"ACSM's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[46], [47]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Os critérios para interrupção do teste e registro do tempo final serão: incapacidade mecânica de manter a extensão dos cotovelos (flexão visível superior a 15°), perda do contato dos pés com a parede, colapso escapular com toque do tronco na parede ou término voluntário do esforço por fadiga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{"citationID":"DEWyouRY","properties":{"unsorted":false,"formattedCitation":"[19], [27]","plainCitation":"[19], [27]","noteIndex":0},"citationItems":[{"id":319,"uris":["http://zotero.org/users/17274952/items/PUS5K2KW"],"itemData":{"id":319,"type":"article-journal","issue":"10","language":"en","source":"Zotero","title":"Influence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[19], [27]</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 O tempo de sustentação será cronometrado com precisão de centésimos de segundo utilizando um cronômetro digital (Casio®, modelo HS-80TW-BU, Tóquio, Japão). Serão realizadas duas tentativas máximas, intercaladas por um intervalo de recuperação passiva de 5 minutos, sendo o maior tempo retido para as análises estatísticas.</w:t>
      </w:r>
    </w:p>
    <w:p w14:paraId="30BED911">
      <w:pPr>
        <w:widowControl w:val="0"/>
        <w:spacing w:line="360" w:lineRule="auto"/>
        <w:rPr>
          <w:rFonts w:hint="default" w:ascii="Times New Roman" w:hAnsi="Times New Roman" w:cs="Times New Roman"/>
          <w:u w:val="none"/>
        </w:rPr>
      </w:pPr>
      <w:r>
        <w:rPr>
          <w:rFonts w:hint="default" w:ascii="Times New Roman" w:hAnsi="Times New Roman" w:eastAsia="Times New Roman" w:cs="Times New Roman"/>
          <w:u w:val="none"/>
          <w:lang w:val="pt-BR"/>
        </w:rPr>
        <w:t xml:space="preserve">3.4.2 </w:t>
      </w:r>
      <w:r>
        <w:rPr>
          <w:rFonts w:hint="default" w:ascii="Times New Roman" w:hAnsi="Times New Roman" w:eastAsia="Times New Roman" w:cs="Times New Roman"/>
          <w:u w:val="none"/>
        </w:rPr>
        <w:t xml:space="preserve">Sessão 2 - Avaliação de desempenho </w:t>
      </w:r>
      <w:r>
        <w:rPr>
          <w:rFonts w:hint="default" w:ascii="Times New Roman" w:hAnsi="Times New Roman" w:eastAsia="Times New Roman" w:cs="Times New Roman"/>
          <w:i/>
          <w:u w:val="none"/>
        </w:rPr>
        <w:t xml:space="preserve">do </w:t>
      </w:r>
      <w:r>
        <w:rPr>
          <w:rFonts w:hint="default" w:ascii="Times New Roman" w:hAnsi="Times New Roman" w:eastAsia="Times New Roman" w:cs="Times New Roman"/>
          <w:i/>
          <w:iCs/>
          <w:u w:val="none"/>
        </w:rPr>
        <w:t>HS</w:t>
      </w:r>
      <w:r>
        <w:rPr>
          <w:rFonts w:hint="default" w:ascii="Times New Roman" w:hAnsi="Times New Roman" w:eastAsia="Times New Roman" w:cs="Times New Roman"/>
          <w:i/>
          <w:u w:val="none"/>
        </w:rPr>
        <w:t xml:space="preserve"> </w:t>
      </w:r>
      <w:r>
        <w:rPr>
          <w:rFonts w:hint="default" w:ascii="Times New Roman" w:hAnsi="Times New Roman" w:eastAsia="Times New Roman" w:cs="Times New Roman"/>
          <w:u w:val="none"/>
        </w:rPr>
        <w:t xml:space="preserve">e </w:t>
      </w:r>
      <w:r>
        <w:rPr>
          <w:rFonts w:hint="default" w:ascii="Times New Roman" w:hAnsi="Times New Roman" w:eastAsia="Times New Roman" w:cs="Times New Roman"/>
          <w:i/>
          <w:iCs/>
          <w:u w:val="none"/>
        </w:rPr>
        <w:t>HSW</w:t>
      </w:r>
    </w:p>
    <w:p w14:paraId="3AB26515">
      <w:pPr>
        <w:widowControl w:val="0"/>
        <w:spacing w:line="360" w:lineRule="auto"/>
        <w:ind w:firstLine="720"/>
        <w:rPr>
          <w:rFonts w:hint="default" w:ascii="Times New Roman" w:hAnsi="Times New Roman" w:cs="Times New Roman"/>
        </w:rPr>
      </w:pPr>
      <w:r>
        <w:rPr>
          <w:rFonts w:hint="default" w:ascii="Times New Roman" w:hAnsi="Times New Roman" w:cs="Times New Roman"/>
        </w:rPr>
        <w:t xml:space="preserve">Para a captura da cinemática tridimensional, serão fixados 39 marcadores esféricos retrorrefletivos sobre pontos anatômicos através de todo o corpo, seguindo o protocolo padronizado Plug-in Gait Full Body (Vicon®, Oxford, Reino Unido), fundamentado no modelo biomecânico de Davis et al. (1991) e Kadaba et al. (1990)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{"citationID":"y3Pevodv","properties":{"unsorted":false,"formattedCitation":"[61], [62]","plainCitation":"[61], [62]","noteIndex":0},"citationItems":[{"id":19,"uris":["http://zotero.org/users/17274952/items/9YDQ4XD5"],"itemData":{"id":19,"type":"article-journal","container-title":"Human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R."}],"issued":{"date-parts":[["1991",10]]}}},{"id":20,"uris":["http://zotero.org/users/17274952/items/QUJ85GYE"],"itemData":{"id":20,"type":"article-journal","abstract":"Abstract\n            A simple external marker system and algorithms for computing lower extremity joint angle motion during level walking were developed and implemented on a computer‐aided video motion analysis system (VICON). The concept of embedded axes and Euler rotation angles was used to define the three‐dimensional joint angle motion based on a set of body surface markers. Gait analysis was peformed on 40 normal young adults three times on three different test days at least 1 Week apart using the marker system. Angular motion of the hip, knee, and ankle joints and of the pelvis were obtained throughout a gait cycle utilizing the three‐dimensional trajectories of markers. The effect of uncertainties in defining the embedded axis on joint angles was demonstrated using sensitivity analysis. The errors in the estimation of joint angle motion were quantified with respect to the degree of error in the construction of embedded axes. The limitations of the model and the marker system in evaluating pathologic gait are discussed. The relatively small number of body surface markers used in the system render it easy to implement for use in routine clinical gait evaluations. Additionally, data presented in this paper should be a useful reference for describing and comparing pathologic gait patterns.","container-title":"Journal of Orthopaedic Research","DOI":"10.1002/jor.1100080310","ISSN":"0736-0266, 1554-527X","issue":"3","journalAbbreviation":"Journal Orthopaedic Research","language":"en","page":"383-392","source":"DOI.org (Crossref)","title":"Measurement of lower extremity kinematics during level walking","volume":"8","author":[{"family":"Kadaba","given":"M. P."},{"family":"Ramakrishnan","given":"H. K."},{"family":"Wootten","given":"M. E."}],"issued":{"date-parts":[["1990",5]]}}}],"schema":"https://github.com/citation-style-language/schema/raw/master/csl-citation.json"}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[61], [62]</w:t>
      </w:r>
      <w:r>
        <w:rPr>
          <w:rFonts w:hint="default" w:ascii="Times New Roman" w:hAnsi="Times New Roman" w:cs="Times New Roman"/>
        </w:rPr>
        <w:fldChar w:fldCharType="end"/>
      </w:r>
      <w:r>
        <w:rPr>
          <w:rFonts w:hint="default" w:ascii="Times New Roman" w:hAnsi="Times New Roman" w:cs="Times New Roman"/>
        </w:rPr>
        <w:t xml:space="preserve">. Adicionalmente a este protocolo padrão, e de forma específica para solucionar o desafio de oclusão óptica impostos pela tarefa de locomoção invertida (HSW), sobretudo nos marcadores dos ombros (LSHO e RSHO), serão fixados dois marcadores retrorrefletivos extras na região dorsal do participante, alinhados lateralmente ao marcador T10. Esta adaptação metodológica permitiu que estes dois marcadores extras operassem em conjunto com o C7 e o T10, formando um cluster de corpo rígido estável nas costas. Esta estrutura fixa fornece a base topográfica ininterrupta para que o algoritmo de reconstrução matemática (SVD) projete e recupere com precisão as coordenadas espaciais dos marcadores dos ombros em caso de falha de rastreamento pelas câmeras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{"citationID":"xn7f3MF5","properties":{"unsorted":false,"formattedCitation":"[63], [64]","plainCitation":"[63], [64]","noteIndex":0},"citationItems":[{"id":29,"uris":["http://zotero.org/users/17274952/items/39QW84UC"],"itemData":{"id":29,"type":"article-journal","container-title":"Journal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H."}],"issued":{"date-parts":[["1995",6]]}}},{"id":30,"uris":["http://zotero.org/users/17274952/items/TNKF22X7"],"itemData":{"id":30,"type":"article-journal","container-title":"Acta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[63], [64]</w:t>
      </w:r>
      <w:r>
        <w:rPr>
          <w:rFonts w:hint="default" w:ascii="Times New Roman" w:hAnsi="Times New Roman" w:cs="Times New Roman"/>
        </w:rPr>
        <w:fldChar w:fldCharType="end"/>
      </w:r>
      <w:r>
        <w:rPr>
          <w:rFonts w:hint="default" w:ascii="Times New Roman" w:hAnsi="Times New Roman" w:cs="Times New Roman"/>
          <w:lang w:val="pt-BR"/>
        </w:rPr>
        <w:t xml:space="preserve">. </w:t>
      </w:r>
      <w:r>
        <w:rPr>
          <w:rFonts w:hint="default" w:ascii="Times New Roman" w:hAnsi="Times New Roman" w:cs="Times New Roman"/>
        </w:rPr>
        <w:t>Ressalta-se que o marcador clavicular (CLAV), classicamente utilizado em modelos eretos, foi intencionalmente suprimido da malha de reconstrução por ser metodologicamente irrelevante para as variáveis de centro de massa e articulares do presente estudo, mitigando assim a introdução de ruídos mecânicos no bloco rígido torácico. </w:t>
      </w:r>
    </w:p>
    <w:p w14:paraId="249A322D">
      <w:pPr>
        <w:widowControl w:val="0"/>
        <w:spacing w:line="360" w:lineRule="auto"/>
        <w:ind w:firstLine="720"/>
        <w:rPr>
          <w:rFonts w:hint="default" w:ascii="Times New Roman" w:hAnsi="Times New Roman" w:eastAsia="Times New Roman" w:cs="Times New Roman"/>
        </w:rPr>
      </w:pPr>
      <w:r>
        <w:rPr>
          <w:rFonts w:ascii="Times New Roman" w:hAnsi="Times New Roman"/>
          <w:b w:val="0"/>
          <w:i w:val="0"/>
        </w:rPr>
        <w:t>Com o participante já instrumentado com os marcadores retrorreflexivos, será executado um protocolo padronizado de aquecimento e preparação neuromuscular específico. O protocolo compreenderá: a) mobilidade dinâmica em pé com circundução de punhos e abertura torácica na parede (</w:t>
      </w:r>
      <w:r>
        <w:rPr>
          <w:rFonts w:ascii="Times New Roman" w:hAnsi="Times New Roman"/>
          <w:b w:val="0"/>
          <w:i/>
        </w:rPr>
        <w:t>wall opener</w:t>
      </w:r>
      <w:r>
        <w:rPr>
          <w:rFonts w:ascii="Times New Roman" w:hAnsi="Times New Roman"/>
          <w:b w:val="0"/>
          <w:i w:val="0"/>
        </w:rPr>
        <w:t>, cinco respirações profundas), além de sobrecarga axial palmar em quatro apoios sem tocar o tronco no solo; b) ativação da cintura escapular e estabilidade unimanual por meio de flexões escapulares em prancha alta (</w:t>
      </w:r>
      <w:r>
        <w:rPr>
          <w:rFonts w:ascii="Times New Roman" w:hAnsi="Times New Roman"/>
          <w:b w:val="0"/>
          <w:i/>
        </w:rPr>
        <w:t>scapular push-ups</w:t>
      </w:r>
      <w:r>
        <w:rPr>
          <w:rFonts w:ascii="Times New Roman" w:hAnsi="Times New Roman"/>
          <w:b w:val="0"/>
          <w:i w:val="0"/>
        </w:rPr>
        <w:t>, oito a dez repetições) e toques alternados nos ombros em posição de V invertido (</w:t>
      </w:r>
      <w:r>
        <w:rPr>
          <w:rFonts w:ascii="Times New Roman" w:hAnsi="Times New Roman"/>
          <w:b w:val="0"/>
          <w:i/>
        </w:rPr>
        <w:t>shoulder taps</w:t>
      </w:r>
      <w:r>
        <w:rPr>
          <w:rFonts w:ascii="Times New Roman" w:hAnsi="Times New Roman"/>
          <w:b w:val="0"/>
          <w:i w:val="0"/>
        </w:rPr>
        <w:t xml:space="preserve"> em </w:t>
      </w:r>
      <w:r>
        <w:rPr>
          <w:rFonts w:ascii="Times New Roman" w:hAnsi="Times New Roman"/>
          <w:b w:val="0"/>
          <w:i/>
        </w:rPr>
        <w:t>pike</w:t>
      </w:r>
      <w:r>
        <w:rPr>
          <w:rFonts w:ascii="Times New Roman" w:hAnsi="Times New Roman"/>
          <w:b w:val="0"/>
          <w:i w:val="0"/>
        </w:rPr>
        <w:t xml:space="preserve">, dez repetições); e c) acomodação vestibular e calibração proprioceptiva da estratégia de </w:t>
      </w:r>
      <w:r>
        <w:rPr>
          <w:rFonts w:hint="default" w:ascii="Times New Roman" w:hAnsi="Times New Roman"/>
          <w:b w:val="0"/>
          <w:i w:val="0"/>
          <w:lang w:val="pt-BR"/>
        </w:rPr>
        <w:t>equilíbrio</w:t>
      </w:r>
      <w:r>
        <w:rPr>
          <w:rFonts w:ascii="Times New Roman" w:hAnsi="Times New Roman"/>
          <w:b w:val="0"/>
          <w:i w:val="0"/>
        </w:rPr>
        <w:t>, mediante uma subida rápida de frente para a parede (</w:t>
      </w:r>
      <w:r>
        <w:rPr>
          <w:rFonts w:ascii="Times New Roman" w:hAnsi="Times New Roman"/>
          <w:b w:val="0"/>
          <w:i/>
        </w:rPr>
        <w:t>belly-to-wall</w:t>
      </w:r>
      <w:r>
        <w:rPr>
          <w:rFonts w:ascii="Times New Roman" w:hAnsi="Times New Roman"/>
          <w:b w:val="0"/>
          <w:i w:val="0"/>
        </w:rPr>
        <w:t>, cinco a oito segundos) e uma subida de costas para a parede (</w:t>
      </w:r>
      <w:r>
        <w:rPr>
          <w:rFonts w:ascii="Times New Roman" w:hAnsi="Times New Roman"/>
          <w:b w:val="0"/>
          <w:i/>
        </w:rPr>
        <w:t>back-to-wall</w:t>
      </w:r>
      <w:r>
        <w:rPr>
          <w:rFonts w:ascii="Times New Roman" w:hAnsi="Times New Roman"/>
          <w:b w:val="0"/>
          <w:i w:val="0"/>
        </w:rPr>
        <w:t xml:space="preserve">) em que o pesquisador auxiliará três micro-descolamentos dos pés </w:t>
      </w:r>
      <w:r>
        <w:rPr>
          <w:rFonts w:hint="default" w:ascii="Times New Roman" w:hAnsi="Times New Roman"/>
          <w:b w:val="0"/>
          <w:i w:val="0"/>
          <w:lang w:val="pt-BR"/>
        </w:rPr>
        <w:t>para fora da parede</w:t>
      </w:r>
      <w:r>
        <w:rPr>
          <w:rFonts w:ascii="Times New Roman" w:hAnsi="Times New Roman"/>
          <w:b w:val="0"/>
          <w:i w:val="0"/>
        </w:rPr>
        <w:t xml:space="preserve">. A seguir, a coleta começará com as tentativas no </w:t>
      </w:r>
      <w:r>
        <w:rPr>
          <w:rFonts w:ascii="Times New Roman" w:hAnsi="Times New Roman"/>
          <w:b w:val="0"/>
          <w:i/>
        </w:rPr>
        <w:t>HS</w:t>
      </w:r>
      <w:r>
        <w:rPr>
          <w:rFonts w:ascii="Times New Roman" w:hAnsi="Times New Roman"/>
          <w:b w:val="0"/>
          <w:i w:val="0"/>
        </w:rPr>
        <w:t xml:space="preserve">, que servirão também como preparação específica para as passadas dinâmicas no </w:t>
      </w:r>
      <w:r>
        <w:rPr>
          <w:rFonts w:ascii="Times New Roman" w:hAnsi="Times New Roman"/>
          <w:b w:val="0"/>
          <w:i/>
        </w:rPr>
        <w:t>HSW</w:t>
      </w:r>
      <w:r>
        <w:rPr>
          <w:rFonts w:ascii="Times New Roman" w:hAnsi="Times New Roman"/>
          <w:b w:val="0"/>
          <w:i w:val="0"/>
        </w:rPr>
        <w:t>.</w:t>
      </w:r>
    </w:p>
    <w:p w14:paraId="4A83A963">
      <w:pPr>
        <w:widowControl w:val="0"/>
        <w:shd w:val="clear" w:color="auto" w:fill="FFFFFF"/>
        <w:spacing w:line="360" w:lineRule="auto"/>
        <w:rPr>
          <w:rFonts w:hint="default" w:ascii="Times New Roman" w:hAnsi="Times New Roman" w:cs="Times New Roman"/>
        </w:rPr>
      </w:pPr>
      <w:r>
        <w:rPr>
          <w:rFonts w:hint="default" w:ascii="Times New Roman" w:hAnsi="Times New Roman" w:eastAsia="Times New Roman" w:cs="Times New Roman"/>
        </w:rPr>
        <w:t xml:space="preserve">a) Teste de desempenho no </w:t>
      </w:r>
      <w:r>
        <w:rPr>
          <w:rFonts w:hint="default" w:ascii="Times New Roman" w:hAnsi="Times New Roman" w:eastAsia="Times New Roman" w:cs="Times New Roman"/>
          <w:i/>
          <w:iCs/>
        </w:rPr>
        <w:t>HS</w:t>
      </w:r>
    </w:p>
    <w:p w14:paraId="6275B03C">
      <w:pPr>
        <w:widowControl w:val="0"/>
        <w:shd w:val="clear" w:color="auto" w:fill="FFFFFF"/>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Para a avaliação do equilíbrio estático, os participantes irão realizar a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sobre uma plataforma de força (Bertec®, Columbus, OH, USA) integrada e sincronizada ao sistema de captura de movimento (Vicon®) que registrarão simultaneamente os parâmetros cinemáticos (ângulos articulares de punhos, ombros, quadril e cabeça, altura do centro de massa, base de apoio) e estabilométricos (oscilação entre CoM e CoP e ApEn).</w:t>
      </w:r>
    </w:p>
    <w:p w14:paraId="380607EB">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O protocolo de coleta consistirá em seis tentativas totais, organizadas em dois blocos: até três tentativas com entrada assistida e três tentativas de entrada livre. Os participantes posicionarão as mãos sobre a plataforma utilizando a distância e rotação das mãos de sua preferência.</w:t>
      </w:r>
      <w:r>
        <w:rPr>
          <w:rFonts w:hint="default" w:cs="Times New Roman"/>
          <w:lang w:val="pt-BR"/>
        </w:rPr>
        <w:t xml:space="preserve"> </w:t>
      </w:r>
      <w:r>
        <w:rPr>
          <w:rFonts w:hint="default" w:ascii="Times New Roman" w:hAnsi="Times New Roman" w:cs="Times New Roman"/>
        </w:rPr>
        <w:t>O bloco de entradas assistidas será realizado primeiro para garantir que o participante estabilize a postura com menor esforço, servindo também como familiarização ao ambiente e condições de coleta. Neste bloco o pesquisador auxiliará o participante a atingir a posição invertida e o estabilizará pelo apoio nas pernas, liberando o contato manual assim que o sujeito sinalizar controle da posição. Para garantir a marcação precisa e objetiva do início equilíbrio, um marcador retrorrefletivo será fixado na mão do pesquisador. O início cronometrado da fase de estabilização do participante será delimitado algoritmicamente a partir do momento em que a distância espacial entre a mão do pesquisador e os membros inferiores do voluntário indicar perda total de contato mecânico. Para a avaliação do desempenho e composição dos modelos estatísticos do HS, será retido o melhor tempo de sustentação (em segundos) obtido entre as tentativas válidas. Com o intuito de prevenir a indução de fadiga neuromuscular acumulada nos membros superiores e na cintura escapular antes do teste subsequente de locomoção dinâmica (</w:t>
      </w:r>
      <w:r>
        <w:rPr>
          <w:rFonts w:hint="default" w:ascii="Times New Roman" w:hAnsi="Times New Roman" w:cs="Times New Roman"/>
          <w:i/>
          <w:iCs/>
        </w:rPr>
        <w:t>HSW</w:t>
      </w:r>
      <w:r>
        <w:rPr>
          <w:rFonts w:hint="default" w:ascii="Times New Roman" w:hAnsi="Times New Roman" w:cs="Times New Roman"/>
        </w:rPr>
        <w:t>), adotar-se-á uma regra de parada por desempenho satisfatório: caso o participante atinja uma sustentação igual ou superior a 30 segundos (≥ 30 s) e relate voluntariamente ter alcançado sua marca representativa máxima em uma tentativa válida, ele será liberado das tentativas subsequentes deste</w:t>
      </w:r>
      <w:bookmarkStart w:id="5" w:name="_GoBack"/>
      <w:bookmarkEnd w:id="5"/>
      <w:r>
        <w:rPr>
          <w:rFonts w:hint="default" w:ascii="Times New Roman" w:hAnsi="Times New Roman" w:cs="Times New Roman"/>
        </w:rPr>
        <w:t xml:space="preserve"> bloco para descansar e se poupar para o HSW. Ressalta-se que não haverá estipulação de teto de tempo de corte durante a execução da tentativa (sendo facultado ao voluntário sustentar a posição pelo tempo máximo que for capaz durante a sua execução). Tentativas adicionais (até o limite de três) serão realizadas unicamente em caso de queda prematura por desajuste na ascensão/soltura ou caso o sujeito reporte plenas condições de superar a marca precedente. Uma pausa de 3 minutos será feita após esse bloco, antes das tentativas livres.  Neste bloco o participante utilizará a técnica de entrada (</w:t>
      </w:r>
      <w:r>
        <w:rPr>
          <w:rFonts w:hint="default" w:ascii="Times New Roman" w:hAnsi="Times New Roman" w:cs="Times New Roman"/>
          <w:i/>
          <w:iCs/>
        </w:rPr>
        <w:t>kick-up</w:t>
      </w:r>
      <w:r>
        <w:rPr>
          <w:rFonts w:hint="default" w:ascii="Times New Roman" w:hAnsi="Times New Roman" w:cs="Times New Roman"/>
        </w:rPr>
        <w:t>) que lhe for mais natural e eficiente. Entre cada tentativa realizada, será respeitado um intervalo de repouso de 90 segundos, visando minimizar os efeitos da fadiga muscular acumulada nos membros superiores e estabilizadores do tronco.</w:t>
      </w:r>
    </w:p>
    <w:p w14:paraId="5A6A8AC0">
      <w:pPr>
        <w:widowControl w:val="0"/>
        <w:shd w:val="clear" w:color="auto" w:fill="FFFFFF"/>
        <w:spacing w:line="360" w:lineRule="auto"/>
        <w:rPr>
          <w:rFonts w:hint="default" w:ascii="Times New Roman" w:hAnsi="Times New Roman" w:cs="Times New Roman"/>
        </w:rPr>
      </w:pPr>
      <w:r>
        <w:rPr>
          <w:rFonts w:hint="default" w:ascii="Times New Roman" w:hAnsi="Times New Roman" w:eastAsia="Times New Roman" w:cs="Times New Roman"/>
        </w:rPr>
        <w:t xml:space="preserve">b) Teste de desempenho no </w:t>
      </w:r>
      <w:r>
        <w:rPr>
          <w:rFonts w:hint="default" w:ascii="Times New Roman" w:hAnsi="Times New Roman" w:eastAsia="Times New Roman" w:cs="Times New Roman"/>
          <w:i/>
          <w:iCs/>
        </w:rPr>
        <w:t>HSW</w:t>
      </w:r>
    </w:p>
    <w:p w14:paraId="2B19B528">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 xml:space="preserve">Após um intervalo de 10 minutos, para assegurar a recuperação plena dos sistemas neuromusculares após os testes estático da </w:t>
      </w:r>
      <w:r>
        <w:rPr>
          <w:rFonts w:hint="default" w:ascii="Times New Roman" w:hAnsi="Times New Roman" w:cs="Times New Roman"/>
          <w:i/>
          <w:iCs/>
        </w:rPr>
        <w:t>HS</w:t>
      </w:r>
      <w:r>
        <w:rPr>
          <w:rFonts w:hint="default" w:ascii="Times New Roman" w:hAnsi="Times New Roman" w:cs="Times New Roman"/>
        </w:rPr>
        <w:t xml:space="preserve">, será iniciada a avaliação DO </w:t>
      </w:r>
      <w:r>
        <w:rPr>
          <w:rFonts w:hint="default" w:ascii="Times New Roman" w:hAnsi="Times New Roman" w:cs="Times New Roman"/>
          <w:i/>
          <w:iCs/>
        </w:rPr>
        <w:t>HSW</w:t>
      </w:r>
      <w:r>
        <w:rPr>
          <w:rFonts w:hint="default" w:ascii="Times New Roman" w:hAnsi="Times New Roman" w:cs="Times New Roman"/>
        </w:rPr>
        <w:t xml:space="preserve">. Para este teste, os participantes deverão realizar o deslocamento em linha reta, tendo como requisito obrigatório o posicionamento inicial das mãos dentro de uma área retangular delimitada no solo, correspondente à zona de calibração e captura inicial do sistema de captura de movimento (Vicon®, Oxford, Reino Unido). A técnica de entrada será de livre escolha do praticante, permitindo o início a partir da posição em pé (através de um </w:t>
      </w:r>
      <w:r>
        <w:rPr>
          <w:rFonts w:hint="default" w:ascii="Times New Roman" w:hAnsi="Times New Roman" w:cs="Times New Roman"/>
          <w:i/>
          <w:iCs/>
        </w:rPr>
        <w:t>kick-up</w:t>
      </w:r>
      <w:r>
        <w:rPr>
          <w:rFonts w:hint="default" w:ascii="Times New Roman" w:hAnsi="Times New Roman" w:cs="Times New Roman"/>
        </w:rPr>
        <w:t xml:space="preserve">) ou já com as mãos posicionadas sobre a área demarcada antes do impulso inicial. O protocolo consistirá em cinco tentativas totais com um intervalo de recuperação de 90 segundos entre elas. O objetivo será percorrer a maior distância possível, havendo limite de 5 metros por tentativa que corresponde ao limite de detecção do sistema de captura de movimento. O critério de falha para a interrupção da tentativa será definido pelo contato de qualquer parte do corpo com exceção das mãos. </w:t>
      </w:r>
    </w:p>
    <w:p w14:paraId="7C5A71C2">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 xml:space="preserve">A restrição do volume total movimentos (três tentativas para cada condição estática e cinco para o deslocamento dinâmico) foi estabelecida metodologicamente para evitar o viés da fadiga neuromuscular localizada aguda e a sobrecarga do sistema vestibular, preservando assim a integridade cinemática do desempenho ótimo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{"citationID":"HRx9Z8K3","properties":{"unsorted":false,"formattedCitation":"[19]","plainCitation":"[19]","noteIndex":0},"citationItems":[{"id":339,"uris":["http://zotero.org/users/17274952/items/9539FXDG"],"itemData":{"id":339,"type":"article-journal","container-title":"Journal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t>.</w:t>
      </w:r>
    </w:p>
    <w:p w14:paraId="3B354366">
      <w:pPr>
        <w:shd w:val="clear" w:color="auto" w:fill="FFFFFF" w:themeFill="background1"/>
        <w:suppressAutoHyphens w:val="0"/>
        <w:spacing w:line="360" w:lineRule="auto"/>
        <w:jc w:val="left"/>
        <w:rPr>
          <w:rFonts w:hint="default" w:ascii="Times New Roman" w:hAnsi="Times New Roman" w:eastAsia="Times New Roman" w:cs="Times New Roman"/>
          <w:u w:val="none"/>
        </w:rPr>
      </w:pPr>
      <w:r>
        <w:rPr>
          <w:rFonts w:hint="default" w:ascii="Times New Roman" w:hAnsi="Times New Roman" w:eastAsia="Times New Roman" w:cs="Times New Roman"/>
          <w:u w:val="none"/>
          <w:lang w:val="pt-BR"/>
        </w:rPr>
        <w:t xml:space="preserve">c) </w:t>
      </w:r>
      <w:r>
        <w:rPr>
          <w:rFonts w:hint="default" w:ascii="Times New Roman" w:hAnsi="Times New Roman" w:eastAsia="Times New Roman" w:cs="Times New Roman"/>
          <w:u w:val="none"/>
        </w:rPr>
        <w:t>Processamento e Tratamento de Dados</w:t>
      </w:r>
    </w:p>
    <w:p w14:paraId="0567637E">
      <w:pPr>
        <w:shd w:val="clear" w:color="auto" w:fill="FFFFFF" w:themeFill="background1"/>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Os dados brutos de cinemática tridimensional e da plataforma de força, exportados no formato padrão C3D a partir do sistema Vicon Nexus, serão processados offline utilizando rotinas computacionais customizadas desenvolvidas na linguagem Python (versão 3.10+). A extração dos vetores de marcadores e dos canais analógicos será realizada através da biblioteca ezc3d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{"citationID":"Rk7a6vfA","properties":{"unsorted":false,"formattedCitation":"[65]","plainCitation":"[65]","noteIndex":0},"citationItems":[{"id":31,"uris":["http://zotero.org/users/17274952/items/6GX672J6"],"itemData":{"id":31,"type":"article-journal","abstract":"This work introduces the open source ezc3d library which provides a light and comprehensive API to easily read and write c3d files. The C++ core provides a fast file I/O library, and convenient MATLAB and Python3 interfaces are also provided so researchers can smoothly implement ezc3d in their current workflow. It supports c3d files from the main biomechanics software, namely: Vicon, Qualisys, Optotrak, BTS and XSens. In addition, since the c3d standard allows for multiple ways to store force platform data, a force platform analysis module is provided. The main feature of this module is to express forces and moments in more common reference frames—that is, expressed in the global reference frame calculated at either the origin or at the centre of pressure—so they can be directly interpreted by the user.","container-title":"Journal of Open Source Software","DOI":"10.21105/joss.02911","ISSN":"2475-9066","issue":"58","journalAbbreviation":"JOSS","language":"en","license":"http://creativecommons.org/licenses/by/4.0/","page":"2911","source":"DOI.org (Crossref)","title":"ezc3d: An easy C3D file I/O cross-platform solution for C++, Python and MATLAB","title-short":"ezc3d","volume":"6","author":[{"family":"Michaud","given":"Benjamin"},{"family":"Begon","given":"Mickaël"}],"issued":{"date-parts":[["2021",2,21]]}}}],"schema":"https://github.com/citation-style-language/schema/raw/master/csl-citation.json"}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[65]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p>
    <w:p w14:paraId="17AEA55E">
      <w:pPr>
        <w:shd w:val="clear" w:color="auto" w:fill="FFFFFF" w:themeFill="background1"/>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Devido à natureza da locomoção invertida do </w:t>
      </w:r>
      <w:r>
        <w:rPr>
          <w:rFonts w:hint="default" w:ascii="Times New Roman" w:hAnsi="Times New Roman" w:eastAsia="Times New Roman" w:cs="Times New Roman"/>
          <w:i/>
          <w:iCs/>
        </w:rPr>
        <w:t>HSW</w:t>
      </w:r>
      <w:r>
        <w:rPr>
          <w:rFonts w:hint="default" w:ascii="Times New Roman" w:hAnsi="Times New Roman" w:eastAsia="Times New Roman" w:cs="Times New Roman"/>
        </w:rPr>
        <w:t>, na qual os braços assumem a função de suporte, ocorre a oclusão inevitável dos marcadores dos ombros impostos pelos limites do volume de captura e pela própria cabeça do participante. Para solucionar falhas de rastreamento (</w:t>
      </w:r>
      <w:r>
        <w:rPr>
          <w:rFonts w:hint="default" w:ascii="Times New Roman" w:hAnsi="Times New Roman" w:eastAsia="Times New Roman" w:cs="Times New Roman"/>
          <w:i/>
          <w:iCs/>
        </w:rPr>
        <w:t>gaps</w:t>
      </w:r>
      <w:r>
        <w:rPr>
          <w:rFonts w:hint="default" w:ascii="Times New Roman" w:hAnsi="Times New Roman" w:eastAsia="Times New Roman" w:cs="Times New Roman"/>
        </w:rPr>
        <w:t xml:space="preserve">) sem recorrer a métodos de interpolação não lineares que deformam a geometria anatômica, será empregado um algoritmo de projeção de corpo rígido fundamentado na Decomposição em Valores Singulares (SVD), também conhecido como Algoritmo de Kabsch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{"citationID":"JlkSMm5o","properties":{"unsorted":false,"formattedCitation":"[63], [64]","plainCitation":"[63], [64]","noteIndex":0},"citationItems":[{"id":29,"uris":["http://zotero.org/users/17274952/items/39QW84UC"],"itemData":{"id":29,"type":"article-journal","container-title":"Journal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H."}],"issued":{"date-parts":[["1995",6]]}}},{"id":30,"uris":["http://zotero.org/users/17274952/items/TNKF22X7"],"itemData":{"id":30,"type":"article-journal","container-title":"Acta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[63], [64]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 algoritmo utilizará os marcadores fixos dorsais do tronco superior (ex: C7, T10 e dois referências extras) como um cluster de ancoragem para calcular a matriz de rotação e translação otimizada a cada frame, reconstruindo a posição fidedigna dos ombros com precisão submilimétrica durante toda a execução dinâmica. Diferentemente dos ombros, a reconstrução matemática de membros distais altamente independentes (mãos e pernas) via extrapolação de matrizes de rotação rígidas induz a severos artefatos cinemáticos, devido à amplificação do erro espacial ao longo da alavanca anatômica e à suscetibilidade aos artefatos de tecidos moles (</w:t>
      </w:r>
      <w:r>
        <w:rPr>
          <w:rFonts w:hint="default" w:ascii="Times New Roman" w:hAnsi="Times New Roman" w:eastAsia="Times New Roman" w:cs="Times New Roman"/>
          <w:i/>
          <w:iCs/>
        </w:rPr>
        <w:t>Soft Tissue Artifacts</w:t>
      </w:r>
      <w:r>
        <w:rPr>
          <w:rFonts w:hint="default" w:ascii="Times New Roman" w:hAnsi="Times New Roman" w:eastAsia="Times New Roman" w:cs="Times New Roman"/>
        </w:rPr>
        <w:t>)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{"citationID":"XlTHn7jV","properties":{"unsorted":false,"formattedCitation":"[66]","plainCitation":"[66]","noteIndex":0},"citationItems":[{"id":17,"uris":["http://zotero.org/users/17274952/items/8HMANWYC"],"itemData":{"id":17,"type":"article-journal","abstract":"This systematic review critically evaluates the quantiﬁcation of soft tissue artifact (STA) in lower limb human motion analysis. It has a speciﬁc focus on assessing the quality of previous studies and comparing quantitative results. A speciﬁc search strategy identiﬁed 20 published articles or abstracts that fulﬁlled the selection criteria. The quality of the articles was evaluated using a customised critical appraisal tool. Data extraction tools were used to identify key aspects reported in the articles. Most studies had small sample sizes of mostly young, slim participants. Eleven of the reviewed articles used physically invasive techniques to assess STA. STA was found to reach magnitudes of greater than 30 mm on the thigh segment, and up to 15 mm on the tibia. The range of soft tissue artifact reached greater than 25 mm in some cases when comparing the results of reviewed studies.","container-title":"Gait &amp; Posture","DOI":"10.1016/j.gaitpost.2009.09.004","ISSN":"09666362","issue":"1","journalAbbreviation":"Gait &amp; Posture","language":"en","license":"https://www.elsevier.com/tdm/userlicense/1.0/","page":"1-8","source":"DOI.org (Crossref)","title":"Quantification of soft tissue artifact in lower limb human motion analysis: A systematic review","title-short":"Quantification of soft tissue artifact in lower limb human motion analysis","volume":"31","author":[{"family":"Peters","given":"Alana"},{"family":"Galna","given":"Brook"},{"family":"Sangeux","given":"Morgan"},{"family":"Morris","given":"Meg"},{"family":"Baker","given":"Richard"}],"issued":{"date-parts":[["2010",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[66]</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Portanto, para solucionar as falhas de rastreamento de forma fidedigna nestes marcadores, o pipeline aplicará primariamente um filtro não-linear de mediana móvel para a exclusão de ruídos instantâneos e valores atípicos (picos artificiais / </w:t>
      </w:r>
      <w:r>
        <w:rPr>
          <w:rFonts w:hint="default" w:ascii="Times New Roman" w:hAnsi="Times New Roman" w:eastAsia="Times New Roman" w:cs="Times New Roman"/>
          <w:i/>
          <w:iCs/>
        </w:rPr>
        <w:t>spikes </w:t>
      </w:r>
      <w:r>
        <w:rPr>
          <w:rFonts w:hint="default" w:ascii="Times New Roman" w:hAnsi="Times New Roman" w:eastAsia="Times New Roman" w:cs="Times New Roman"/>
        </w:rPr>
        <w:t xml:space="preserve">&gt; 60 mm), preservando os limites reais do sinal cinemático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{"citationID":"H27JlAWq","properties":{"unsorted":false,"formattedCitation":"[67]","plainCitation":"[67]","noteIndex":0},"citationItems":[{"id":23,"uris":["http://zotero.org/users/17274952/items/SA7M78A3"],"itemData":{"id":23,"type":"book","abstract":"Research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Sequencialmente, será realizado o preenchimento temporal das lacunas </w:t>
      </w:r>
      <w:r>
        <w:rPr>
          <w:rFonts w:hint="default" w:ascii="Times New Roman" w:hAnsi="Times New Roman" w:eastAsia="Times New Roman" w:cs="Times New Roman"/>
          <w:i/>
          <w:iCs/>
        </w:rPr>
        <w:t>(gap filling</w:t>
      </w:r>
      <w:r>
        <w:rPr>
          <w:rFonts w:hint="default" w:ascii="Times New Roman" w:hAnsi="Times New Roman" w:eastAsia="Times New Roman" w:cs="Times New Roman"/>
        </w:rPr>
        <w:t>) via interpolação matemática (</w:t>
      </w:r>
      <w:r>
        <w:rPr>
          <w:rFonts w:hint="default" w:ascii="Times New Roman" w:hAnsi="Times New Roman" w:eastAsia="Times New Roman" w:cs="Times New Roman"/>
          <w:i/>
          <w:iCs/>
        </w:rPr>
        <w:t>Spline</w:t>
      </w:r>
      <w:r>
        <w:rPr>
          <w:rFonts w:hint="default" w:ascii="Times New Roman" w:hAnsi="Times New Roman" w:eastAsia="Times New Roman" w:cs="Times New Roman"/>
        </w:rPr>
        <w:t xml:space="preserve">/PCHIP), um método validado para restaurar trajetórias de marcadores ocluídos garantindo a integridade e suavidade do sinal biomecânico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{"citationID":"HZVPDEWW","properties":{"unsorted":false,"formattedCitation":"[68]","plainCitation":"[68]","noteIndex":0},"citationItems":[{"id":16,"uris":["http://zotero.org/users/17274952/items/8ZV983QB"],"itemData":{"id":16,"type":"article-journal","container-title":"Computer Methods in Biomechanics and Biomedical Engineering","DOI":"10.1080/10255841003664701","ISSN":"1025-5842, 1476-8259","issue":"6","journalAbbreviation":"Computer Methods in Biomechanics and Biomedical Engineering","language":"en","page":"847-855","source":"DOI.org (Crossref)","title":"Quantitative assessment of the accuracy for three interpolation techniques in kinematic analysis of human movement","volume":"13","author":[{"family":"Howarth","given":"Samuel J."},{"family":"Callaghan","given":"Jack P."}],"issued":{"date-parts":[["2010",12]]}}}],"schema":"https://github.com/citation-style-language/schema/raw/master/csl-citation.json"}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[68]</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Adicionalmente, foi implementada uma rotina de auditoria visual rigorosa através de um gráfico, a qual sobrepõe instantaneamente as trajetórias verticais de todos os marcadores, permitindo a validação da continuidade do sinal e atestando a ausência de anomalias invisíveis na nuvem de pontos 3D pós-reconstrução</w:t>
      </w:r>
      <w:r>
        <w:rPr>
          <w:rFonts w:hint="default" w:ascii="Times New Roman" w:hAnsi="Times New Roman" w:eastAsia="Times New Roman" w:cs="Times New Roman"/>
          <w:b/>
          <w:bCs/>
        </w:rPr>
        <w:t xml:space="preserve">. </w:t>
      </w:r>
      <w:r>
        <w:rPr>
          <w:rFonts w:hint="default" w:ascii="Times New Roman" w:hAnsi="Times New Roman" w:eastAsia="Times New Roman" w:cs="Times New Roman"/>
        </w:rPr>
        <w:t>Para a extração das métricas, os sinais brutos passarão por pré-processamento para eliminação de ruídos experimentais e vibrações inerentes aos equipamentos sem que ocorra atraso de fase (</w:t>
      </w:r>
      <w:r>
        <w:rPr>
          <w:rFonts w:hint="default" w:ascii="Times New Roman" w:hAnsi="Times New Roman" w:eastAsia="Times New Roman" w:cs="Times New Roman"/>
          <w:i/>
          <w:iCs/>
        </w:rPr>
        <w:t>phase</w:t>
      </w:r>
      <w:r>
        <w:rPr>
          <w:rFonts w:hint="default" w:ascii="Times New Roman" w:hAnsi="Times New Roman" w:eastAsia="Times New Roman" w:cs="Times New Roman"/>
        </w:rPr>
        <w:t xml:space="preserve"> </w:t>
      </w:r>
      <w:r>
        <w:rPr>
          <w:rFonts w:hint="default" w:ascii="Times New Roman" w:hAnsi="Times New Roman" w:eastAsia="Times New Roman" w:cs="Times New Roman"/>
          <w:i/>
          <w:iCs/>
        </w:rPr>
        <w:t>shift</w:t>
      </w:r>
      <w:r>
        <w:rPr>
          <w:rFonts w:hint="default" w:ascii="Times New Roman" w:hAnsi="Times New Roman" w:eastAsia="Times New Roman" w:cs="Times New Roman"/>
        </w:rPr>
        <w:t xml:space="preserve">). Será aplicado um filtro digital passa-baixa Butterworth de 4ª ordem bidirecional (função filtfilt da biblioteca SciPy). A frequência de corte adotada será de 6 Hz para as trajetórias cinemáticas dos marcadores, respeitando o espectro do movimento humano macroscópico, e de 20 Hz para os sinais cinéticos da plataforma de força, a fim de preservar o conteúdo de alta frequência inerente às correções posturais rápidas realizadas pelos punhos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{"citationID":"cjK2Zkcu","properties":{"unsorted":false,"formattedCitation":"[9], [22]","plainCitation":"[9], [22]","noteIndex":0},"citationItems":[{"id":299,"uris":["http://zotero.org/users/17274952/items/EJ28IYIX"],"itemData":{"id":299,"type":"article-journal","abstract":"In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[9], [22]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p>
    <w:p w14:paraId="05A40BD4">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A separação da fase de estabilização no </w:t>
      </w:r>
      <w:r>
        <w:rPr>
          <w:rFonts w:hint="default" w:ascii="Times New Roman" w:hAnsi="Times New Roman" w:cs="Times New Roman"/>
          <w:i/>
          <w:iCs/>
        </w:rPr>
        <w:t xml:space="preserve">HS </w:t>
      </w:r>
      <w:r>
        <w:rPr>
          <w:rFonts w:hint="default" w:ascii="Times New Roman" w:hAnsi="Times New Roman" w:cs="Times New Roman"/>
        </w:rPr>
        <w:t>nas tentativas assistidas será determinada de forma autônoma pelo algoritmo cinemático, delimitando o início cronometrado do equilíbrio pelo distanciamento espacial entre um marcador fixado na mão do pesquisador (M_PESQ) e o membro inferior do voluntário, assegurando o isolamento do controle postural não assistido. Para as tentativas livres o início do equilíbrio estático será categorizado algoritmicamente quando a coordenada vertical (eixo Z) do marcador distal mais alto do membro inferior (rastreado de forma dinâmica e ambidestra entre calcanhares, tornozelos ou hálux) superar a altura do centro pélvico em no mínimo 300 mm. De forma global, para ambas as condições (livre e assistida), o término da tentativa será assinalado pela queda abrupta do marcador distal mais alto do membro inferior, ultrapassando de forma descendente o referido limiar de tolerância vertical (descida das pernas abaixo de 300 mm em relação ao centro pélvico). Em relação ao HSW, a delimitação temporal do percurso válido será estabelecida pela ciclicidade do contato palmar. O início da locomoção será identificado algoritmicamente pelo instante do primeiro evento de quebra de contato com o solo (</w:t>
      </w:r>
      <w:r>
        <w:rPr>
          <w:rFonts w:hint="default" w:ascii="Times New Roman" w:hAnsi="Times New Roman" w:cs="Times New Roman"/>
          <w:i/>
          <w:iCs/>
        </w:rPr>
        <w:t>lift</w:t>
      </w:r>
      <w:r>
        <w:rPr>
          <w:rFonts w:hint="default" w:ascii="Times New Roman" w:hAnsi="Times New Roman" w:cs="Times New Roman"/>
        </w:rPr>
        <w:t>-</w:t>
      </w:r>
      <w:r>
        <w:rPr>
          <w:rFonts w:hint="default" w:ascii="Times New Roman" w:hAnsi="Times New Roman" w:cs="Times New Roman"/>
          <w:i/>
          <w:iCs/>
        </w:rPr>
        <w:t>off</w:t>
      </w:r>
      <w:r>
        <w:rPr>
          <w:rFonts w:hint="default" w:ascii="Times New Roman" w:hAnsi="Times New Roman" w:cs="Times New Roman"/>
        </w:rPr>
        <w:t>) de uma das mãos. Consecutivamente, o término da marcha válida será demarcado pelo último evento de toque (</w:t>
      </w:r>
      <w:r>
        <w:rPr>
          <w:rFonts w:hint="default" w:ascii="Times New Roman" w:hAnsi="Times New Roman" w:cs="Times New Roman"/>
          <w:i/>
          <w:iCs/>
        </w:rPr>
        <w:t>touchdown</w:t>
      </w:r>
      <w:r>
        <w:rPr>
          <w:rFonts w:hint="default" w:ascii="Times New Roman" w:hAnsi="Times New Roman" w:cs="Times New Roman"/>
        </w:rPr>
        <w:t>) registrado antes da interrupção da tentativa (configurada pela falha de sustentação e queda abrupta do centro pélvico e membros inferiores no eixo vertical).</w:t>
      </w:r>
    </w:p>
    <w:p w14:paraId="67C8548D">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 xml:space="preserve">No escopo das variáveis estabilométricas, a ineficiência do controle postural será quantificada primariamente através da distância contínua entre o CoP e a projeção vertical do CoM, métrica estritamente ancorada no modelo mecânico do pêndulo invertido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{"citationID":"FkHxMEFZ","properties":{"unsorted":false,"formattedCitation":"[34], [35]","plainCitation":"[34], [35]","noteIndex":0},"citationItems":[{"id":298,"uris":["http://zotero.org/users/17274952/items/VIE3FHTV"],"itemData":{"id":298,"type":"article-journal","container-title":"Gait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[34], [35]</w:t>
      </w:r>
      <w:r>
        <w:rPr>
          <w:rFonts w:hint="default" w:ascii="Times New Roman" w:hAnsi="Times New Roman" w:cs="Times New Roman"/>
        </w:rPr>
        <w:fldChar w:fldCharType="end"/>
      </w:r>
      <w:r>
        <w:rPr>
          <w:rFonts w:hint="default" w:ascii="Times New Roman" w:hAnsi="Times New Roman" w:cs="Times New Roman"/>
        </w:rPr>
        <w:t>. Concomitantemente, a velocidade média do CoP e a ApEn extraída do sinal da plataforma avaliarão, respectivamente, o esforço das reações neuromusculares e a rigidez sistêmica das correções. O alinhamento corporal (Índice de Verticalidade) não será reduzido a projeções bidimensionais padrão ou Ângulos de Euler, suscetíveis ao artefato de </w:t>
      </w:r>
      <w:r>
        <w:rPr>
          <w:rFonts w:hint="default" w:ascii="Times New Roman" w:hAnsi="Times New Roman" w:cs="Times New Roman"/>
          <w:i/>
          <w:iCs/>
        </w:rPr>
        <w:t>Gimbal Lock</w:t>
      </w:r>
      <w:r>
        <w:rPr>
          <w:rFonts w:hint="default" w:ascii="Times New Roman" w:hAnsi="Times New Roman" w:cs="Times New Roman"/>
        </w:rPr>
        <w:t> durante a inversão, mas calculado rigorosamente por meio do produto escalar (</w:t>
      </w:r>
      <w:r>
        <w:rPr>
          <w:rFonts w:hint="default" w:ascii="Times New Roman" w:hAnsi="Times New Roman" w:cs="Times New Roman"/>
          <w:i/>
          <w:iCs/>
        </w:rPr>
        <w:t>Dot Product</w:t>
      </w:r>
      <w:r>
        <w:rPr>
          <w:rFonts w:hint="default" w:ascii="Times New Roman" w:hAnsi="Times New Roman" w:cs="Times New Roman"/>
        </w:rPr>
        <w:t xml:space="preserve">) de vetores 3D absolutos no espaço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{"citationID":"4oRlvAoS","properties":{"unsorted":false,"formattedCitation":"[67], [69]","plainCitation":"[67], [69]","noteIndex":0},"citationItems":[{"id":24,"uris":["http://zotero.org/users/17274952/items/MST5B4NY"],"itemData":{"id":24,"type":"article-journal","abstract":"Background. The International Society of Biomechanics has proposed a standardization recommendation for motion recordings of the upper extremity deﬁning the set of bony landmarks, local coordinate systems and joint coordinate systems. The aim of our study was to verify the clinical interpretation of the proposed rotation sequence for the glenohumeral joint and to compare it with other sequences.","container-title":"Clinical Biomechanics","DOI":"10.1016/j.clinbiomech.2005.09.007","ISSN":"02680033","journalAbbreviation":"Clinical Biomechanics","language":"en","license":"https://www.elsevier.com/tdm/userlicense/1.0/","page":"S3-S8","source":"DOI.org (Crossref)","title":"Rotation sequence as an important factor in shoulder kinematics","volume":"21","author":[{"family":"Šenk","given":"Miroslav"},{"family":"Chèze","given":"Laurence"}],"issued":{"date-parts":[["2006",1]]}}},{"id":23,"uris":["http://zotero.org/users/17274952/items/SA7M78A3"],"itemData":{"id":23,"type":"book","abstract":"Research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[67], [69]</w:t>
      </w:r>
      <w:r>
        <w:rPr>
          <w:rFonts w:hint="default" w:ascii="Times New Roman" w:hAnsi="Times New Roman" w:cs="Times New Roman"/>
        </w:rPr>
        <w:fldChar w:fldCharType="end"/>
      </w:r>
      <w:r>
        <w:rPr>
          <w:rFonts w:hint="default" w:ascii="Times New Roman" w:hAnsi="Times New Roman" w:cs="Times New Roman"/>
        </w:rPr>
        <w:t>. Para a tarefa dinâmica (</w:t>
      </w:r>
      <w:r>
        <w:rPr>
          <w:rFonts w:hint="default" w:ascii="Times New Roman" w:hAnsi="Times New Roman" w:cs="Times New Roman"/>
          <w:i/>
          <w:iCs/>
        </w:rPr>
        <w:t>HSW</w:t>
      </w:r>
      <w:r>
        <w:rPr>
          <w:rFonts w:hint="default" w:ascii="Times New Roman" w:hAnsi="Times New Roman" w:cs="Times New Roman"/>
        </w:rPr>
        <w:t>), as métricas espaço-temporais primárias (cadência, variabilidade espacial e temporal) e as descritivas (velocidade média de deslocamento, tempo de contato palmar e duração da fase de duplo suporte) serão extraídas pela identificação matemática automatizada de mínimos globais na derivada da posição dos marcadores dos punhos, garantindo a delimitação precisa dos eventos de toque (touchdown) e de propulsão (</w:t>
      </w:r>
      <w:r>
        <w:rPr>
          <w:rFonts w:hint="default" w:ascii="Times New Roman" w:hAnsi="Times New Roman" w:cs="Times New Roman"/>
          <w:i/>
          <w:iCs/>
        </w:rPr>
        <w:t>lift</w:t>
      </w:r>
      <w:r>
        <w:rPr>
          <w:rFonts w:hint="default" w:ascii="Times New Roman" w:hAnsi="Times New Roman" w:cs="Times New Roman"/>
        </w:rPr>
        <w:t>-</w:t>
      </w:r>
      <w:r>
        <w:rPr>
          <w:rFonts w:hint="default" w:ascii="Times New Roman" w:hAnsi="Times New Roman" w:cs="Times New Roman"/>
          <w:i/>
          <w:iCs/>
        </w:rPr>
        <w:t>off</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{"citationID":"n2rlyteM","properties":{"unsorted":false,"formattedCitation":"[70], [71]","plainCitation":"[70], [71]","noteIndex":0},"citationItems":[{"id":22,"uris":["http://zotero.org/users/17274952/items/HD7T2KXH"],"itemData":{"id":22,"type":"article-journal","abstract":"When analysing gait, the identification of the period of stance is often needed. Forceplates are typically used, but in their absence kinematic data can be employed. Five kinematic methods have been previously described in the literature. However, these methods have not been compared to each other for overground or treadmill running. Therefore, the purpose of this study was to compare these five kinematic methods of identifying the stance phase with vertical ground reaction force data both during overground and treadmill running. We recruited forty recreational runners (20 males) for this study. Twenty runners underwent an instrumented gait analysis during overground running, and twenty were tested during instrumented treadmill running. All runners ran at 3.35 m·s−1. Each kinematic method was compared with stance identified from the vertical ground reaction force (gold standard) for overground running. This method was then repeated for treadmill running. Two methods were found to be valid and reliable for determining footstrike. These were the time when the distal heel marker reached a minimum vertical position, and when the vertical velocity of this same marker changed from negative to positive. These methods had absolute errors that ranged from 22.4 ms to 24.6 ms for both modes of running. Toe-off was best identified using peak knee extension, with absolute errors of 4.9 ms for overground running and 5.2 ms for treadmill running. Utilising automated kinematic methods of determining stance will aid researchers studying running when forceplates are unavailable.","container-title":"Journal of Science and Medicine in Sport","DOI":"10.1016/j.jsams.2010.03.006","ISSN":"14402440","issue":"6","journalAbbreviation":"Journal of Science and Medicine in Sport","language":"en","license":"https://www.elsevier.com/tdm/userlicense/1.0/","page":"646-650","source":"DOI.org (Crossref)","title":"Comparison of methods for kinematic identification of footstrike and toe-off during overground and treadmill running","volume":"13","author":[{"family":"Fellin","given":"Rebecca E."},{"family":"Rose","given":"William C."},{"family":"Royer","given":"Todd D."},{"family":"Davis","given":"Irene S."}],"issued":{"date-parts":[["2010",11]]}}},{"id":21,"uris":["http://zotero.org/users/17274952/items/ZFR4H3AZ"],"itemData":{"id":21,"type":"article-journal","container-title":"Gait &amp; Posture","DOI":"10.1016/j.gaitpost.2007.07.007","ISSN":"09666362","issue":"4","journalAbbreviation":"Gait &amp; Posture","language":"en","license":"https://www.elsevier.com/tdm/userlicense/1.0/","page":"710-714","source":"DOI.org (Crossref)","title":"Two simple methods for determining gait events during treadmill and overground walking using kinematic data","volume":"27","author":[{"family":"Zeni","given":"J.A."},{"family":"Richards","given":"J.G."},{"family":"Higginson","given":"J.S."}],"issued":{"date-parts":[["2008",5]]}}}],"schema":"https://github.com/citation-style-language/schema/raw/master/csl-citation.json"}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[70], [71]</w:t>
      </w:r>
      <w:r>
        <w:rPr>
          <w:rFonts w:hint="default" w:ascii="Times New Roman" w:hAnsi="Times New Roman" w:cs="Times New Roman"/>
        </w:rPr>
        <w:fldChar w:fldCharType="end"/>
      </w:r>
      <w:r>
        <w:rPr>
          <w:rFonts w:hint="default" w:ascii="Times New Roman" w:hAnsi="Times New Roman" w:cs="Times New Roman"/>
        </w:rPr>
        <w:t>. Para mitigar de forma automatizada a perda de dados decorrente de oclusões críticas, o algoritmo incorpora salvaguardas anatômicas dinâmicas (</w:t>
      </w:r>
      <w:r>
        <w:rPr>
          <w:rFonts w:hint="default" w:ascii="Times New Roman" w:hAnsi="Times New Roman" w:cs="Times New Roman"/>
          <w:i/>
          <w:iCs/>
        </w:rPr>
        <w:t>failsafes</w:t>
      </w:r>
      <w:r>
        <w:rPr>
          <w:rFonts w:hint="default" w:ascii="Times New Roman" w:hAnsi="Times New Roman" w:cs="Times New Roman"/>
        </w:rPr>
        <w:t>). Por exemplo, na ocorrência de oclusão severa dos marcadores dos punhos durante a locomoção invertida, o sistema transita automaticamente o rastreamento e detecção do evento de toque para os marcadores dos dedos (LFIN/RFIN), os quais apresentam perfil cinemático análogo na fase de apoio, sem prejuízo ao cálculo cadencial. A matriz final de variáveis será exportada nativamente pela rotina computacional estruturada, alimentando diretamente os modelos de regressão linear e logística do delineamento estatístico proposto.</w:t>
      </w:r>
    </w:p>
    <w:p w14:paraId="4510B0B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3.</w:t>
      </w:r>
      <w:r>
        <w:rPr>
          <w:rFonts w:hint="default" w:ascii="Times New Roman" w:hAnsi="Times New Roman" w:eastAsia="Times New Roman" w:cs="Times New Roman"/>
          <w:lang w:val="pt-BR"/>
        </w:rPr>
        <w:t>5</w:t>
      </w:r>
      <w:r>
        <w:rPr>
          <w:rFonts w:hint="default" w:ascii="Times New Roman" w:hAnsi="Times New Roman" w:eastAsia="Times New Roman" w:cs="Times New Roman"/>
        </w:rPr>
        <w:t xml:space="preserve"> Análise Estatística</w:t>
      </w:r>
    </w:p>
    <w:p w14:paraId="36A10CE7">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 xml:space="preserve">A análise estatística será conduzida no </w:t>
      </w:r>
      <w:r>
        <w:rPr>
          <w:rFonts w:hint="default" w:ascii="Times New Roman" w:hAnsi="Times New Roman" w:cs="Times New Roman"/>
          <w:i/>
          <w:iCs/>
        </w:rPr>
        <w:t xml:space="preserve">software </w:t>
      </w:r>
      <w:r>
        <w:rPr>
          <w:rFonts w:hint="default" w:ascii="Times New Roman" w:hAnsi="Times New Roman" w:cs="Times New Roman"/>
        </w:rPr>
        <w:t xml:space="preserve">SPSS (versão 28.0 ou superior). Inicialmente, será realizada uma análise estatística descritiva abrangente para a caracterização do perfil da amostra. A normalidade da distribuição dos dados contínuos será verificada por meio do teste de Shapiro-Wilk. As variáveis contínuas com distribuição paramétrica serão expressas em média e desvio-padrão, enquanto as variáveis não paramétricas serão apresentadas como mediana </w:t>
      </w:r>
      <w:r>
        <w:rPr>
          <w:rFonts w:hint="default" w:ascii="Times New Roman" w:hAnsi="Times New Roman" w:cs="Times New Roman"/>
          <w:lang w:val="pt-BR"/>
        </w:rPr>
        <w:t>e</w:t>
      </w:r>
      <w:r>
        <w:rPr>
          <w:rFonts w:hint="default" w:ascii="Times New Roman" w:hAnsi="Times New Roman" w:cs="Times New Roman"/>
        </w:rPr>
        <w:t xml:space="preserve"> intervalo interquartil.</w:t>
      </w:r>
    </w:p>
    <w:p w14:paraId="10E4FBA1">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As variáveis categóricas</w:t>
      </w:r>
      <w:r>
        <w:rPr>
          <w:rFonts w:hint="default" w:ascii="Times New Roman" w:hAnsi="Times New Roman" w:cs="Times New Roman"/>
          <w:lang w:val="pt-BR"/>
        </w:rPr>
        <w:t xml:space="preserve">: </w:t>
      </w:r>
      <w:r>
        <w:rPr>
          <w:rFonts w:hint="default" w:ascii="Times New Roman" w:hAnsi="Times New Roman" w:cs="Times New Roman"/>
        </w:rPr>
        <w:t xml:space="preserve">distribuição das modalidades esportivas praticadas e </w:t>
      </w:r>
      <w:r>
        <w:rPr>
          <w:rFonts w:hint="default" w:ascii="Times New Roman" w:hAnsi="Times New Roman" w:cs="Times New Roman"/>
          <w:lang w:val="pt-BR"/>
        </w:rPr>
        <w:t>o</w:t>
      </w:r>
      <w:r>
        <w:rPr>
          <w:rFonts w:hint="default" w:ascii="Times New Roman" w:hAnsi="Times New Roman" w:cs="Times New Roman"/>
        </w:rPr>
        <w:t xml:space="preserve"> perfil de prática  modalidade </w:t>
      </w:r>
      <w:r>
        <w:rPr>
          <w:rFonts w:hint="default" w:ascii="Times New Roman" w:hAnsi="Times New Roman" w:cs="Times New Roman"/>
          <w:lang w:val="pt-BR"/>
        </w:rPr>
        <w:t>(</w:t>
      </w:r>
      <w:r>
        <w:rPr>
          <w:rFonts w:hint="default" w:ascii="Times New Roman" w:hAnsi="Times New Roman" w:cs="Times New Roman"/>
        </w:rPr>
        <w:t>exclusiva vs. praticantes multimodais de duas ou mais modalidades</w:t>
      </w:r>
      <w:r>
        <w:rPr>
          <w:rFonts w:hint="default" w:ascii="Times New Roman" w:hAnsi="Times New Roman" w:cs="Times New Roman"/>
          <w:lang w:val="pt-BR"/>
        </w:rPr>
        <w:t xml:space="preserve">) </w:t>
      </w:r>
      <w:r>
        <w:rPr>
          <w:rFonts w:hint="default" w:ascii="Times New Roman" w:hAnsi="Times New Roman" w:cs="Times New Roman"/>
        </w:rPr>
        <w:t>serão empregadas com finalidade estritamente descritiva para contextualizar a heterogeneidade da amostra, sendo expressas em frequências absolutas (n) e relativas (%), sem compor os modelos de regressão.</w:t>
      </w:r>
    </w:p>
    <w:p w14:paraId="5EEC2138">
      <w:pPr>
        <w:pStyle w:val="11"/>
        <w:spacing w:before="0" w:beforeAutospacing="0" w:after="0" w:afterAutospacing="0" w:line="360" w:lineRule="auto"/>
        <w:ind w:firstLine="708"/>
        <w:jc w:val="both"/>
        <w:rPr>
          <w:rFonts w:hint="default" w:ascii="Times New Roman" w:hAnsi="Times New Roman" w:eastAsia="Times New Roman" w:cs="Times New Roman"/>
        </w:rPr>
      </w:pPr>
      <w:r>
        <w:rPr>
          <w:rFonts w:hint="default" w:ascii="Times New Roman" w:hAnsi="Times New Roman" w:cs="Times New Roman"/>
        </w:rPr>
        <w:t>Subsequentemente, para testar as hipóteses</w:t>
      </w:r>
      <w:r>
        <w:rPr>
          <w:rFonts w:hint="default" w:ascii="Times New Roman" w:hAnsi="Times New Roman" w:cs="Times New Roman"/>
          <w:lang w:val="pt-BR"/>
        </w:rPr>
        <w:t xml:space="preserve"> </w:t>
      </w:r>
      <w:r>
        <w:rPr>
          <w:rFonts w:hint="default" w:ascii="Times New Roman" w:hAnsi="Times New Roman" w:cs="Times New Roman"/>
        </w:rPr>
        <w:t>preditivas do estudo, as variáveis quantitativas serão submetidas aos modelos temáticos de regressão linear múltipla e ao modelo de regressão logística binária descritos a seguir, adotando-se um nível de significância de α</w:t>
      </w:r>
      <w:r>
        <w:rPr>
          <w:rFonts w:hint="default" w:ascii="Times New Roman" w:hAnsi="Times New Roman" w:cs="Times New Roman"/>
          <w:lang w:val="pt-BR"/>
        </w:rPr>
        <w:t>=</w:t>
      </w:r>
      <w:r>
        <w:rPr>
          <w:rFonts w:hint="default" w:ascii="Times New Roman" w:hAnsi="Times New Roman" w:cs="Times New Roman"/>
        </w:rPr>
        <w:t>0,05</w:t>
      </w:r>
      <w:r>
        <w:rPr>
          <w:rFonts w:hint="default" w:ascii="Times New Roman" w:hAnsi="Times New Roman" w:cs="Times New Roman"/>
          <w:lang w:val="pt-BR"/>
        </w:rPr>
        <w:t xml:space="preserve">. </w:t>
      </w:r>
      <w:r>
        <w:rPr>
          <w:rFonts w:hint="default" w:ascii="Times New Roman" w:hAnsi="Times New Roman" w:eastAsia="Times New Roman" w:cs="Times New Roman"/>
        </w:rPr>
        <w:t>Esta abordagem permite testar hipóteses específicas com maior poder estatístico, evitando os desafios de um único grande modelo com excesso de preditores.</w:t>
      </w:r>
    </w:p>
    <w:p w14:paraId="39C09C0C">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A estruturação dos modelos preditivos fundamenta-se na transposição dos princípios de controle postural e análise da marcha bípede para as tarefas de suporte invertido, seja no equilíbrio estático (</w:t>
      </w:r>
      <w:r>
        <w:rPr>
          <w:rFonts w:hint="default" w:ascii="Times New Roman" w:hAnsi="Times New Roman" w:eastAsia="Times New Roman" w:cs="Times New Roman"/>
          <w:i/>
          <w:iCs/>
        </w:rPr>
        <w:t>HS</w:t>
      </w:r>
      <w:r>
        <w:rPr>
          <w:rFonts w:hint="default" w:ascii="Times New Roman" w:hAnsi="Times New Roman" w:eastAsia="Times New Roman" w:cs="Times New Roman"/>
        </w:rPr>
        <w:t>) quanto a locomoção dinâmica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[45], [46]. Parte-se da premissa de que a gestão do CoM e a regulação da motora operam sob mecanismos análogos aos descritos na literatura clássica de estabilidade e marcha humana, adaptados às exigências mecânicas dos membros superiores [3], [24]. </w:t>
      </w:r>
    </w:p>
    <w:p w14:paraId="3A550F58">
      <w:pPr>
        <w:pStyle w:val="11"/>
        <w:spacing w:before="0" w:beforeAutospacing="0" w:after="0" w:afterAutospacing="0" w:line="360" w:lineRule="auto"/>
        <w:ind w:firstLine="708"/>
        <w:jc w:val="both"/>
        <w:rPr>
          <w:rFonts w:hint="default" w:ascii="Times New Roman" w:hAnsi="Times New Roman" w:cs="Times New Roman"/>
          <w:lang w:val="pt-BR"/>
        </w:rPr>
      </w:pPr>
      <w:r>
        <w:rPr>
          <w:rFonts w:hint="default" w:ascii="Times New Roman" w:hAnsi="Times New Roman" w:cs="Times New Roman"/>
        </w:rPr>
        <w:t>Referente à análise cinemática da técnica, optou-se pela decomposição das variáveis articulares em dois indicadores distintos: o índice de verticalidade e a extensão cervical. O índice de verticalidade será definido pelo alinhamento entre ombro e quadril, buscando a proximidade com o ângulo de 180°. Esta variável quantifica a eficiência mecânica do alinhamento articular como fator determinante ou não para a redução do torque muscular necessário ao equilíbrio. O ângulo de extensão cervical será analisado de forma independente, visto que a posição da cabeça exerce uma influência dupla no desempenho: mecânica, através do deslocamento de massa que pode induzir compensações na curvatura lombar; e sensorial, por determinar o campo visual e a orientação do sistema vestibular [13],[25],[42]. Esta separação permite identificar se eventuais desvios na verticalidade são estratégias deliberadas para otimização do feedback visual ou falhas na organização segmentar do tronco e membros.</w:t>
      </w:r>
      <w:r>
        <w:rPr>
          <w:rFonts w:hint="default" w:ascii="Times New Roman" w:hAnsi="Times New Roman" w:cs="Times New Roman"/>
          <w:lang w:val="pt-BR"/>
        </w:rPr>
        <w:t xml:space="preserve"> </w:t>
      </w:r>
      <w:r>
        <w:rPr>
          <w:rFonts w:hint="default" w:ascii="Times New Roman" w:hAnsi="Times New Roman" w:cs="Times New Roman"/>
        </w:rPr>
        <w:t>Ressalta-se que a articulação do punho não foi incluída no cálculo do índice de verticalidade porque atua em ~70° a 90° como a base de apoio que gera torques de correção no solo, função que já é avaliada pela plataforma de força e pelo dinamômetro isocinético</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{"citationID":"Nzewntlg","properties":{"unsorted":false,"formattedCitation":"[3]","plainCitation":"[3]","noteIndex":0},"citationItems":[{"id":336,"uris":["http://zotero.org/users/17274952/items/P82NI7IB"],"itemData":{"id":336,"type":"article-journal","abstract":"KERWIN,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[3]</w:t>
      </w:r>
      <w:r>
        <w:rPr>
          <w:rFonts w:hint="default" w:ascii="Times New Roman" w:hAnsi="Times New Roman" w:cs="Times New Roman"/>
          <w:lang w:val="pt-BR"/>
        </w:rPr>
        <w:fldChar w:fldCharType="end"/>
      </w:r>
      <w:r>
        <w:rPr>
          <w:rFonts w:hint="default" w:ascii="Times New Roman" w:hAnsi="Times New Roman" w:cs="Times New Roman"/>
        </w:rPr>
        <w:t xml:space="preserve">. Além disso, a flexão plantar do tornozelo ('ponta de pé') será extraída a partir dos marcadores dos pés do protocolo </w:t>
      </w:r>
      <w:r>
        <w:rPr>
          <w:rFonts w:hint="default" w:ascii="Times New Roman" w:hAnsi="Times New Roman" w:cs="Times New Roman"/>
          <w:i/>
          <w:iCs/>
        </w:rPr>
        <w:t xml:space="preserve">Plug-in Gait </w:t>
      </w:r>
      <w:r>
        <w:rPr>
          <w:rFonts w:hint="default" w:ascii="Times New Roman" w:hAnsi="Times New Roman" w:cs="Times New Roman"/>
          <w:i/>
          <w:iCs/>
        </w:rPr>
        <w:fldChar w:fldCharType="begin"/>
      </w:r>
      <w:r>
        <w:rPr>
          <w:rFonts w:hint="default" w:ascii="Times New Roman" w:hAnsi="Times New Roman" w:cs="Times New Roman"/>
          <w:i/>
          <w:iCs/>
          <w:lang w:val="pt-BR"/>
        </w:rPr>
        <w:instrText xml:space="preserve"> ADDIN ZOTERO_ITEM CSL_CITATION {"citationID":"hQAg8Mig","properties":{"unsorted":false,"formattedCitation":"[61]","plainCitation":"[61]","noteIndex":0},"citationItems":[{"id":19,"uris":["http://zotero.org/users/17274952/items/9YDQ4XD5"],"itemData":{"id":19,"type":"article-journal","container-title":"Human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R."}],"issued":{"date-parts":[["1991",10]]}}}],"schema":"https://github.com/citation-style-language/schema/raw/master/csl-citation.json"} </w:instrText>
      </w:r>
      <w:r>
        <w:rPr>
          <w:rFonts w:hint="default" w:ascii="Times New Roman" w:hAnsi="Times New Roman" w:cs="Times New Roman"/>
          <w:i/>
          <w:iCs/>
        </w:rPr>
        <w:fldChar w:fldCharType="separate"/>
      </w:r>
      <w:r>
        <w:rPr>
          <w:rFonts w:hint="default" w:ascii="Times New Roman" w:hAnsi="Times New Roman" w:cs="Times New Roman"/>
          <w:i/>
          <w:iCs/>
          <w:lang w:val="pt-BR"/>
        </w:rPr>
        <w:t>[61]</w:t>
      </w:r>
      <w:r>
        <w:rPr>
          <w:rFonts w:hint="default" w:ascii="Times New Roman" w:hAnsi="Times New Roman" w:cs="Times New Roman"/>
          <w:i/>
          <w:iCs/>
        </w:rPr>
        <w:fldChar w:fldCharType="end"/>
      </w:r>
      <w:r>
        <w:rPr>
          <w:rFonts w:hint="default" w:ascii="Times New Roman" w:hAnsi="Times New Roman" w:cs="Times New Roman"/>
        </w:rPr>
        <w:t>, permitindo avaliar se a rigidez da cadeia dos membros inferiores contribui para a estabilidade na postura invertida</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{"citationID":"Zt1YKou9","properties":{"unsorted":false,"formattedCitation":"[28], [31]","plainCitation":"[28], [31]","noteIndex":0},"citationItems":[{"id":46,"uris":["http://zotero.org/users/17274952/items/J9KKGBUR"],"itemData":{"id":46,"type":"article-journal","abstract":"The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[28], [31]</w:t>
      </w:r>
      <w:r>
        <w:rPr>
          <w:rFonts w:hint="default" w:ascii="Times New Roman" w:hAnsi="Times New Roman" w:cs="Times New Roman"/>
          <w:lang w:val="pt-BR"/>
        </w:rPr>
        <w:fldChar w:fldCharType="end"/>
      </w:r>
      <w:r>
        <w:rPr>
          <w:rFonts w:hint="default" w:ascii="Times New Roman" w:hAnsi="Times New Roman" w:cs="Times New Roman"/>
          <w:lang w:val="pt-BR"/>
        </w:rPr>
        <w:t>.</w:t>
      </w:r>
    </w:p>
    <w:p w14:paraId="648B149D">
      <w:pPr>
        <w:pStyle w:val="11"/>
        <w:spacing w:before="0" w:beforeAutospacing="0" w:after="0" w:afterAutospacing="0" w:line="360" w:lineRule="auto"/>
        <w:jc w:val="both"/>
        <w:rPr>
          <w:rFonts w:hint="default" w:ascii="Times New Roman" w:hAnsi="Times New Roman" w:cs="Times New Roman"/>
          <w:lang w:val="pt-BR"/>
        </w:rPr>
      </w:pPr>
      <w:r>
        <w:rPr>
          <w:rFonts w:hint="default" w:ascii="Times New Roman" w:hAnsi="Times New Roman" w:eastAsia="SimSun" w:cs="Times New Roman"/>
          <w:sz w:val="24"/>
          <w:szCs w:val="24"/>
          <w:lang w:val="pt-BR"/>
        </w:rPr>
        <w:t xml:space="preserve">3.5.1 </w:t>
      </w:r>
      <w:r>
        <w:rPr>
          <w:rFonts w:hint="default" w:ascii="Times New Roman" w:hAnsi="Times New Roman" w:eastAsia="SimSun" w:cs="Times New Roman"/>
          <w:sz w:val="24"/>
          <w:szCs w:val="24"/>
        </w:rPr>
        <w:t xml:space="preserve">Modelos Preditivos para o </w:t>
      </w:r>
      <w:r>
        <w:rPr>
          <w:rFonts w:hint="default" w:ascii="Times New Roman" w:hAnsi="Times New Roman" w:eastAsia="SimSun" w:cs="Times New Roman"/>
          <w:sz w:val="24"/>
          <w:szCs w:val="24"/>
          <w:lang w:val="pt-BR"/>
        </w:rPr>
        <w:t>HS</w:t>
      </w:r>
    </w:p>
    <w:p w14:paraId="7B83C27E">
      <w:pPr>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Para a análise de manutenção do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rPr>
        <w:t>, os modelos preditivos 1 a 5 utilizarão como variável dependente o melhor tempo de sustentação extraído exclusivamente do bloco de tentativas com entrada assistida. Esta decisão metodológica tem o propósito de isolar o controle postural da habilidade coordenativa de ascensão (</w:t>
      </w:r>
      <w:r>
        <w:rPr>
          <w:rFonts w:hint="default" w:ascii="Times New Roman" w:hAnsi="Times New Roman" w:eastAsia="Times New Roman" w:cs="Times New Roman"/>
          <w:i/>
          <w:iCs/>
        </w:rPr>
        <w:t>kick-up</w:t>
      </w:r>
      <w:r>
        <w:rPr>
          <w:rFonts w:hint="default" w:ascii="Times New Roman" w:hAnsi="Times New Roman" w:eastAsia="Times New Roman" w:cs="Times New Roman"/>
        </w:rPr>
        <w:t>)</w:t>
      </w:r>
      <w:r>
        <w:rPr>
          <w:rFonts w:hint="default" w:ascii="Times New Roman" w:hAnsi="Times New Roman" w:eastAsia="Times New Roman" w:cs="Times New Roman"/>
          <w:lang w:val="pt-BR"/>
        </w:rPr>
        <w:t xml:space="preserve"> e busca autonoma pelo equilíbrio</w:t>
      </w:r>
      <w:r>
        <w:rPr>
          <w:rFonts w:hint="default" w:ascii="Times New Roman" w:hAnsi="Times New Roman" w:eastAsia="Times New Roman" w:cs="Times New Roman"/>
        </w:rPr>
        <w:t xml:space="preserve">. A habilidade de ascensão exige uma coordenação sensório-motora distinta da mera manutenção do equilíbrio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{"citationID":"8veXqB6P","properties":{"unsorted":false,"formattedCitation":"[31]","plainCitation":"[31]","noteIndex":0},"citationItems":[{"id":46,"uris":["http://zotero.org/users/17274952/items/J9KKGBUR"],"itemData":{"id":46,"type":"article-journal","abstract":"The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[31]</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sendo caracterizada pela necessidade de gerar momento angular suficiente para elevar o CoM, freando-o precisamente no ponto de instabilidade vertical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{"citationID":"AX6y9Mv6","properties":{"unsorted":false,"formattedCitation":"[2], [23]","plainCitation":"[2], [23]","noteIndex":0},"citationItems":[{"id":327,"uris":["http://zotero.org/users/17274952/items/7HMEIQK4"],"itemData":{"id":327,"type":"article-journal","abstract":"Despite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 [23]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Por sua vez, a autonomia na ascensão e os fatores determinantes para o êxito nas tentativas de entrada livre serão analisados de forma isolada em um modelo estatístico dedicado.</w:t>
      </w:r>
    </w:p>
    <w:p w14:paraId="7F938BCE">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Assim sendo, para o melhor tempo de sustentação</w:t>
      </w:r>
      <w:r>
        <w:rPr>
          <w:rFonts w:hint="default" w:ascii="Times New Roman" w:hAnsi="Times New Roman" w:cs="Times New Roman"/>
          <w:lang w:val="pt-BR"/>
        </w:rPr>
        <w:t xml:space="preserve"> (s)</w:t>
      </w:r>
      <w:r>
        <w:rPr>
          <w:rFonts w:hint="default" w:ascii="Times New Roman" w:hAnsi="Times New Roman" w:cs="Times New Roman"/>
        </w:rPr>
        <w:t xml:space="preserve"> no </w:t>
      </w:r>
      <w:r>
        <w:rPr>
          <w:rFonts w:hint="default" w:ascii="Times New Roman" w:hAnsi="Times New Roman" w:cs="Times New Roman"/>
          <w:i/>
          <w:iCs/>
        </w:rPr>
        <w:t>HS</w:t>
      </w:r>
      <w:r>
        <w:rPr>
          <w:rFonts w:hint="default" w:ascii="Times New Roman" w:hAnsi="Times New Roman" w:cs="Times New Roman"/>
        </w:rPr>
        <w:t xml:space="preserve"> como variável dependente, serão testados os modelos abaixo:</w:t>
      </w:r>
    </w:p>
    <w:p w14:paraId="736D671E">
      <w:pPr>
        <w:pStyle w:val="5"/>
        <w:spacing w:before="0" w:line="360" w:lineRule="auto"/>
        <w:rPr>
          <w:rFonts w:hint="default" w:ascii="Times New Roman" w:hAnsi="Times New Roman" w:eastAsia="Times New Roman" w:cs="Times New Roman"/>
          <w:i w:val="0"/>
          <w:iCs w:val="0"/>
          <w:color w:val="auto"/>
          <w:u w:val="single"/>
        </w:rPr>
      </w:pPr>
      <w:r>
        <w:rPr>
          <w:rFonts w:hint="default" w:ascii="Times New Roman" w:hAnsi="Times New Roman" w:cs="Times New Roman"/>
          <w:i w:val="0"/>
          <w:iCs w:val="0"/>
          <w:color w:val="auto"/>
          <w:u w:val="single"/>
        </w:rPr>
        <w:t xml:space="preserve">Modelo 1: Capacidade Física </w:t>
      </w:r>
    </w:p>
    <w:p w14:paraId="4719D92B">
      <w:pPr>
        <w:pStyle w:val="11"/>
        <w:spacing w:before="0" w:beforeAutospacing="0" w:after="0" w:afterAutospacing="0" w:line="360" w:lineRule="auto"/>
        <w:ind w:firstLine="708"/>
        <w:rPr>
          <w:rFonts w:hint="default" w:ascii="Times New Roman" w:hAnsi="Times New Roman" w:cs="Times New Roman"/>
        </w:rPr>
      </w:pPr>
      <w:r>
        <w:rPr>
          <w:rFonts w:hint="default" w:ascii="Times New Roman" w:hAnsi="Times New Roman" w:eastAsia="SimSun" w:cs="Times New Roman"/>
          <w:sz w:val="24"/>
          <w:szCs w:val="24"/>
        </w:rPr>
        <w:t>Avalia a contribuição da força máxima e da resistência muscular específica sobre a capacidade de gerar torques articulares de sustentação e correção postural contínua</w:t>
      </w:r>
      <w:r>
        <w:rPr>
          <w:rFonts w:hint="default" w:ascii="Times New Roman" w:hAnsi="Times New Roman" w:cs="Times New Roman"/>
        </w:rPr>
        <w:t xml:space="preserve">. </w:t>
      </w:r>
    </w:p>
    <w:p w14:paraId="45AD166B">
      <w:pPr>
        <w:pStyle w:val="11"/>
        <w:spacing w:before="0" w:beforeAutospacing="0" w:after="0" w:afterAutospacing="0" w:line="360" w:lineRule="auto"/>
        <w:ind w:firstLine="708"/>
        <w:rPr>
          <w:rFonts w:hint="default" w:ascii="Times New Roman" w:hAnsi="Times New Roman" w:cs="Times New Roman"/>
        </w:rPr>
      </w:pPr>
      <w:r>
        <w:rPr>
          <w:rFonts w:hint="default" w:ascii="Times New Roman" w:hAnsi="Times New Roman" w:cs="Times New Roman"/>
          <w:b/>
          <w:bCs/>
        </w:rPr>
        <w:t>Variáveis:</w:t>
      </w:r>
    </w:p>
    <w:p w14:paraId="1C41F1DF">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Força relativa no </w:t>
      </w:r>
      <w:r>
        <w:rPr>
          <w:rFonts w:hint="default" w:ascii="Times New Roman" w:hAnsi="Times New Roman" w:cs="Times New Roman"/>
          <w:i/>
          <w:iCs/>
        </w:rPr>
        <w:t>SP</w:t>
      </w:r>
      <w:r>
        <w:rPr>
          <w:rFonts w:hint="default" w:ascii="Times New Roman" w:hAnsi="Times New Roman" w:cs="Times New Roman"/>
        </w:rPr>
        <w:t xml:space="preserve"> (1-RM / massa corporal).</w:t>
      </w:r>
    </w:p>
    <w:p w14:paraId="28E8BA2D">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Resistência em wall-supported HS (segundos).</w:t>
      </w:r>
    </w:p>
    <w:p w14:paraId="05838490">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Média bilateral do pico de torque dos flexores de punho relativo (N·m/kg)</w:t>
      </w:r>
    </w:p>
    <w:p w14:paraId="033B12BD">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Média bilateral da força de preensão manual relativa (kgf/kg).</w:t>
      </w:r>
    </w:p>
    <w:p w14:paraId="2326A4CA">
      <w:pPr>
        <w:pStyle w:val="5"/>
        <w:spacing w:before="0" w:line="360" w:lineRule="auto"/>
        <w:rPr>
          <w:rFonts w:hint="default" w:ascii="Times New Roman" w:hAnsi="Times New Roman" w:cs="Times New Roman"/>
          <w:i w:val="0"/>
          <w:iCs w:val="0"/>
          <w:color w:val="auto"/>
          <w:u w:val="single"/>
        </w:rPr>
      </w:pPr>
      <w:r>
        <w:rPr>
          <w:rFonts w:hint="default" w:ascii="Times New Roman" w:hAnsi="Times New Roman" w:cs="Times New Roman"/>
          <w:i w:val="0"/>
          <w:iCs w:val="0"/>
          <w:color w:val="auto"/>
          <w:u w:val="single"/>
        </w:rPr>
        <w:t xml:space="preserve">Modelo 2: Eficiência do Controle Postural </w:t>
      </w:r>
    </w:p>
    <w:p w14:paraId="4513D0C4">
      <w:pPr>
        <w:pStyle w:val="11"/>
        <w:spacing w:before="0" w:beforeAutospacing="0" w:after="0" w:afterAutospacing="0" w:line="360" w:lineRule="auto"/>
        <w:ind w:firstLine="708" w:firstLineChars="0"/>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Avalia a precisão e a qualidade das correções neuromusculares na base de sustentação frente ao erro real do pêndulo invertido</w:t>
      </w:r>
      <w:r>
        <w:rPr>
          <w:rFonts w:hint="default" w:ascii="Times New Roman" w:hAnsi="Times New Roman" w:eastAsia="SimSun" w:cs="Times New Roman"/>
          <w:sz w:val="24"/>
          <w:szCs w:val="24"/>
          <w:lang w:val="pt-BR"/>
        </w:rPr>
        <w:t>.</w:t>
      </w:r>
    </w:p>
    <w:p w14:paraId="5865D9B6">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565E00E8">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Distância média CoP-CoM (milímetros).</w:t>
      </w:r>
    </w:p>
    <w:p w14:paraId="151835B3">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Velocidade média do CoP (milímetros/segundo)</w:t>
      </w:r>
    </w:p>
    <w:p w14:paraId="6F55A815">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Entropia Aproximada (unidades arbitrárias).</w:t>
      </w:r>
    </w:p>
    <w:p w14:paraId="14274E51">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3: Técnica</w:t>
      </w:r>
    </w:p>
    <w:p w14:paraId="37BFFD7B">
      <w:pPr>
        <w:pStyle w:val="11"/>
        <w:spacing w:before="0" w:beforeAutospacing="0" w:after="0" w:afterAutospacing="0" w:line="360" w:lineRule="auto"/>
        <w:ind w:firstLine="708"/>
        <w:rPr>
          <w:rFonts w:hint="default" w:ascii="Times New Roman" w:hAnsi="Times New Roman" w:cs="Times New Roman"/>
          <w:lang w:val="pt-BR"/>
        </w:rPr>
      </w:pPr>
      <w:r>
        <w:rPr>
          <w:rFonts w:hint="default" w:ascii="Times New Roman" w:hAnsi="Times New Roman" w:cs="Times New Roman"/>
        </w:rPr>
        <w:t>Testa como a conformação segmentar e a geometria da base de apoio influenciam a estabilidade e a economia mecânica da postura</w:t>
      </w:r>
      <w:r>
        <w:rPr>
          <w:rFonts w:hint="default" w:ascii="Times New Roman" w:hAnsi="Times New Roman" w:cs="Times New Roman"/>
          <w:lang w:val="pt-BR"/>
        </w:rPr>
        <w:t>.</w:t>
      </w:r>
    </w:p>
    <w:p w14:paraId="30763D09">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431041E2">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Índice de verticalidade: alinhamento segmentar entre ombro e quadril (graus).</w:t>
      </w:r>
    </w:p>
    <w:p w14:paraId="61BC5D1B">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Ângulo de Extensão Cervical (graus).</w:t>
      </w:r>
    </w:p>
    <w:p w14:paraId="401A1899">
      <w:pPr>
        <w:pStyle w:val="11"/>
        <w:numPr>
          <w:ilvl w:val="1"/>
          <w:numId w:val="5"/>
        </w:numPr>
        <w:spacing w:before="0" w:beforeAutospacing="0" w:after="0" w:afterAutospacing="0" w:line="360" w:lineRule="auto"/>
        <w:rPr>
          <w:rFonts w:hint="default" w:ascii="Times New Roman" w:hAnsi="Times New Roman" w:cs="Times New Roman"/>
          <w:b w:val="0"/>
          <w:bCs w:val="0"/>
          <w:sz w:val="24"/>
          <w:szCs w:val="24"/>
        </w:rPr>
      </w:pPr>
      <w:r>
        <w:rPr>
          <w:rStyle w:val="8"/>
          <w:rFonts w:hint="default" w:ascii="Times New Roman" w:hAnsi="Times New Roman" w:eastAsia="Segoe UI" w:cs="Times New Roman"/>
          <w:b w:val="0"/>
          <w:bCs w:val="0"/>
          <w:i w:val="0"/>
          <w:iCs w:val="0"/>
          <w:caps w:val="0"/>
          <w:color w:val="101010"/>
          <w:spacing w:val="0"/>
          <w:sz w:val="24"/>
          <w:szCs w:val="24"/>
        </w:rPr>
        <w:t>Ângulo de flexão plantar do tornozelo</w:t>
      </w:r>
      <w:r>
        <w:rPr>
          <w:rStyle w:val="8"/>
          <w:rFonts w:hint="default" w:ascii="Times New Roman" w:hAnsi="Times New Roman" w:eastAsia="Segoe UI" w:cs="Times New Roman"/>
          <w:b w:val="0"/>
          <w:bCs w:val="0"/>
          <w:i w:val="0"/>
          <w:iCs w:val="0"/>
          <w:caps w:val="0"/>
          <w:color w:val="101010"/>
          <w:spacing w:val="0"/>
          <w:sz w:val="24"/>
          <w:szCs w:val="24"/>
          <w:lang w:val="pt-BR"/>
        </w:rPr>
        <w:t xml:space="preserve"> </w:t>
      </w:r>
      <w:r>
        <w:rPr>
          <w:rStyle w:val="8"/>
          <w:rFonts w:hint="default" w:ascii="Times New Roman" w:hAnsi="Times New Roman" w:eastAsia="Segoe UI" w:cs="Times New Roman"/>
          <w:b w:val="0"/>
          <w:bCs w:val="0"/>
          <w:i w:val="0"/>
          <w:iCs w:val="0"/>
          <w:caps w:val="0"/>
          <w:color w:val="101010"/>
          <w:spacing w:val="0"/>
          <w:sz w:val="24"/>
          <w:szCs w:val="24"/>
        </w:rPr>
        <w:t>(graus)</w:t>
      </w:r>
    </w:p>
    <w:p w14:paraId="124CC521">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Largura da base de apoio (milímetros).</w:t>
      </w:r>
    </w:p>
    <w:p w14:paraId="2633412E">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Orientação angular das mãos (graus).</w:t>
      </w:r>
    </w:p>
    <w:p w14:paraId="6497150B">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4: Fatores Antropométricos</w:t>
      </w:r>
    </w:p>
    <w:p w14:paraId="4B647757">
      <w:pPr>
        <w:pStyle w:val="11"/>
        <w:spacing w:before="0" w:beforeAutospacing="0" w:after="0" w:afterAutospacing="0" w:line="360" w:lineRule="auto"/>
        <w:ind w:firstLine="708"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Investiga como o comprimento das alavancas ósseas e a distribuição de massa inerte vs. ativa modulam as demandas de torque estabilizador.</w:t>
      </w:r>
    </w:p>
    <w:p w14:paraId="483D2E77">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6E2C552F">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Altura do CoM (milímetros).</w:t>
      </w:r>
    </w:p>
    <w:p w14:paraId="35CCD0A1">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Comprimento dos braços (milímetros).</w:t>
      </w:r>
    </w:p>
    <w:p w14:paraId="0D6C8157">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Quantidade de gordura corporal (percentual).</w:t>
      </w:r>
    </w:p>
    <w:p w14:paraId="06EF2A88">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Massa livre de gordura (quilogramas).</w:t>
      </w:r>
    </w:p>
    <w:p w14:paraId="2839BF4C">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5: Perfil e Experiência</w:t>
      </w:r>
    </w:p>
    <w:p w14:paraId="5AB8D5A5">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Avalia se a idade cronológica atua como limitador funcional ou se o volume acumulado de prática se sobrepõe aos declínios biológicos.</w:t>
      </w:r>
    </w:p>
    <w:p w14:paraId="4A6C870C">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4085B94A">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eastAsia="Times New Roman" w:cs="Times New Roman"/>
          <w:sz w:val="24"/>
          <w:szCs w:val="24"/>
          <w:lang w:val="pt-BR" w:eastAsia="pt-BR" w:bidi="ar-SA"/>
        </w:rPr>
        <w:t>Volume de Prática Acumulada</w:t>
      </w:r>
      <w:r>
        <w:rPr>
          <w:rFonts w:hint="default" w:ascii="Times New Roman" w:hAnsi="Times New Roman" w:cs="Times New Roman"/>
        </w:rPr>
        <w:t xml:space="preserve"> (</w:t>
      </w:r>
      <w:r>
        <w:rPr>
          <w:rFonts w:hint="default" w:ascii="Times New Roman" w:hAnsi="Times New Roman" w:cs="Times New Roman"/>
          <w:lang w:val="pt-BR"/>
        </w:rPr>
        <w:t>horas</w:t>
      </w:r>
      <w:r>
        <w:rPr>
          <w:rFonts w:hint="default" w:ascii="Times New Roman" w:hAnsi="Times New Roman" w:cs="Times New Roman"/>
        </w:rPr>
        <w:t>).</w:t>
      </w:r>
    </w:p>
    <w:p w14:paraId="6522353B">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Idade cronológica (anos)</w:t>
      </w:r>
    </w:p>
    <w:p w14:paraId="50AA2C06">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6: Autonomia de Estabilização </w:t>
      </w:r>
    </w:p>
    <w:p w14:paraId="74371808">
      <w:pPr>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Este modelo avalia os fatores determinantes para a capacidade do praticante de realizar a entrada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de forma autônoma e atingir a fase de estabilização sem auxílio externo, considerando nível de força de membros superiores, proficiência intrínseca no controle postural (medida previamente no bloco assistido) ou tempo de prática acumulada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{"citationID":"OEBC5iKX","properties":{"unsorted":false,"formattedCitation":"[9], [26]","plainCitation":"[9], [26]","noteIndex":0},"citationItems":[{"id":300,"uris":["http://zotero.org/users/17274952/items/GA9H6F87"],"itemData":{"id":300,"type":"article-journal","abstract":"The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[9], [26]</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Diferindo das abordagens anteriores baseadas em regressão linear, será realizada uma regressão logística binária, visto que a variável dependente possui natureza dicotômica: sucesso (conseguiu atingir a posição e manter o equilíbrio de forma independente por no mínimo 3 segundos no bloco de entradas livres) versus falha (incapacidade de estabilização da postura). </w:t>
      </w:r>
    </w:p>
    <w:p w14:paraId="098FC700">
      <w:pPr>
        <w:suppressAutoHyphens w:val="0"/>
        <w:spacing w:line="360" w:lineRule="auto"/>
        <w:ind w:firstLine="708"/>
        <w:jc w:val="left"/>
        <w:rPr>
          <w:rFonts w:hint="default" w:ascii="Times New Roman" w:hAnsi="Times New Roman" w:eastAsia="Times New Roman" w:cs="Times New Roman"/>
          <w:color w:val="101010"/>
        </w:rPr>
      </w:pPr>
      <w:r>
        <w:rPr>
          <w:rFonts w:hint="default" w:ascii="Times New Roman" w:hAnsi="Times New Roman" w:eastAsia="Times New Roman" w:cs="Times New Roman"/>
          <w:b/>
          <w:bCs/>
          <w:color w:val="101010"/>
        </w:rPr>
        <w:t>Variáveis:</w:t>
      </w:r>
    </w:p>
    <w:p w14:paraId="6BD1F3E9">
      <w:pPr>
        <w:numPr>
          <w:ilvl w:val="0"/>
          <w:numId w:val="7"/>
        </w:numPr>
        <w:suppressAutoHyphens w:val="0"/>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Força relativa no SP (1-RM / massa corporal).</w:t>
      </w:r>
    </w:p>
    <w:p w14:paraId="70871239">
      <w:pPr>
        <w:numPr>
          <w:ilvl w:val="0"/>
          <w:numId w:val="7"/>
        </w:numPr>
        <w:suppressAutoHyphens w:val="0"/>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Melhor tempo de sustentação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Assistido (segundos).</w:t>
      </w:r>
    </w:p>
    <w:p w14:paraId="08D31A28">
      <w:pPr>
        <w:numPr>
          <w:ilvl w:val="0"/>
          <w:numId w:val="7"/>
        </w:numPr>
        <w:suppressAutoHyphens w:val="0"/>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Tempo de prática (meses).</w:t>
      </w:r>
    </w:p>
    <w:p w14:paraId="49F82710">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eastAsia="SimSun" w:cs="Times New Roman"/>
          <w:sz w:val="24"/>
          <w:szCs w:val="24"/>
          <w:lang w:val="pt-BR"/>
        </w:rPr>
        <w:t xml:space="preserve">3.5.2 </w:t>
      </w:r>
      <w:r>
        <w:rPr>
          <w:rFonts w:hint="default" w:ascii="Times New Roman" w:hAnsi="Times New Roman" w:eastAsia="SimSun" w:cs="Times New Roman"/>
          <w:sz w:val="24"/>
          <w:szCs w:val="24"/>
        </w:rPr>
        <w:t xml:space="preserve">Modelos Preditivos para o </w:t>
      </w:r>
      <w:r>
        <w:rPr>
          <w:rFonts w:hint="default" w:ascii="Times New Roman" w:hAnsi="Times New Roman" w:eastAsia="SimSun" w:cs="Times New Roman"/>
          <w:i/>
          <w:iCs/>
          <w:sz w:val="24"/>
          <w:szCs w:val="24"/>
          <w:lang w:val="pt-BR"/>
        </w:rPr>
        <w:t>HSW</w:t>
      </w:r>
    </w:p>
    <w:p w14:paraId="18F4D991">
      <w:pPr>
        <w:spacing w:line="360" w:lineRule="auto"/>
        <w:ind w:firstLine="708" w:firstLineChars="0"/>
        <w:rPr>
          <w:rFonts w:hint="default" w:ascii="Times New Roman" w:hAnsi="Times New Roman" w:eastAsia="Times New Roman" w:cs="Times New Roman"/>
        </w:rPr>
      </w:pPr>
      <w:r>
        <w:rPr>
          <w:rFonts w:hint="default" w:ascii="Times New Roman" w:hAnsi="Times New Roman" w:eastAsia="SimSun" w:cs="Times New Roman"/>
          <w:sz w:val="24"/>
          <w:szCs w:val="24"/>
        </w:rPr>
        <w:t xml:space="preserve">Para os modelos de regressão do HSW, a variável dependente será a </w:t>
      </w:r>
      <w:r>
        <w:rPr>
          <w:rFonts w:hint="default" w:ascii="Times New Roman" w:hAnsi="Times New Roman" w:eastAsia="SimSun" w:cs="Times New Roman"/>
          <w:b w:val="0"/>
          <w:bCs w:val="0"/>
          <w:sz w:val="24"/>
          <w:szCs w:val="24"/>
        </w:rPr>
        <w:t>mediana da distância linear percorrida (m),</w:t>
      </w:r>
      <w:r>
        <w:rPr>
          <w:rFonts w:hint="default" w:ascii="Times New Roman" w:hAnsi="Times New Roman" w:eastAsia="SimSun" w:cs="Times New Roman"/>
          <w:sz w:val="24"/>
          <w:szCs w:val="24"/>
        </w:rPr>
        <w:t xml:space="preserve"> adotada por sua robustez frente a quedas prematuras ou tentativas extremas isoladas</w:t>
      </w:r>
      <w:r>
        <w:rPr>
          <w:rFonts w:hint="default" w:ascii="Times New Roman" w:hAnsi="Times New Roman" w:eastAsia="Times New Roman" w:cs="Times New Roman"/>
        </w:rPr>
        <w:t>:</w:t>
      </w:r>
    </w:p>
    <w:p w14:paraId="45C30B0E">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 xml:space="preserve">Modelo 1: Capacidade Física </w:t>
      </w:r>
    </w:p>
    <w:p w14:paraId="0CA4A517">
      <w:pPr>
        <w:pStyle w:val="11"/>
        <w:spacing w:before="0" w:beforeAutospacing="0" w:after="0" w:afterAutospacing="0" w:line="360" w:lineRule="auto"/>
        <w:ind w:firstLine="70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Avalia como a força máxima e a tolerância à fadiga muscular em inversão sustentam a locomoção contínua sobre membros superiores.</w:t>
      </w:r>
    </w:p>
    <w:p w14:paraId="4EE15F9D">
      <w:pPr>
        <w:pStyle w:val="11"/>
        <w:spacing w:before="0" w:beforeAutospacing="0" w:after="0" w:afterAutospacing="0" w:line="360" w:lineRule="auto"/>
        <w:ind w:firstLine="708"/>
        <w:rPr>
          <w:rFonts w:hint="default" w:ascii="Times New Roman" w:hAnsi="Times New Roman" w:cs="Times New Roman"/>
        </w:rPr>
      </w:pPr>
      <w:r>
        <w:rPr>
          <w:rFonts w:hint="default" w:ascii="Times New Roman" w:hAnsi="Times New Roman" w:cs="Times New Roman"/>
          <w:b/>
          <w:bCs/>
        </w:rPr>
        <w:t>Variáveis:</w:t>
      </w:r>
    </w:p>
    <w:p w14:paraId="371DEA52">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Força relativa no </w:t>
      </w:r>
      <w:r>
        <w:rPr>
          <w:rFonts w:hint="default" w:ascii="Times New Roman" w:hAnsi="Times New Roman" w:cs="Times New Roman"/>
          <w:i/>
          <w:iCs/>
        </w:rPr>
        <w:t>SP</w:t>
      </w:r>
      <w:r>
        <w:rPr>
          <w:rFonts w:hint="default" w:ascii="Times New Roman" w:hAnsi="Times New Roman" w:cs="Times New Roman"/>
        </w:rPr>
        <w:t xml:space="preserve"> (1-RM / massa corporal).</w:t>
      </w:r>
    </w:p>
    <w:p w14:paraId="11B30EEE">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Resistência em </w:t>
      </w:r>
      <w:r>
        <w:rPr>
          <w:rFonts w:hint="default" w:ascii="Times New Roman" w:hAnsi="Times New Roman" w:cs="Times New Roman"/>
          <w:i/>
          <w:iCs/>
        </w:rPr>
        <w:t>wall-supported HS</w:t>
      </w:r>
      <w:r>
        <w:rPr>
          <w:rFonts w:hint="default" w:ascii="Times New Roman" w:hAnsi="Times New Roman" w:cs="Times New Roman"/>
        </w:rPr>
        <w:t xml:space="preserve"> (segundos).</w:t>
      </w:r>
    </w:p>
    <w:p w14:paraId="053C7D61">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eastAsia="SimSun" w:cs="Times New Roman"/>
          <w:sz w:val="24"/>
          <w:szCs w:val="24"/>
        </w:rPr>
        <w:t>Índice de Simetria de Membros nos flexores de punho (%)</w:t>
      </w:r>
    </w:p>
    <w:p w14:paraId="10CEEFB5">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2: Eficiência da Locomoção</w:t>
      </w:r>
    </w:p>
    <w:p w14:paraId="2DBDA071">
      <w:pPr>
        <w:pStyle w:val="11"/>
        <w:spacing w:before="0" w:beforeAutospacing="0" w:after="0" w:afterAutospacing="0" w:line="360" w:lineRule="auto"/>
        <w:ind w:firstLine="70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Verifica se a consistência espaço-temporal das passadas e o equilíbrio de força bilateral determinam o alcance da marcha invertida.</w:t>
      </w:r>
    </w:p>
    <w:p w14:paraId="2ED54148">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eastAsia="SimSun" w:cs="Times New Roman"/>
          <w:sz w:val="24"/>
          <w:szCs w:val="24"/>
        </w:rPr>
        <w:t xml:space="preserve"> </w:t>
      </w:r>
      <w:r>
        <w:rPr>
          <w:rFonts w:hint="default" w:ascii="Times New Roman" w:hAnsi="Times New Roman" w:cs="Times New Roman"/>
          <w:b/>
          <w:bCs/>
        </w:rPr>
        <w:t>Variáveis:</w:t>
      </w:r>
    </w:p>
    <w:p w14:paraId="03980F35">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Variabilidade Espacial: coeficiente de variação do comprimento das passadas (%).</w:t>
      </w:r>
    </w:p>
    <w:p w14:paraId="7B8C12C8">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Variabilidade Temporal: Coeficiente de variação do tempo entre passadas (%).</w:t>
      </w:r>
    </w:p>
    <w:p w14:paraId="47B97B24">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Comprimento médio das passadas (Milímetros).</w:t>
      </w:r>
    </w:p>
    <w:p w14:paraId="31B5F0EA">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Cadência: passos por segundo (passos/s).</w:t>
      </w:r>
    </w:p>
    <w:p w14:paraId="2BE916B5">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 xml:space="preserve">Modelo 3: Técnica </w:t>
      </w:r>
    </w:p>
    <w:p w14:paraId="02A86504">
      <w:pPr>
        <w:pStyle w:val="11"/>
        <w:spacing w:before="0" w:beforeAutospacing="0" w:after="0" w:afterAutospacing="0" w:line="360" w:lineRule="auto"/>
        <w:ind w:firstLine="708" w:firstLineChars="0"/>
        <w:jc w:val="both"/>
        <w:rPr>
          <w:rFonts w:hint="default" w:ascii="Times New Roman" w:hAnsi="Times New Roman" w:cs="Times New Roman"/>
        </w:rPr>
      </w:pPr>
      <w:r>
        <w:rPr>
          <w:rFonts w:hint="default" w:ascii="Times New Roman" w:hAnsi="Times New Roman" w:eastAsia="SimSun" w:cs="Times New Roman"/>
          <w:sz w:val="24"/>
          <w:szCs w:val="24"/>
        </w:rPr>
        <w:t>Testa como o alinhamento corporal médio e a rotação das mãos modulam a progressão linear do centro de gravidade</w:t>
      </w:r>
      <w:r>
        <w:rPr>
          <w:rFonts w:hint="default" w:ascii="Times New Roman" w:hAnsi="Times New Roman" w:cs="Times New Roman"/>
        </w:rPr>
        <w:t>.</w:t>
      </w:r>
    </w:p>
    <w:p w14:paraId="50125B6D">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6B4A458D">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Índice de verticalidade: alinhamento segmentar entre ombro e quadril (graus).</w:t>
      </w:r>
    </w:p>
    <w:p w14:paraId="1B5B3413">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Ângulo de Extensão Cervical (graus).</w:t>
      </w:r>
    </w:p>
    <w:p w14:paraId="6C942D15">
      <w:pPr>
        <w:pStyle w:val="11"/>
        <w:numPr>
          <w:ilvl w:val="1"/>
          <w:numId w:val="5"/>
        </w:numPr>
        <w:spacing w:before="0" w:beforeAutospacing="0" w:after="0" w:afterAutospacing="0" w:line="360" w:lineRule="auto"/>
        <w:rPr>
          <w:rFonts w:hint="default" w:ascii="Times New Roman" w:hAnsi="Times New Roman" w:cs="Times New Roman"/>
          <w:b w:val="0"/>
          <w:bCs w:val="0"/>
          <w:sz w:val="24"/>
          <w:szCs w:val="24"/>
        </w:rPr>
      </w:pPr>
      <w:r>
        <w:rPr>
          <w:rStyle w:val="8"/>
          <w:rFonts w:hint="default" w:ascii="Times New Roman" w:hAnsi="Times New Roman" w:eastAsia="Segoe UI" w:cs="Times New Roman"/>
          <w:b w:val="0"/>
          <w:bCs w:val="0"/>
          <w:i w:val="0"/>
          <w:iCs w:val="0"/>
          <w:caps w:val="0"/>
          <w:color w:val="101010"/>
          <w:spacing w:val="0"/>
          <w:sz w:val="24"/>
          <w:szCs w:val="24"/>
        </w:rPr>
        <w:t>Ângulo de flexão plantar do tornozelo</w:t>
      </w:r>
      <w:r>
        <w:rPr>
          <w:rStyle w:val="8"/>
          <w:rFonts w:hint="default" w:ascii="Times New Roman" w:hAnsi="Times New Roman" w:eastAsia="Segoe UI" w:cs="Times New Roman"/>
          <w:b w:val="0"/>
          <w:bCs w:val="0"/>
          <w:i w:val="0"/>
          <w:iCs w:val="0"/>
          <w:caps w:val="0"/>
          <w:color w:val="101010"/>
          <w:spacing w:val="0"/>
          <w:sz w:val="24"/>
          <w:szCs w:val="24"/>
          <w:lang w:val="pt-BR"/>
        </w:rPr>
        <w:t xml:space="preserve"> </w:t>
      </w:r>
      <w:r>
        <w:rPr>
          <w:rStyle w:val="8"/>
          <w:rFonts w:hint="default" w:ascii="Times New Roman" w:hAnsi="Times New Roman" w:eastAsia="Segoe UI" w:cs="Times New Roman"/>
          <w:b w:val="0"/>
          <w:bCs w:val="0"/>
          <w:i w:val="0"/>
          <w:iCs w:val="0"/>
          <w:caps w:val="0"/>
          <w:color w:val="101010"/>
          <w:spacing w:val="0"/>
          <w:sz w:val="24"/>
          <w:szCs w:val="24"/>
        </w:rPr>
        <w:t>(graus)</w:t>
      </w:r>
    </w:p>
    <w:p w14:paraId="14E98E81">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Largura da base de apoio (milímetros).</w:t>
      </w:r>
    </w:p>
    <w:p w14:paraId="5B8356CF">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Orientação angular das mãos (graus).</w:t>
      </w:r>
    </w:p>
    <w:p w14:paraId="613A5004">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4: Transferência de Habilidade (Estático para Dinâmico)</w:t>
      </w:r>
    </w:p>
    <w:p w14:paraId="797EA2E6">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Investiga se a proficiência no equilíbrio estático e a regularidade do sinal estabilométrico transferem-se diretamente para a capacidade locomotora</w:t>
      </w:r>
      <w:r>
        <w:rPr>
          <w:rFonts w:hint="default" w:ascii="Times New Roman" w:hAnsi="Times New Roman" w:eastAsia="SimSun" w:cs="Times New Roman"/>
          <w:sz w:val="24"/>
          <w:szCs w:val="24"/>
          <w:lang w:val="pt-BR"/>
        </w:rPr>
        <w:t>.</w:t>
      </w:r>
    </w:p>
    <w:p w14:paraId="6FC56255">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038C32E9">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Melhor tempo de sustentação no </w:t>
      </w:r>
      <w:r>
        <w:rPr>
          <w:rFonts w:hint="default" w:ascii="Times New Roman" w:hAnsi="Times New Roman" w:cs="Times New Roman"/>
          <w:i/>
          <w:iCs/>
        </w:rPr>
        <w:t>HS</w:t>
      </w:r>
      <w:r>
        <w:rPr>
          <w:rFonts w:hint="default" w:ascii="Times New Roman" w:hAnsi="Times New Roman" w:cs="Times New Roman"/>
        </w:rPr>
        <w:t xml:space="preserve"> (segundos).</w:t>
      </w:r>
    </w:p>
    <w:p w14:paraId="3489CFB0">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ApEn no </w:t>
      </w:r>
      <w:r>
        <w:rPr>
          <w:rFonts w:hint="default" w:ascii="Times New Roman" w:hAnsi="Times New Roman" w:cs="Times New Roman"/>
          <w:i/>
          <w:iCs/>
        </w:rPr>
        <w:t>HS</w:t>
      </w:r>
      <w:r>
        <w:rPr>
          <w:rFonts w:hint="default" w:ascii="Times New Roman" w:hAnsi="Times New Roman" w:cs="Times New Roman"/>
        </w:rPr>
        <w:t xml:space="preserve"> (unidades arbitrárias).</w:t>
      </w:r>
    </w:p>
    <w:p w14:paraId="47B22A05">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5: Fatores Antropométricos</w:t>
      </w:r>
    </w:p>
    <w:p w14:paraId="103530F5">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Avalia a influência das proporções anatômicas e da composição corporal sobre o custo mecânico da locomoção</w:t>
      </w:r>
      <w:r>
        <w:rPr>
          <w:rFonts w:hint="default" w:ascii="Times New Roman" w:hAnsi="Times New Roman" w:eastAsia="SimSun" w:cs="Times New Roman"/>
          <w:sz w:val="24"/>
          <w:szCs w:val="24"/>
          <w:lang w:val="pt-BR"/>
        </w:rPr>
        <w:t>.</w:t>
      </w:r>
    </w:p>
    <w:p w14:paraId="1DB74D72">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1C22DF90">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Altura do CoM (milímetros).</w:t>
      </w:r>
    </w:p>
    <w:p w14:paraId="00E7664B">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Comprimento dos braços (milímetros).</w:t>
      </w:r>
    </w:p>
    <w:p w14:paraId="484BE998">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Quantidade de gordura corporal (percentual).</w:t>
      </w:r>
    </w:p>
    <w:p w14:paraId="234D355A">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Massa livre de gordura (quilogramas).</w:t>
      </w:r>
    </w:p>
    <w:p w14:paraId="25F171E0">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6: Perfil e Experiência</w:t>
      </w:r>
    </w:p>
    <w:p w14:paraId="2E434C29">
      <w:pPr>
        <w:pStyle w:val="11"/>
        <w:spacing w:before="0" w:beforeAutospacing="0" w:after="0" w:afterAutospacing="0" w:line="360" w:lineRule="auto"/>
        <w:ind w:firstLine="708" w:firstLineChars="0"/>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Determina a contribuição relativa da experiência prática acumulada em horas frente à idade cronológica no deslocamento dinâmico</w:t>
      </w:r>
      <w:r>
        <w:rPr>
          <w:rFonts w:hint="default" w:ascii="Times New Roman" w:hAnsi="Times New Roman" w:eastAsia="SimSun" w:cs="Times New Roman"/>
          <w:sz w:val="24"/>
          <w:szCs w:val="24"/>
          <w:lang w:val="pt-BR"/>
        </w:rPr>
        <w:t>.</w:t>
      </w:r>
    </w:p>
    <w:p w14:paraId="3BF79D29">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2554F71A">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eastAsia="SimSun" w:cs="Times New Roman"/>
          <w:sz w:val="24"/>
          <w:szCs w:val="24"/>
        </w:rPr>
        <w:t>Volume de Prática Acumulada (horas totais estimadas)</w:t>
      </w:r>
      <w:r>
        <w:rPr>
          <w:rFonts w:hint="default" w:ascii="Times New Roman" w:hAnsi="Times New Roman" w:cs="Times New Roman"/>
        </w:rPr>
        <w:t>.</w:t>
      </w:r>
    </w:p>
    <w:p w14:paraId="479865AE">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Idade cronológica (anos)</w:t>
      </w:r>
      <w:r>
        <w:rPr>
          <w:rFonts w:hint="default" w:ascii="Times New Roman" w:hAnsi="Times New Roman" w:cs="Times New Roman"/>
          <w:lang w:val="pt-BR"/>
        </w:rPr>
        <w:t>.</w:t>
      </w:r>
    </w:p>
    <w:p w14:paraId="68677DB7">
      <w:pPr>
        <w:pStyle w:val="11"/>
        <w:spacing w:before="0" w:beforeAutospacing="0" w:after="0" w:afterAutospacing="0" w:line="360" w:lineRule="auto"/>
        <w:ind w:firstLine="1064" w:firstLineChars="0"/>
        <w:jc w:val="both"/>
        <w:rPr>
          <w:rFonts w:hint="default" w:ascii="Times New Roman" w:hAnsi="Times New Roman" w:cs="Times New Roman"/>
          <w:i/>
          <w:iCs/>
        </w:rPr>
      </w:pPr>
      <w:r>
        <w:rPr>
          <w:rFonts w:hint="default" w:ascii="Times New Roman" w:hAnsi="Times New Roman" w:cs="Times New Roman"/>
        </w:rPr>
        <w:t xml:space="preserve">As variáveis velocidade média, tempo em duplo suporte e tempo de contato das mãos foram excluídas dos modelos preditivos para evitar o viés de multicolinearidade. Uma vez que a velocidade é o produto matemático do comprimento pela cadência, e os tempos de contato/suporte são componentes intrínsecos da cadência, a inclusão simultânea desses parâmetros poderia inflar artificialmente a variância do modelo, mascarando os reais preditores de proficiência. Contudo, estas variáveis serão mantidas para fins de análise descritiva e comparação entre grupos (ex: praticantes de </w:t>
      </w:r>
      <w:r>
        <w:rPr>
          <w:rFonts w:hint="default" w:ascii="Times New Roman" w:hAnsi="Times New Roman" w:cs="Times New Roman"/>
          <w:i/>
          <w:iCs/>
        </w:rPr>
        <w:t>CrossFit</w:t>
      </w:r>
      <w:r>
        <w:rPr>
          <w:rFonts w:hint="default" w:ascii="Times New Roman" w:hAnsi="Times New Roman" w:cs="Times New Roman"/>
        </w:rPr>
        <w:t xml:space="preserve"> vs. Ginástica). Esta abordagem permite caracterizar as estratégias adaptativas de cada modalidade, como o uso de um maior tempo de duplo suporte para ganho de estabilidade ou maiores velocidades de deslocamento como estratégia de compensação, sem comprometer identificar os fatores que determinam o desempenho no </w:t>
      </w:r>
      <w:r>
        <w:rPr>
          <w:rFonts w:hint="default" w:ascii="Times New Roman" w:hAnsi="Times New Roman" w:cs="Times New Roman"/>
          <w:i/>
          <w:iCs/>
        </w:rPr>
        <w:t>HSW.</w:t>
      </w:r>
    </w:p>
    <w:p w14:paraId="1608FB77">
      <w:pPr>
        <w:pStyle w:val="11"/>
        <w:spacing w:before="0" w:beforeAutospacing="0" w:after="0" w:afterAutospacing="0" w:line="360" w:lineRule="auto"/>
        <w:jc w:val="both"/>
        <w:rPr>
          <w:rFonts w:hint="default" w:ascii="Times New Roman" w:hAnsi="Times New Roman" w:cs="Times New Roman"/>
          <w:lang w:val="pt-BR"/>
        </w:rPr>
      </w:pPr>
      <w:r>
        <w:rPr>
          <w:rFonts w:hint="default" w:ascii="Times New Roman" w:hAnsi="Times New Roman" w:cs="Times New Roman"/>
          <w:lang w:val="pt-BR"/>
        </w:rPr>
        <w:t xml:space="preserve">3.5.3 </w:t>
      </w:r>
      <w:r>
        <w:rPr>
          <w:rFonts w:hint="default" w:ascii="Times New Roman" w:hAnsi="Times New Roman" w:eastAsia="SimSun" w:cs="Times New Roman"/>
          <w:sz w:val="24"/>
          <w:szCs w:val="24"/>
        </w:rPr>
        <w:t>Seleção de Preditores e Modelo Final Consolidado</w:t>
      </w:r>
    </w:p>
    <w:p w14:paraId="1BD00213">
      <w:pPr>
        <w:pStyle w:val="11"/>
        <w:spacing w:before="0" w:beforeAutospacing="0" w:after="0" w:afterAutospacing="0" w:line="360" w:lineRule="auto"/>
        <w:ind w:firstLine="708" w:firstLineChars="0"/>
        <w:jc w:val="both"/>
        <w:rPr>
          <w:rFonts w:hint="default" w:ascii="Times New Roman" w:hAnsi="Times New Roman" w:cs="Times New Roman"/>
        </w:rPr>
      </w:pPr>
      <w:r>
        <w:rPr>
          <w:rFonts w:hint="default" w:ascii="Times New Roman" w:hAnsi="Times New Roman" w:cs="Times New Roman"/>
        </w:rPr>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w:t>
      </w:r>
    </w:p>
    <w:p w14:paraId="05D4DDFD">
      <w:pPr>
        <w:widowControl w:val="0"/>
        <w:shd w:val="clear" w:color="auto" w:fill="FFFFFF"/>
        <w:spacing w:before="240" w:after="240" w:line="36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4    CRONOGRAMA DE ATIVIDADES</w:t>
      </w:r>
    </w:p>
    <w:p w14:paraId="5254D9CC">
      <w:pPr>
        <w:spacing w:line="360" w:lineRule="auto"/>
        <w:ind w:firstLine="720"/>
        <w:rPr>
          <w:rFonts w:hint="default" w:ascii="Times New Roman" w:hAnsi="Times New Roman" w:eastAsia="Times New Roman" w:cs="Times New Roman"/>
          <w:b/>
          <w:shd w:val="clear" w:color="auto" w:fill="FFFF00"/>
        </w:rPr>
      </w:pPr>
      <w:r>
        <w:rPr>
          <w:rFonts w:hint="default" w:ascii="Times New Roman" w:hAnsi="Times New Roman" w:eastAsia="Times New Roman" w:cs="Times New Roman"/>
        </w:rPr>
        <w:t>QUADRO 4 – Cronograma de atividades estimado</w:t>
      </w:r>
    </w:p>
    <w:tbl>
      <w:tblPr>
        <w:tblStyle w:val="7"/>
        <w:tblW w:w="9075" w:type="dxa"/>
        <w:tblInd w:w="-7" w:type="dxa"/>
        <w:tblLayout w:type="fixed"/>
        <w:tblCellMar>
          <w:top w:w="0" w:type="dxa"/>
          <w:left w:w="108" w:type="dxa"/>
          <w:bottom w:w="0" w:type="dxa"/>
          <w:right w:w="108" w:type="dxa"/>
        </w:tblCellMar>
      </w:tblPr>
      <w:tblGrid>
        <w:gridCol w:w="1755"/>
        <w:gridCol w:w="7320"/>
      </w:tblGrid>
      <w:tr w14:paraId="23577179">
        <w:tblPrEx>
          <w:tblCellMar>
            <w:top w:w="0" w:type="dxa"/>
            <w:left w:w="108" w:type="dxa"/>
            <w:bottom w:w="0" w:type="dxa"/>
            <w:right w:w="108" w:type="dxa"/>
          </w:tblCellMar>
        </w:tblPrEx>
        <w:tc>
          <w:tcPr>
            <w:tcW w:w="1755" w:type="dxa"/>
            <w:tcBorders>
              <w:top w:val="single" w:color="000000" w:sz="8" w:space="0"/>
              <w:left w:val="single" w:color="000000" w:sz="8" w:space="0"/>
              <w:bottom w:val="single" w:color="000000" w:sz="8" w:space="0"/>
              <w:right w:val="single" w:color="000000" w:sz="8" w:space="0"/>
            </w:tcBorders>
            <w:shd w:val="clear" w:color="auto" w:fill="CCCCCC"/>
            <w:vAlign w:val="center"/>
          </w:tcPr>
          <w:p w14:paraId="1C344B5E">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Período</w:t>
            </w:r>
          </w:p>
        </w:tc>
        <w:tc>
          <w:tcPr>
            <w:tcW w:w="7320" w:type="dxa"/>
            <w:tcBorders>
              <w:top w:val="single" w:color="000000" w:sz="8" w:space="0"/>
              <w:left w:val="single" w:color="000000" w:sz="8" w:space="0"/>
              <w:bottom w:val="single" w:color="000000" w:sz="12" w:space="0"/>
              <w:right w:val="single" w:color="000000" w:sz="8" w:space="0"/>
            </w:tcBorders>
            <w:shd w:val="clear" w:color="auto" w:fill="CCCCCC"/>
            <w:vAlign w:val="center"/>
          </w:tcPr>
          <w:p w14:paraId="1D3C09FA">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Atividades</w:t>
            </w:r>
          </w:p>
        </w:tc>
      </w:tr>
      <w:tr w14:paraId="4CD4366F">
        <w:tblPrEx>
          <w:tblCellMar>
            <w:top w:w="0" w:type="dxa"/>
            <w:left w:w="108" w:type="dxa"/>
            <w:bottom w:w="0" w:type="dxa"/>
            <w:right w:w="108" w:type="dxa"/>
          </w:tblCellMar>
        </w:tblPrEx>
        <w:trPr>
          <w:trHeight w:val="1209" w:hRule="atLeast"/>
        </w:trPr>
        <w:tc>
          <w:tcPr>
            <w:tcW w:w="1755" w:type="dxa"/>
            <w:tcBorders>
              <w:top w:val="single" w:color="000000" w:sz="12" w:space="0"/>
              <w:left w:val="single" w:color="000000" w:sz="8" w:space="0"/>
              <w:bottom w:val="single" w:color="000000" w:sz="8" w:space="0"/>
              <w:right w:val="single" w:color="000000" w:sz="8" w:space="0"/>
            </w:tcBorders>
            <w:vAlign w:val="center"/>
          </w:tcPr>
          <w:p w14:paraId="6CA8E487">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1º Semestre</w:t>
            </w:r>
          </w:p>
        </w:tc>
        <w:tc>
          <w:tcPr>
            <w:tcW w:w="7320" w:type="dxa"/>
            <w:tcBorders>
              <w:top w:val="single" w:color="000000" w:sz="12" w:space="0"/>
              <w:left w:val="single" w:color="000000" w:sz="8" w:space="0"/>
              <w:bottom w:val="single" w:color="000000" w:sz="8" w:space="0"/>
              <w:right w:val="single" w:color="000000" w:sz="8" w:space="0"/>
            </w:tcBorders>
          </w:tcPr>
          <w:p w14:paraId="26540A60">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Submissão ao Comitê de ética em Pesquisa</w:t>
            </w:r>
          </w:p>
          <w:p w14:paraId="011EDE1E">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Revisão de Literatura</w:t>
            </w:r>
          </w:p>
          <w:p w14:paraId="183BE531">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 xml:space="preserve">Aprendizado dos procedimentos de coleta </w:t>
            </w:r>
          </w:p>
        </w:tc>
      </w:tr>
      <w:tr w14:paraId="02007F14">
        <w:tblPrEx>
          <w:tblCellMar>
            <w:top w:w="0" w:type="dxa"/>
            <w:left w:w="108" w:type="dxa"/>
            <w:bottom w:w="0" w:type="dxa"/>
            <w:right w:w="108" w:type="dxa"/>
          </w:tblCellMar>
        </w:tblPrEx>
        <w:trPr>
          <w:trHeight w:val="1208" w:hRule="atLeast"/>
        </w:trPr>
        <w:tc>
          <w:tcPr>
            <w:tcW w:w="1755" w:type="dxa"/>
            <w:tcBorders>
              <w:top w:val="single" w:color="000000" w:sz="12" w:space="0"/>
              <w:left w:val="single" w:color="000000" w:sz="8" w:space="0"/>
              <w:bottom w:val="single" w:color="000000" w:sz="8" w:space="0"/>
              <w:right w:val="single" w:color="000000" w:sz="8" w:space="0"/>
            </w:tcBorders>
            <w:vAlign w:val="center"/>
          </w:tcPr>
          <w:p w14:paraId="0439170F">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2º Semestre</w:t>
            </w:r>
          </w:p>
        </w:tc>
        <w:tc>
          <w:tcPr>
            <w:tcW w:w="7320" w:type="dxa"/>
            <w:tcBorders>
              <w:top w:val="single" w:color="000000" w:sz="8" w:space="0"/>
              <w:left w:val="single" w:color="000000" w:sz="8" w:space="0"/>
              <w:bottom w:val="single" w:color="000000" w:sz="8" w:space="0"/>
              <w:right w:val="single" w:color="000000" w:sz="8" w:space="0"/>
            </w:tcBorders>
          </w:tcPr>
          <w:p w14:paraId="1D364443">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Revisão de Literatura</w:t>
            </w:r>
          </w:p>
          <w:p w14:paraId="45E57F74">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Testes piloto</w:t>
            </w:r>
          </w:p>
          <w:p w14:paraId="10575910">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Recrutamento das participantes</w:t>
            </w:r>
          </w:p>
        </w:tc>
      </w:tr>
      <w:tr w14:paraId="1D7D0A24">
        <w:tblPrEx>
          <w:tblCellMar>
            <w:top w:w="0" w:type="dxa"/>
            <w:left w:w="108" w:type="dxa"/>
            <w:bottom w:w="0" w:type="dxa"/>
            <w:right w:w="108" w:type="dxa"/>
          </w:tblCellMar>
        </w:tblPrEx>
        <w:trPr>
          <w:trHeight w:val="855" w:hRule="atLeast"/>
        </w:trPr>
        <w:tc>
          <w:tcPr>
            <w:tcW w:w="1755" w:type="dxa"/>
            <w:tcBorders>
              <w:top w:val="single" w:color="000000" w:sz="8" w:space="0"/>
              <w:left w:val="single" w:color="000000" w:sz="8" w:space="0"/>
              <w:bottom w:val="single" w:color="000000" w:sz="8" w:space="0"/>
              <w:right w:val="single" w:color="000000" w:sz="8" w:space="0"/>
            </w:tcBorders>
            <w:vAlign w:val="center"/>
          </w:tcPr>
          <w:p w14:paraId="6817C195">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3º Semestre</w:t>
            </w:r>
          </w:p>
        </w:tc>
        <w:tc>
          <w:tcPr>
            <w:tcW w:w="7320" w:type="dxa"/>
            <w:tcBorders>
              <w:top w:val="single" w:color="000000" w:sz="8" w:space="0"/>
              <w:left w:val="single" w:color="000000" w:sz="8" w:space="0"/>
              <w:bottom w:val="single" w:color="000000" w:sz="8" w:space="0"/>
              <w:right w:val="single" w:color="000000" w:sz="8" w:space="0"/>
            </w:tcBorders>
          </w:tcPr>
          <w:p w14:paraId="726A6E7C">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Realização das sessões de avaliação</w:t>
            </w:r>
          </w:p>
          <w:p w14:paraId="781D7777">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Processamento e análise dos dados</w:t>
            </w:r>
          </w:p>
        </w:tc>
      </w:tr>
      <w:tr w14:paraId="0DA60905">
        <w:tblPrEx>
          <w:tblCellMar>
            <w:top w:w="0" w:type="dxa"/>
            <w:left w:w="108" w:type="dxa"/>
            <w:bottom w:w="0" w:type="dxa"/>
            <w:right w:w="108" w:type="dxa"/>
          </w:tblCellMar>
        </w:tblPrEx>
        <w:trPr>
          <w:trHeight w:val="1039" w:hRule="atLeast"/>
        </w:trPr>
        <w:tc>
          <w:tcPr>
            <w:tcW w:w="1755" w:type="dxa"/>
            <w:tcBorders>
              <w:top w:val="single" w:color="000000" w:sz="8" w:space="0"/>
              <w:left w:val="single" w:color="000000" w:sz="8" w:space="0"/>
              <w:bottom w:val="single" w:color="000000" w:sz="8" w:space="0"/>
              <w:right w:val="single" w:color="000000" w:sz="8" w:space="0"/>
            </w:tcBorders>
            <w:vAlign w:val="center"/>
          </w:tcPr>
          <w:p w14:paraId="60FACEEF">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4º Semestre</w:t>
            </w:r>
          </w:p>
        </w:tc>
        <w:tc>
          <w:tcPr>
            <w:tcW w:w="7320" w:type="dxa"/>
            <w:tcBorders>
              <w:top w:val="single" w:color="000000" w:sz="8" w:space="0"/>
              <w:left w:val="single" w:color="000000" w:sz="8" w:space="0"/>
              <w:bottom w:val="single" w:color="000000" w:sz="8" w:space="0"/>
              <w:right w:val="single" w:color="000000" w:sz="8" w:space="0"/>
            </w:tcBorders>
          </w:tcPr>
          <w:p w14:paraId="10E18816">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Revisão de Literatura</w:t>
            </w:r>
          </w:p>
          <w:p w14:paraId="372E5EA1">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Elaboração da dissertação</w:t>
            </w:r>
          </w:p>
          <w:p w14:paraId="08F10788">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Elaboração de artigos científicos</w:t>
            </w:r>
          </w:p>
          <w:p w14:paraId="21BA92FF">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Submissão de trabalhos científicos</w:t>
            </w:r>
          </w:p>
        </w:tc>
      </w:tr>
    </w:tbl>
    <w:p w14:paraId="51D39C2F">
      <w:pPr>
        <w:pStyle w:val="18"/>
        <w:spacing w:line="360" w:lineRule="auto"/>
        <w:rPr>
          <w:rFonts w:hint="default" w:ascii="Times New Roman" w:hAnsi="Times New Roman" w:eastAsia="Times New Roman" w:cs="Times New Roman"/>
          <w:lang w:val="en-US"/>
        </w:rPr>
      </w:pPr>
    </w:p>
    <w:p w14:paraId="29248428">
      <w:pPr>
        <w:widowControl w:val="0"/>
        <w:shd w:val="clear" w:color="auto" w:fill="FFFFFF"/>
        <w:spacing w:before="240" w:after="240" w:line="36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5   REFERÊNCIAS BIBLIOGRÁFICAS</w:t>
      </w:r>
    </w:p>
    <w:p w14:paraId="7AF837A1">
      <w:pPr>
        <w:pStyle w:val="18"/>
        <w:spacing w:line="360" w:lineRule="auto"/>
        <w:rPr>
          <w:rFonts w:hint="default" w:ascii="Times New Roman" w:hAnsi="Times New Roman" w:eastAsia="Times New Roman" w:cs="Times New Roman"/>
          <w:lang w:val="en-US"/>
        </w:rPr>
      </w:pPr>
    </w:p>
    <w:p w14:paraId="60D825FE">
      <w:pPr>
        <w:tabs>
          <w:tab w:val="left" w:pos="0"/>
        </w:tabs>
        <w:spacing w:after="0" w:line="240" w:lineRule="auto"/>
        <w:ind w:left="504" w:hanging="504"/>
        <w:rPr>
          <w:rFonts w:hint="default" w:ascii="Times New Roman" w:hAnsi="Times New Roman" w:cs="Times New Roman"/>
          <w:lang w:val="pt-BR"/>
        </w:rPr>
      </w:pPr>
      <w:r>
        <w:rPr>
          <w:rFonts w:hint="default" w:ascii="Times New Roman" w:hAnsi="Times New Roman" w:eastAsia="Times New Roman" w:cs="Times New Roman"/>
          <w:szCs w:val="23"/>
          <w:lang w:val="en-US"/>
        </w:rPr>
        <w:fldChar w:fldCharType="begin"/>
      </w:r>
      <w:r>
        <w:rPr>
          <w:rFonts w:hint="default" w:ascii="Times New Roman" w:hAnsi="Times New Roman" w:eastAsia="Times New Roman" w:cs="Times New Roman"/>
          <w:szCs w:val="23"/>
          <w:lang w:val="en-US"/>
        </w:rPr>
        <w:instrText xml:space="preserve"> ADDIN ZOTERO_BIBL {"uncited":[],"omitted":[],"custom":[]} CSL_BIBLIOGRAPHY </w:instrText>
      </w:r>
      <w:r>
        <w:rPr>
          <w:rFonts w:hint="default" w:ascii="Times New Roman" w:hAnsi="Times New Roman" w:eastAsia="Times New Roman" w:cs="Times New Roman"/>
          <w:szCs w:val="23"/>
          <w:lang w:val="en-US"/>
        </w:rPr>
        <w:fldChar w:fldCharType="separate"/>
      </w:r>
      <w:r>
        <w:rPr>
          <w:rFonts w:hint="default" w:ascii="Times New Roman" w:hAnsi="Times New Roman" w:cs="Times New Roman"/>
          <w:lang w:val="pt-BR"/>
        </w:rPr>
        <w:t>[1]</w:t>
      </w:r>
      <w:r>
        <w:rPr>
          <w:rFonts w:hint="default" w:ascii="Times New Roman" w:hAnsi="Times New Roman" w:cs="Times New Roman"/>
          <w:lang w:val="pt-BR"/>
        </w:rPr>
        <w:tab/>
      </w:r>
      <w:r>
        <w:rPr>
          <w:rFonts w:hint="default" w:ascii="Times New Roman" w:hAnsi="Times New Roman" w:cs="Times New Roman"/>
          <w:lang w:val="pt-BR"/>
        </w:rPr>
        <w:t xml:space="preserve">R. Malíř, J. Chrudimský, A. Provazník, e V. Třebický, “Are the shoulder joint function, stability, and mobility tests predictive of handstand execution?”, </w:t>
      </w:r>
      <w:r>
        <w:rPr>
          <w:rFonts w:hint="default" w:ascii="Times New Roman" w:hAnsi="Times New Roman" w:cs="Times New Roman"/>
          <w:i/>
          <w:lang w:val="pt-BR"/>
        </w:rPr>
        <w:t>PLOS ONE</w:t>
      </w:r>
      <w:r>
        <w:rPr>
          <w:rFonts w:hint="default" w:ascii="Times New Roman" w:hAnsi="Times New Roman" w:cs="Times New Roman"/>
          <w:lang w:val="pt-BR"/>
        </w:rPr>
        <w:t>, v. 19, n. 5, p. e0302922, maio 2024, doi: 10.1371/journal.pone.0302922.</w:t>
      </w:r>
    </w:p>
    <w:p w14:paraId="3996DF2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Rohleder e T. Vogt, “Performance control in handstands: challenging entrenched coaching strategies for young gymnasts”, </w:t>
      </w:r>
      <w:r>
        <w:rPr>
          <w:rFonts w:hint="default" w:ascii="Times New Roman" w:hAnsi="Times New Roman" w:eastAsia="Times New Roman" w:cs="Times New Roman"/>
          <w:i/>
          <w:sz w:val="23"/>
          <w:szCs w:val="23"/>
          <w:lang w:val="pt-BR"/>
        </w:rPr>
        <w:t>Int. J. Perform. Anal. Sport</w:t>
      </w:r>
      <w:r>
        <w:rPr>
          <w:rFonts w:hint="default" w:ascii="Times New Roman" w:hAnsi="Times New Roman" w:eastAsia="Times New Roman" w:cs="Times New Roman"/>
          <w:sz w:val="23"/>
          <w:szCs w:val="23"/>
          <w:lang w:val="pt-BR"/>
        </w:rPr>
        <w:t>, v. 18, n. 1, p. 17–31, jan. 2018, doi: 10.1080/24748668.2018.1440459.</w:t>
      </w:r>
    </w:p>
    <w:p w14:paraId="27E02AA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G. Kerwin e G. Trewartha, “Strategies for maintaining a handstand in the anterior-posterior direction”:, </w:t>
      </w:r>
      <w:r>
        <w:rPr>
          <w:rFonts w:hint="default" w:ascii="Times New Roman" w:hAnsi="Times New Roman" w:eastAsia="Times New Roman" w:cs="Times New Roman"/>
          <w:i/>
          <w:sz w:val="23"/>
          <w:szCs w:val="23"/>
          <w:lang w:val="pt-BR"/>
        </w:rPr>
        <w:t>Med. Sci. Sports Exerc.</w:t>
      </w:r>
      <w:r>
        <w:rPr>
          <w:rFonts w:hint="default" w:ascii="Times New Roman" w:hAnsi="Times New Roman" w:eastAsia="Times New Roman" w:cs="Times New Roman"/>
          <w:sz w:val="23"/>
          <w:szCs w:val="23"/>
          <w:lang w:val="pt-BR"/>
        </w:rPr>
        <w:t>, v. 33, n. 7, p. 1182–1188, jul. 2001, doi: 10.1097/00005768-200107000-00016.</w:t>
      </w:r>
    </w:p>
    <w:p w14:paraId="1C3A5FF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H. E. Wyatt, D. Vicinanza, K. M. Newell, G. Irwin, e G. K. R. Williams, “Bidirectional causal control in the dynamics of handstand balance”, </w:t>
      </w:r>
      <w:r>
        <w:rPr>
          <w:rFonts w:hint="default" w:ascii="Times New Roman" w:hAnsi="Times New Roman" w:eastAsia="Times New Roman" w:cs="Times New Roman"/>
          <w:i/>
          <w:sz w:val="23"/>
          <w:szCs w:val="23"/>
          <w:lang w:val="pt-BR"/>
        </w:rPr>
        <w:t>Sci. Rep.</w:t>
      </w:r>
      <w:r>
        <w:rPr>
          <w:rFonts w:hint="default" w:ascii="Times New Roman" w:hAnsi="Times New Roman" w:eastAsia="Times New Roman" w:cs="Times New Roman"/>
          <w:sz w:val="23"/>
          <w:szCs w:val="23"/>
          <w:lang w:val="pt-BR"/>
        </w:rPr>
        <w:t>, v. 11, n. 1, p. 405, jan. 2021, doi: 10.1038/s41598-020-79730-z.</w:t>
      </w:r>
    </w:p>
    <w:p w14:paraId="43AB0998">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Pryhoda, K. M. Newell, C. Wilson, e G. Irwin, “Task Specific and General Patterns of Joint Motion Variability in Upright- and Hand-Standing Postures”, </w:t>
      </w:r>
      <w:r>
        <w:rPr>
          <w:rFonts w:hint="default" w:ascii="Times New Roman" w:hAnsi="Times New Roman" w:eastAsia="Times New Roman" w:cs="Times New Roman"/>
          <w:i/>
          <w:sz w:val="23"/>
          <w:szCs w:val="23"/>
          <w:lang w:val="pt-BR"/>
        </w:rPr>
        <w:t>Entropy</w:t>
      </w:r>
      <w:r>
        <w:rPr>
          <w:rFonts w:hint="default" w:ascii="Times New Roman" w:hAnsi="Times New Roman" w:eastAsia="Times New Roman" w:cs="Times New Roman"/>
          <w:sz w:val="23"/>
          <w:szCs w:val="23"/>
          <w:lang w:val="pt-BR"/>
        </w:rPr>
        <w:t>, v. 24, n. 7, p. 909, jun. 2022, doi: 10.3390/e24070909.</w:t>
      </w:r>
    </w:p>
    <w:p w14:paraId="7ADEA19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 Kochanowicz, B. Niespodziński, J. Mieszkowski, M. Marina, K. Kochanowicz, e M. Zasada, “Changes in the Muscle Activity of Gymnasts During a Handstand on Various Apparatus”, </w:t>
      </w:r>
      <w:r>
        <w:rPr>
          <w:rFonts w:hint="default" w:ascii="Times New Roman" w:hAnsi="Times New Roman" w:eastAsia="Times New Roman" w:cs="Times New Roman"/>
          <w:i/>
          <w:sz w:val="23"/>
          <w:szCs w:val="23"/>
          <w:lang w:val="pt-BR"/>
        </w:rPr>
        <w:t>J. Strength Cond. Res.</w:t>
      </w:r>
      <w:r>
        <w:rPr>
          <w:rFonts w:hint="default" w:ascii="Times New Roman" w:hAnsi="Times New Roman" w:eastAsia="Times New Roman" w:cs="Times New Roman"/>
          <w:sz w:val="23"/>
          <w:szCs w:val="23"/>
          <w:lang w:val="pt-BR"/>
        </w:rPr>
        <w:t>, v. 33, n. 6, p. 1609–1618, jun. 2019, doi: 10.1519/JSC.0000000000002124.</w:t>
      </w:r>
    </w:p>
    <w:p w14:paraId="6610A42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G. M. Blenkinsop, M. T. G. Pain, e M. J. Hiley, “Balance control strategies during perturbed and unperturbed balance in standing and handstand”, </w:t>
      </w:r>
      <w:r>
        <w:rPr>
          <w:rFonts w:hint="default" w:ascii="Times New Roman" w:hAnsi="Times New Roman" w:eastAsia="Times New Roman" w:cs="Times New Roman"/>
          <w:i/>
          <w:sz w:val="23"/>
          <w:szCs w:val="23"/>
          <w:lang w:val="pt-BR"/>
        </w:rPr>
        <w:t>R. Soc. Open Sci.</w:t>
      </w:r>
      <w:r>
        <w:rPr>
          <w:rFonts w:hint="default" w:ascii="Times New Roman" w:hAnsi="Times New Roman" w:eastAsia="Times New Roman" w:cs="Times New Roman"/>
          <w:sz w:val="23"/>
          <w:szCs w:val="23"/>
          <w:lang w:val="pt-BR"/>
        </w:rPr>
        <w:t>, v. 4, n. 7, p. 161018, jul. 2017, doi: 10.1098/rsos.161018.</w:t>
      </w:r>
    </w:p>
    <w:p w14:paraId="66A0D00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M. K. Pryhoda, K. M. Newell, e G. Irwin, “HANDSTAND BALANCE MOTOR CONTROL MECHANISMS”, 2021.</w:t>
      </w:r>
    </w:p>
    <w:p w14:paraId="6C6AAD7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Rohleder e T. Vogt, “EFFICACY OF WRIST STRATEGY COACHING ON HANDSTAND PERFORMANCES IN NOVICES: INVERTING EXPLICIT AND IMPLICIT LEARNING OF SKILL-RELATED MOTOR TASKS”, </w:t>
      </w:r>
      <w:r>
        <w:rPr>
          <w:rFonts w:hint="default" w:ascii="Times New Roman" w:hAnsi="Times New Roman" w:eastAsia="Times New Roman" w:cs="Times New Roman"/>
          <w:i/>
          <w:sz w:val="23"/>
          <w:szCs w:val="23"/>
          <w:lang w:val="pt-BR"/>
        </w:rPr>
        <w:t>Sci. Gymnast. J.</w:t>
      </w:r>
      <w:r>
        <w:rPr>
          <w:rFonts w:hint="default" w:ascii="Times New Roman" w:hAnsi="Times New Roman" w:eastAsia="Times New Roman" w:cs="Times New Roman"/>
          <w:sz w:val="23"/>
          <w:szCs w:val="23"/>
          <w:lang w:val="pt-BR"/>
        </w:rPr>
        <w:t>, v. 11, n. 2, p. 209–222, jun. 2019, doi: 10.52165/sgj.11.2.209-222.</w:t>
      </w:r>
    </w:p>
    <w:p w14:paraId="5CD1C5F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 Kochanowicz, B. Niespodziński, M. Marina, J. Mieszkowski, L. Biskup, e K. Kochanowicz, “Relationship between postural control and muscle activity during a handstand in young and adult gymnasts”, </w:t>
      </w:r>
      <w:r>
        <w:rPr>
          <w:rFonts w:hint="default" w:ascii="Times New Roman" w:hAnsi="Times New Roman" w:eastAsia="Times New Roman" w:cs="Times New Roman"/>
          <w:i/>
          <w:sz w:val="23"/>
          <w:szCs w:val="23"/>
          <w:lang w:val="pt-BR"/>
        </w:rPr>
        <w:t>Hum. Mov. Sci.</w:t>
      </w:r>
      <w:r>
        <w:rPr>
          <w:rFonts w:hint="default" w:ascii="Times New Roman" w:hAnsi="Times New Roman" w:eastAsia="Times New Roman" w:cs="Times New Roman"/>
          <w:sz w:val="23"/>
          <w:szCs w:val="23"/>
          <w:lang w:val="pt-BR"/>
        </w:rPr>
        <w:t>, v. 58, p. 195–204, abr. 2018, doi: 10.1016/j.humov.2018.02.007.</w:t>
      </w:r>
    </w:p>
    <w:p w14:paraId="61D40D0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P. Hedbávný, J. Sklenaříková, D. Hupka, e M. Kalichová, “BALANCING IN HANDSTAND ON THE FLOOR”, v. 5, n. 3.</w:t>
      </w:r>
    </w:p>
    <w:p w14:paraId="2BCCEBF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“Analyzing optimal muscle dynamics during handstands: a comprehensive investigation of skilled gymnasts”, </w:t>
      </w:r>
      <w:r>
        <w:rPr>
          <w:rFonts w:hint="default" w:ascii="Times New Roman" w:hAnsi="Times New Roman" w:eastAsia="Times New Roman" w:cs="Times New Roman"/>
          <w:i/>
          <w:sz w:val="23"/>
          <w:szCs w:val="23"/>
          <w:lang w:val="pt-BR"/>
        </w:rPr>
        <w:t>J. Phys. Educ. Sport</w:t>
      </w:r>
      <w:r>
        <w:rPr>
          <w:rFonts w:hint="default" w:ascii="Times New Roman" w:hAnsi="Times New Roman" w:eastAsia="Times New Roman" w:cs="Times New Roman"/>
          <w:sz w:val="23"/>
          <w:szCs w:val="23"/>
          <w:lang w:val="pt-BR"/>
        </w:rPr>
        <w:t>, v. 24, n. 4.</w:t>
      </w:r>
    </w:p>
    <w:p w14:paraId="70E406EE">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P. S. B. Belčič, “Kinematic Analysis of handstands in gymnastics”, </w:t>
      </w:r>
      <w:r>
        <w:rPr>
          <w:rFonts w:hint="default" w:ascii="Times New Roman" w:hAnsi="Times New Roman" w:eastAsia="Times New Roman" w:cs="Times New Roman"/>
          <w:i/>
          <w:sz w:val="23"/>
          <w:szCs w:val="23"/>
          <w:lang w:val="pt-BR"/>
        </w:rPr>
        <w:t>Science of Gymnastics Journal</w:t>
      </w:r>
      <w:r>
        <w:rPr>
          <w:rFonts w:hint="default" w:ascii="Times New Roman" w:hAnsi="Times New Roman" w:eastAsia="Times New Roman" w:cs="Times New Roman"/>
          <w:sz w:val="23"/>
          <w:szCs w:val="23"/>
          <w:lang w:val="pt-BR"/>
        </w:rPr>
        <w:t>, v. 7, p. 19–30, 2015.</w:t>
      </w:r>
    </w:p>
    <w:p w14:paraId="711C237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C. Eyssartier, P. Billard, P. Thoreux, e C. Sauret, “Spine Kinematics Behavior During the Handstand Posture: A Biplanar Radiographic Analysis”, </w:t>
      </w:r>
      <w:r>
        <w:rPr>
          <w:rFonts w:hint="default" w:ascii="Times New Roman" w:hAnsi="Times New Roman" w:eastAsia="Times New Roman" w:cs="Times New Roman"/>
          <w:i/>
          <w:sz w:val="23"/>
          <w:szCs w:val="23"/>
          <w:lang w:val="pt-BR"/>
        </w:rPr>
        <w:t>J. Funct. Morphol. Kinesiol.</w:t>
      </w:r>
      <w:r>
        <w:rPr>
          <w:rFonts w:hint="default" w:ascii="Times New Roman" w:hAnsi="Times New Roman" w:eastAsia="Times New Roman" w:cs="Times New Roman"/>
          <w:sz w:val="23"/>
          <w:szCs w:val="23"/>
          <w:lang w:val="pt-BR"/>
        </w:rPr>
        <w:t>, v. 9, n. 4, p. 252, dez. 2024, doi: 10.3390/jfmk9040252.</w:t>
      </w:r>
    </w:p>
    <w:p w14:paraId="6DB412CF">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McDonald, J. S. Baker, Y. Gu, e U. C. Ugbolue, “Biomechanical analyses of the handstand: a systematic review”, </w:t>
      </w:r>
      <w:r>
        <w:rPr>
          <w:rFonts w:hint="default" w:ascii="Times New Roman" w:hAnsi="Times New Roman" w:eastAsia="Times New Roman" w:cs="Times New Roman"/>
          <w:i/>
          <w:sz w:val="23"/>
          <w:szCs w:val="23"/>
          <w:lang w:val="pt-BR"/>
        </w:rPr>
        <w:t>Front. Sports Act. Living</w:t>
      </w:r>
      <w:r>
        <w:rPr>
          <w:rFonts w:hint="default" w:ascii="Times New Roman" w:hAnsi="Times New Roman" w:eastAsia="Times New Roman" w:cs="Times New Roman"/>
          <w:sz w:val="23"/>
          <w:szCs w:val="23"/>
          <w:lang w:val="pt-BR"/>
        </w:rPr>
        <w:t>, v. 7, p. 1694648, dez. 2025, doi: 10.3389/fspor.2025.1694648.</w:t>
      </w:r>
    </w:p>
    <w:p w14:paraId="6857143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Milosis e T. Satras, “THE EFFECTIVENESS OF DIFFERENT HANDSTAND PLACEMENT TECHNIQUES IN HANDSTAND BALANCE CONTROL AND GENDER DIFFERENCESDSTAND BALANCE CONTROL AND GENDER DIFFERENCES”, </w:t>
      </w:r>
      <w:r>
        <w:rPr>
          <w:rFonts w:hint="default" w:ascii="Times New Roman" w:hAnsi="Times New Roman" w:eastAsia="Times New Roman" w:cs="Times New Roman"/>
          <w:i/>
          <w:sz w:val="23"/>
          <w:szCs w:val="23"/>
          <w:lang w:val="pt-BR"/>
        </w:rPr>
        <w:t>Sci. Gymnast. J.</w:t>
      </w:r>
      <w:r>
        <w:rPr>
          <w:rFonts w:hint="default" w:ascii="Times New Roman" w:hAnsi="Times New Roman" w:eastAsia="Times New Roman" w:cs="Times New Roman"/>
          <w:sz w:val="23"/>
          <w:szCs w:val="23"/>
          <w:lang w:val="pt-BR"/>
        </w:rPr>
        <w:t>, v. 15, n. 3, p. 375–394, out. 2023, doi: 10.52165/sgj.15.3.375-394.</w:t>
      </w:r>
    </w:p>
    <w:p w14:paraId="63639AC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Farana, P. Brtva, G. Irwin, e K. M. Newell, “Neck Angle in the Handstand Changes the Pattern of Multi-Joint Variability”, </w:t>
      </w:r>
      <w:r>
        <w:rPr>
          <w:rFonts w:hint="default" w:ascii="Times New Roman" w:hAnsi="Times New Roman" w:eastAsia="Times New Roman" w:cs="Times New Roman"/>
          <w:i/>
          <w:sz w:val="23"/>
          <w:szCs w:val="23"/>
          <w:lang w:val="pt-BR"/>
        </w:rPr>
        <w:t>J. Mot. Behav.</w:t>
      </w:r>
      <w:r>
        <w:rPr>
          <w:rFonts w:hint="default" w:ascii="Times New Roman" w:hAnsi="Times New Roman" w:eastAsia="Times New Roman" w:cs="Times New Roman"/>
          <w:sz w:val="23"/>
          <w:szCs w:val="23"/>
          <w:lang w:val="pt-BR"/>
        </w:rPr>
        <w:t>, v. 57, n. 6, p. 768–776, nov. 2025, doi: 10.1080/00222895.2025.2558711.</w:t>
      </w:r>
    </w:p>
    <w:p w14:paraId="2042948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E. Thomas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“Evaluation of Posturographic and Neuromuscular Parameters during Upright Stance and Hand Standing: A Pilot Study”, </w:t>
      </w:r>
      <w:r>
        <w:rPr>
          <w:rFonts w:hint="default" w:ascii="Times New Roman" w:hAnsi="Times New Roman" w:eastAsia="Times New Roman" w:cs="Times New Roman"/>
          <w:i/>
          <w:sz w:val="23"/>
          <w:szCs w:val="23"/>
          <w:lang w:val="pt-BR"/>
        </w:rPr>
        <w:t>J. Funct. Morphol. Kinesiol.</w:t>
      </w:r>
      <w:r>
        <w:rPr>
          <w:rFonts w:hint="default" w:ascii="Times New Roman" w:hAnsi="Times New Roman" w:eastAsia="Times New Roman" w:cs="Times New Roman"/>
          <w:sz w:val="23"/>
          <w:szCs w:val="23"/>
          <w:lang w:val="pt-BR"/>
        </w:rPr>
        <w:t>, v. 8, n. 2, p. 40, mar. 2023, doi: 10.3390/jfmk8020040.</w:t>
      </w:r>
    </w:p>
    <w:p w14:paraId="00E6478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Sabido, F. García-Aguilar, C. Caballero, e F. J. Moreno, “How does fatigue affect handstand balance? a non-linear approach to study fatigue influence in handstand performance”, </w:t>
      </w:r>
      <w:r>
        <w:rPr>
          <w:rFonts w:hint="default" w:ascii="Times New Roman" w:hAnsi="Times New Roman" w:eastAsia="Times New Roman" w:cs="Times New Roman"/>
          <w:i/>
          <w:sz w:val="23"/>
          <w:szCs w:val="23"/>
          <w:lang w:val="pt-BR"/>
        </w:rPr>
        <w:t>J. NeuroEngineering Rehabil.</w:t>
      </w:r>
      <w:r>
        <w:rPr>
          <w:rFonts w:hint="default" w:ascii="Times New Roman" w:hAnsi="Times New Roman" w:eastAsia="Times New Roman" w:cs="Times New Roman"/>
          <w:sz w:val="23"/>
          <w:szCs w:val="23"/>
          <w:lang w:val="pt-BR"/>
        </w:rPr>
        <w:t>, v. 21, n. 1, p. 171, set. 2024, doi: 10.1186/s12984-024-01442-6.</w:t>
      </w:r>
    </w:p>
    <w:p w14:paraId="778D8BA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Omorczyk, A. Zajac, e E. Puszczalowska-Lizis, “Relationships between postural stability in standing and handstand and psychological factors in athletes practicing artistic gymnastics”, </w:t>
      </w:r>
      <w:r>
        <w:rPr>
          <w:rFonts w:hint="default" w:ascii="Times New Roman" w:hAnsi="Times New Roman" w:eastAsia="Times New Roman" w:cs="Times New Roman"/>
          <w:i/>
          <w:sz w:val="23"/>
          <w:szCs w:val="23"/>
          <w:lang w:val="pt-BR"/>
        </w:rPr>
        <w:t>Balt. J. Health Phys. Act.</w:t>
      </w:r>
      <w:r>
        <w:rPr>
          <w:rFonts w:hint="default" w:ascii="Times New Roman" w:hAnsi="Times New Roman" w:eastAsia="Times New Roman" w:cs="Times New Roman"/>
          <w:sz w:val="23"/>
          <w:szCs w:val="23"/>
          <w:lang w:val="pt-BR"/>
        </w:rPr>
        <w:t>, p. 96–106, dez. 2019, doi: 10.29359/BJHPA.11.4.11.</w:t>
      </w:r>
    </w:p>
    <w:p w14:paraId="6856B62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Omorczyk, P. Bujas, E. Puszczałowska-Lizis, e L. Biskup, “Balance in handstand and postural stability in standing position in athletes practicing gymnastics”, </w:t>
      </w:r>
      <w:r>
        <w:rPr>
          <w:rFonts w:hint="default" w:ascii="Times New Roman" w:hAnsi="Times New Roman" w:eastAsia="Times New Roman" w:cs="Times New Roman"/>
          <w:i/>
          <w:sz w:val="23"/>
          <w:szCs w:val="23"/>
          <w:lang w:val="pt-BR"/>
        </w:rPr>
        <w:t>Acta Bioeng. Biomech. 022018 ISSN 1509-409X</w:t>
      </w:r>
      <w:r>
        <w:rPr>
          <w:rFonts w:hint="default" w:ascii="Times New Roman" w:hAnsi="Times New Roman" w:eastAsia="Times New Roman" w:cs="Times New Roman"/>
          <w:sz w:val="23"/>
          <w:szCs w:val="23"/>
          <w:lang w:val="pt-BR"/>
        </w:rPr>
        <w:t>, 2018, doi: 10.5277/ABB-01110-2018-02.</w:t>
      </w:r>
    </w:p>
    <w:p w14:paraId="75E4730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 Kochanowicz, K. Kochanowicz, B. Niespodzinski, J. Mieszkowski, e L. Biskup, “The level of body balance in a handstand and the effectiveness of sports training in gymnastics”, </w:t>
      </w:r>
      <w:r>
        <w:rPr>
          <w:rFonts w:hint="default" w:ascii="Times New Roman" w:hAnsi="Times New Roman" w:eastAsia="Times New Roman" w:cs="Times New Roman"/>
          <w:i/>
          <w:sz w:val="23"/>
          <w:szCs w:val="23"/>
          <w:lang w:val="pt-BR"/>
        </w:rPr>
        <w:t>Balt. J. Health Phys. Act.</w:t>
      </w:r>
      <w:r>
        <w:rPr>
          <w:rFonts w:hint="default" w:ascii="Times New Roman" w:hAnsi="Times New Roman" w:eastAsia="Times New Roman" w:cs="Times New Roman"/>
          <w:sz w:val="23"/>
          <w:szCs w:val="23"/>
          <w:lang w:val="pt-BR"/>
        </w:rPr>
        <w:t>, v. 7, n. 4, p. 117–124, dez. 2015, doi: 10.29359/BJHPA.07.4.11.</w:t>
      </w:r>
    </w:p>
    <w:p w14:paraId="5E3F67C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Grabowiecki, L. Rum, L. Laudani, e G. Vannozzi, “Biomechanical characteristics of handstand walking initiation”,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86, p. 311–318, maio 2021, doi: 10.1016/j.gaitpost.2021.03.036.</w:t>
      </w:r>
    </w:p>
    <w:p w14:paraId="45EBDC8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Grabowiecki, L. Rum, L. Laudani, e G. Vannozzi, “Effects of an external load on anticipatory mechanisms of handstand walking initiation in experienced gymnasts”, </w:t>
      </w:r>
      <w:r>
        <w:rPr>
          <w:rFonts w:hint="default" w:ascii="Times New Roman" w:hAnsi="Times New Roman" w:eastAsia="Times New Roman" w:cs="Times New Roman"/>
          <w:i/>
          <w:sz w:val="23"/>
          <w:szCs w:val="23"/>
          <w:lang w:val="pt-BR"/>
        </w:rPr>
        <w:t>J. Sports Sci.</w:t>
      </w:r>
      <w:r>
        <w:rPr>
          <w:rFonts w:hint="default" w:ascii="Times New Roman" w:hAnsi="Times New Roman" w:eastAsia="Times New Roman" w:cs="Times New Roman"/>
          <w:sz w:val="23"/>
          <w:szCs w:val="23"/>
          <w:lang w:val="pt-BR"/>
        </w:rPr>
        <w:t>, v. 43, n. 4, p. 370–380, fev. 2025, doi: 10.1080/02640414.2025.2458995.</w:t>
      </w:r>
    </w:p>
    <w:p w14:paraId="0E452D5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G. M. Earhart e C. Mosiman, “COORDINATION OF HANDWALKING IN GYMNASTS: A COMPARISON TO BIPEDAL WALKING”, v. 2, n. 2.</w:t>
      </w:r>
    </w:p>
    <w:p w14:paraId="27EA400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N. F. A. Ambrósio, G. M. Lage, L. E. A. Bicalho, C. R. Couto, I. M. S. Aleixo, e T. Apolinario-Souza, “THE RELATIONSHIP BETWEEN STRENGTH CAPACITY AND MOTOR PERFORMANCE IN THE GYMNASTIC HANDSTAND: A MACHINE LEARNING STUDY”, </w:t>
      </w:r>
      <w:r>
        <w:rPr>
          <w:rFonts w:hint="default" w:ascii="Times New Roman" w:hAnsi="Times New Roman" w:eastAsia="Times New Roman" w:cs="Times New Roman"/>
          <w:i/>
          <w:sz w:val="23"/>
          <w:szCs w:val="23"/>
          <w:lang w:val="pt-BR"/>
        </w:rPr>
        <w:t>Sci. Gymnast. J.</w:t>
      </w:r>
      <w:r>
        <w:rPr>
          <w:rFonts w:hint="default" w:ascii="Times New Roman" w:hAnsi="Times New Roman" w:eastAsia="Times New Roman" w:cs="Times New Roman"/>
          <w:sz w:val="23"/>
          <w:szCs w:val="23"/>
          <w:lang w:val="pt-BR"/>
        </w:rPr>
        <w:t>, v. 16, n. 2, p. 211–223, jun. 2024, doi: 10.52165/sgj.16.2.211-223.</w:t>
      </w:r>
    </w:p>
    <w:p w14:paraId="05D6A57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P. Hedbávný, G. Bago, e M. Kalichová, “Influence of Strength Abilities on Quality of the Handstand”, v. 7, n. 10, 2013.</w:t>
      </w:r>
    </w:p>
    <w:p w14:paraId="1FDD226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Jemni, Org., </w:t>
      </w:r>
      <w:r>
        <w:rPr>
          <w:rFonts w:hint="default" w:ascii="Times New Roman" w:hAnsi="Times New Roman" w:eastAsia="Times New Roman" w:cs="Times New Roman"/>
          <w:i/>
          <w:sz w:val="23"/>
          <w:szCs w:val="23"/>
          <w:lang w:val="pt-BR"/>
        </w:rPr>
        <w:t>The Science of Gymnastics: Advanced Concepts</w:t>
      </w:r>
      <w:r>
        <w:rPr>
          <w:rFonts w:hint="default" w:ascii="Times New Roman" w:hAnsi="Times New Roman" w:eastAsia="Times New Roman" w:cs="Times New Roman"/>
          <w:sz w:val="23"/>
          <w:szCs w:val="23"/>
          <w:lang w:val="pt-BR"/>
        </w:rPr>
        <w:t>, 2</w:t>
      </w:r>
      <w:r>
        <w:rPr>
          <w:rFonts w:hint="default" w:ascii="Times New Roman" w:hAnsi="Times New Roman" w:eastAsia="Times New Roman" w:cs="Times New Roman"/>
          <w:sz w:val="23"/>
          <w:szCs w:val="23"/>
          <w:vertAlign w:val="superscript"/>
          <w:lang w:val="pt-BR"/>
        </w:rPr>
        <w:t>o</w:t>
      </w:r>
      <w:r>
        <w:rPr>
          <w:rFonts w:hint="default" w:ascii="Times New Roman" w:hAnsi="Times New Roman" w:eastAsia="Times New Roman" w:cs="Times New Roman"/>
          <w:sz w:val="23"/>
          <w:szCs w:val="23"/>
          <w:lang w:val="pt-BR"/>
        </w:rPr>
        <w:t xml:space="preserve"> ed. Routledge, 2017. doi: 10.4324/9781315203805.</w:t>
      </w:r>
    </w:p>
    <w:p w14:paraId="402A56A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A. Winter, </w:t>
      </w:r>
      <w:r>
        <w:rPr>
          <w:rFonts w:hint="default" w:ascii="Times New Roman" w:hAnsi="Times New Roman" w:eastAsia="Times New Roman" w:cs="Times New Roman"/>
          <w:i/>
          <w:sz w:val="23"/>
          <w:szCs w:val="23"/>
          <w:lang w:val="pt-BR"/>
        </w:rPr>
        <w:t>Biomechanics and motor control of human movement</w:t>
      </w:r>
      <w:r>
        <w:rPr>
          <w:rFonts w:hint="default" w:ascii="Times New Roman" w:hAnsi="Times New Roman" w:eastAsia="Times New Roman" w:cs="Times New Roman"/>
          <w:sz w:val="23"/>
          <w:szCs w:val="23"/>
          <w:lang w:val="pt-BR"/>
        </w:rPr>
        <w:t>, 4th ed. Hoboken, N.J: Wiley, 2009.</w:t>
      </w:r>
    </w:p>
    <w:p w14:paraId="37321B0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S. M. Slobounov e K. M. Newell, “Postural Dynamics in Upright and Inverted Stances”, </w:t>
      </w:r>
      <w:r>
        <w:rPr>
          <w:rFonts w:hint="default" w:ascii="Times New Roman" w:hAnsi="Times New Roman" w:eastAsia="Times New Roman" w:cs="Times New Roman"/>
          <w:i/>
          <w:sz w:val="23"/>
          <w:szCs w:val="23"/>
          <w:lang w:val="pt-BR"/>
        </w:rPr>
        <w:t>J. Appl. Biomech.</w:t>
      </w:r>
      <w:r>
        <w:rPr>
          <w:rFonts w:hint="default" w:ascii="Times New Roman" w:hAnsi="Times New Roman" w:eastAsia="Times New Roman" w:cs="Times New Roman"/>
          <w:sz w:val="23"/>
          <w:szCs w:val="23"/>
          <w:lang w:val="pt-BR"/>
        </w:rPr>
        <w:t>, v. 12, n. 2, p. 185–196, maio 1996, doi: 10.1123/jab.12.2.185.</w:t>
      </w:r>
    </w:p>
    <w:p w14:paraId="1C1A5A7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G. Gautier, R. Thouvarecq, e D. Chollet, “Visual and postural control of an arbitrary posture: The handstand”, </w:t>
      </w:r>
      <w:r>
        <w:rPr>
          <w:rFonts w:hint="default" w:ascii="Times New Roman" w:hAnsi="Times New Roman" w:eastAsia="Times New Roman" w:cs="Times New Roman"/>
          <w:i/>
          <w:sz w:val="23"/>
          <w:szCs w:val="23"/>
          <w:lang w:val="pt-BR"/>
        </w:rPr>
        <w:t>J. Sports Sci.</w:t>
      </w:r>
      <w:r>
        <w:rPr>
          <w:rFonts w:hint="default" w:ascii="Times New Roman" w:hAnsi="Times New Roman" w:eastAsia="Times New Roman" w:cs="Times New Roman"/>
          <w:sz w:val="23"/>
          <w:szCs w:val="23"/>
          <w:lang w:val="pt-BR"/>
        </w:rPr>
        <w:t>, v. 25, n. 11, p. 1271–1278, set. 2007, doi: 10.1080/02640410601049144.</w:t>
      </w:r>
    </w:p>
    <w:p w14:paraId="28E534A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W.-L. Hsu, J. P. Scholz, G. Schöner, J. J. Jeka, e T. Kiemel, “Control and Estimation of Posture During Quiet Stance Depends on Multijoint Coordination”, </w:t>
      </w:r>
      <w:r>
        <w:rPr>
          <w:rFonts w:hint="default" w:ascii="Times New Roman" w:hAnsi="Times New Roman" w:eastAsia="Times New Roman" w:cs="Times New Roman"/>
          <w:i/>
          <w:sz w:val="23"/>
          <w:szCs w:val="23"/>
          <w:lang w:val="pt-BR"/>
        </w:rPr>
        <w:t>J. Neurophysiol.</w:t>
      </w:r>
      <w:r>
        <w:rPr>
          <w:rFonts w:hint="default" w:ascii="Times New Roman" w:hAnsi="Times New Roman" w:eastAsia="Times New Roman" w:cs="Times New Roman"/>
          <w:sz w:val="23"/>
          <w:szCs w:val="23"/>
          <w:lang w:val="pt-BR"/>
        </w:rPr>
        <w:t>, v. 97, n. 4, p. 3024–3035, abr. 2007, doi: 10.1152/jn.01142.2006.</w:t>
      </w:r>
    </w:p>
    <w:p w14:paraId="0425755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C. Kilby, P. C. M. Molenaar, e K. M. Newell, “Models of Postural Control: Shared Variance in Joint and COM Motions”, </w:t>
      </w:r>
      <w:r>
        <w:rPr>
          <w:rFonts w:hint="default" w:ascii="Times New Roman" w:hAnsi="Times New Roman" w:eastAsia="Times New Roman" w:cs="Times New Roman"/>
          <w:i/>
          <w:sz w:val="23"/>
          <w:szCs w:val="23"/>
          <w:lang w:val="pt-BR"/>
        </w:rPr>
        <w:t>PLOS ONE</w:t>
      </w:r>
      <w:r>
        <w:rPr>
          <w:rFonts w:hint="default" w:ascii="Times New Roman" w:hAnsi="Times New Roman" w:eastAsia="Times New Roman" w:cs="Times New Roman"/>
          <w:sz w:val="23"/>
          <w:szCs w:val="23"/>
          <w:lang w:val="pt-BR"/>
        </w:rPr>
        <w:t>, v. 10, n. 5, p. e0126379, maio 2015, doi: 10.1371/journal.pone.0126379.</w:t>
      </w:r>
    </w:p>
    <w:p w14:paraId="48C1136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W. H. Gage, D. A. Winter, J. S. Frank, e A. L. Adkin, “Kinematic and kinetic validity of the inverted pendulum model in quiet standing”,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19, n. 2, p. 124–132, abr. 2004, doi: 10.1016/S0966-6362(03)00037-7.</w:t>
      </w:r>
    </w:p>
    <w:p w14:paraId="557C622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Winter, “Human balance and posture control during standing and walking”,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3, n. 4, p. 193–214, dez. 1995, doi: 10.1016/0966-6362(96)82849-9.</w:t>
      </w:r>
    </w:p>
    <w:p w14:paraId="60F740F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Abrahamová e F. Hlavačka, “Age-related changes of human balance during quiet stance”, </w:t>
      </w:r>
      <w:r>
        <w:rPr>
          <w:rFonts w:hint="default" w:ascii="Times New Roman" w:hAnsi="Times New Roman" w:eastAsia="Times New Roman" w:cs="Times New Roman"/>
          <w:i/>
          <w:sz w:val="23"/>
          <w:szCs w:val="23"/>
          <w:lang w:val="pt-BR"/>
        </w:rPr>
        <w:t>Physiol. Res.</w:t>
      </w:r>
      <w:r>
        <w:rPr>
          <w:rFonts w:hint="default" w:ascii="Times New Roman" w:hAnsi="Times New Roman" w:eastAsia="Times New Roman" w:cs="Times New Roman"/>
          <w:sz w:val="23"/>
          <w:szCs w:val="23"/>
          <w:lang w:val="pt-BR"/>
        </w:rPr>
        <w:t>, p. 957–964, 2008, doi: 10.33549/physiolres.931238.</w:t>
      </w:r>
    </w:p>
    <w:p w14:paraId="7B6AEB4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Y. Laufer, “Effect of Age on Characteristics of Forward and Backward Gait at Preferred and Accelerated Walking Speed”, </w:t>
      </w:r>
      <w:r>
        <w:rPr>
          <w:rFonts w:hint="default" w:ascii="Times New Roman" w:hAnsi="Times New Roman" w:eastAsia="Times New Roman" w:cs="Times New Roman"/>
          <w:i/>
          <w:sz w:val="23"/>
          <w:szCs w:val="23"/>
          <w:lang w:val="pt-BR"/>
        </w:rPr>
        <w:t>J. Gerontol. A. Biol. Sci. Med. Sci.</w:t>
      </w:r>
      <w:r>
        <w:rPr>
          <w:rFonts w:hint="default" w:ascii="Times New Roman" w:hAnsi="Times New Roman" w:eastAsia="Times New Roman" w:cs="Times New Roman"/>
          <w:sz w:val="23"/>
          <w:szCs w:val="23"/>
          <w:lang w:val="pt-BR"/>
        </w:rPr>
        <w:t>, v. 60, n. 5, p. 627–632, maio 2005, doi: 10.1093/gerona/60.5.627.</w:t>
      </w:r>
    </w:p>
    <w:p w14:paraId="286F6C7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K. A. Ericsson, R. T. Krampe, e C. Tesch-Römer, “The role of deliberate practice in the acquisition of expert performance.”, </w:t>
      </w:r>
      <w:r>
        <w:rPr>
          <w:rFonts w:hint="default" w:ascii="Times New Roman" w:hAnsi="Times New Roman" w:eastAsia="Times New Roman" w:cs="Times New Roman"/>
          <w:i/>
          <w:sz w:val="23"/>
          <w:szCs w:val="23"/>
          <w:lang w:val="pt-BR"/>
        </w:rPr>
        <w:t>Psychol. Rev.</w:t>
      </w:r>
      <w:r>
        <w:rPr>
          <w:rFonts w:hint="default" w:ascii="Times New Roman" w:hAnsi="Times New Roman" w:eastAsia="Times New Roman" w:cs="Times New Roman"/>
          <w:sz w:val="23"/>
          <w:szCs w:val="23"/>
          <w:lang w:val="pt-BR"/>
        </w:rPr>
        <w:t>, v. 100, n. 3, p. 363–406, jul. 1993, doi: 10.1037/0033-295X.100.3.363.</w:t>
      </w:r>
    </w:p>
    <w:p w14:paraId="16F8116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D. Seidler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“Motor control and aging: Links to age-related brain structural, functional, and biochemical effects”, </w:t>
      </w:r>
      <w:r>
        <w:rPr>
          <w:rFonts w:hint="default" w:ascii="Times New Roman" w:hAnsi="Times New Roman" w:eastAsia="Times New Roman" w:cs="Times New Roman"/>
          <w:i/>
          <w:sz w:val="23"/>
          <w:szCs w:val="23"/>
          <w:lang w:val="pt-BR"/>
        </w:rPr>
        <w:t>Neurosci. Biobehav. Rev.</w:t>
      </w:r>
      <w:r>
        <w:rPr>
          <w:rFonts w:hint="default" w:ascii="Times New Roman" w:hAnsi="Times New Roman" w:eastAsia="Times New Roman" w:cs="Times New Roman"/>
          <w:sz w:val="23"/>
          <w:szCs w:val="23"/>
          <w:lang w:val="pt-BR"/>
        </w:rPr>
        <w:t>, v. 34, n. 5, p. 721–733, abr. 2010, doi: 10.1016/j.neubiorev.2009.10.005.</w:t>
      </w:r>
    </w:p>
    <w:p w14:paraId="44ADB4F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F. Faul, E. Erdfelder, A.-G. Lang, e A. Buchner, “G*Power 3: A flexible statistical power analysis program for the social, behavioral, and biomedical sciences”, </w:t>
      </w:r>
      <w:r>
        <w:rPr>
          <w:rFonts w:hint="default" w:ascii="Times New Roman" w:hAnsi="Times New Roman" w:eastAsia="Times New Roman" w:cs="Times New Roman"/>
          <w:i/>
          <w:sz w:val="23"/>
          <w:szCs w:val="23"/>
          <w:lang w:val="pt-BR"/>
        </w:rPr>
        <w:t>Behav. Res. Methods</w:t>
      </w:r>
      <w:r>
        <w:rPr>
          <w:rFonts w:hint="default" w:ascii="Times New Roman" w:hAnsi="Times New Roman" w:eastAsia="Times New Roman" w:cs="Times New Roman"/>
          <w:sz w:val="23"/>
          <w:szCs w:val="23"/>
          <w:lang w:val="pt-BR"/>
        </w:rPr>
        <w:t>, v. 39, n. 2, p. 175–191, maio 2007, doi: 10.3758/BF03193146.</w:t>
      </w:r>
    </w:p>
    <w:p w14:paraId="50A8C81E">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F. Faul, E. Erdfelder, A. Buchner, e A.-G. Lang, “Statistical power analyses using G*Power 3.1: Tests for correlation and regression analyses”, </w:t>
      </w:r>
      <w:r>
        <w:rPr>
          <w:rFonts w:hint="default" w:ascii="Times New Roman" w:hAnsi="Times New Roman" w:eastAsia="Times New Roman" w:cs="Times New Roman"/>
          <w:i/>
          <w:sz w:val="23"/>
          <w:szCs w:val="23"/>
          <w:lang w:val="pt-BR"/>
        </w:rPr>
        <w:t>Behav. Res. Methods</w:t>
      </w:r>
      <w:r>
        <w:rPr>
          <w:rFonts w:hint="default" w:ascii="Times New Roman" w:hAnsi="Times New Roman" w:eastAsia="Times New Roman" w:cs="Times New Roman"/>
          <w:sz w:val="23"/>
          <w:szCs w:val="23"/>
          <w:lang w:val="pt-BR"/>
        </w:rPr>
        <w:t>, v. 41, n. 4, p. 1149–1160, nov. 2009, doi: 10.3758/BRM.41.4.1149.</w:t>
      </w:r>
    </w:p>
    <w:p w14:paraId="71D199F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Cohen, </w:t>
      </w:r>
      <w:r>
        <w:rPr>
          <w:rFonts w:hint="default" w:ascii="Times New Roman" w:hAnsi="Times New Roman" w:eastAsia="Times New Roman" w:cs="Times New Roman"/>
          <w:i/>
          <w:sz w:val="23"/>
          <w:szCs w:val="23"/>
          <w:lang w:val="pt-BR"/>
        </w:rPr>
        <w:t>Statistical power analysis for the behavioral sciences</w:t>
      </w:r>
      <w:r>
        <w:rPr>
          <w:rFonts w:hint="default" w:ascii="Times New Roman" w:hAnsi="Times New Roman" w:eastAsia="Times New Roman" w:cs="Times New Roman"/>
          <w:sz w:val="23"/>
          <w:szCs w:val="23"/>
          <w:lang w:val="pt-BR"/>
        </w:rPr>
        <w:t>, 2. ed., Reprint. New York, NY: Psychology Press, 2009.</w:t>
      </w:r>
    </w:p>
    <w:p w14:paraId="1A372D5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H. Chen, P. Cohen, e S. Chen, “How Big is a Big Odds Ratio? Interpreting the Magnitudes of Odds Ratios in Epidemiological Studies”, </w:t>
      </w:r>
      <w:r>
        <w:rPr>
          <w:rFonts w:hint="default" w:ascii="Times New Roman" w:hAnsi="Times New Roman" w:eastAsia="Times New Roman" w:cs="Times New Roman"/>
          <w:i/>
          <w:sz w:val="23"/>
          <w:szCs w:val="23"/>
          <w:lang w:val="pt-BR"/>
        </w:rPr>
        <w:t>Commun. Stat. - Simul. Comput.</w:t>
      </w:r>
      <w:r>
        <w:rPr>
          <w:rFonts w:hint="default" w:ascii="Times New Roman" w:hAnsi="Times New Roman" w:eastAsia="Times New Roman" w:cs="Times New Roman"/>
          <w:sz w:val="23"/>
          <w:szCs w:val="23"/>
          <w:lang w:val="pt-BR"/>
        </w:rPr>
        <w:t>, v. 39, n. 4, p. 860–864, mar. 2010, doi: 10.1080/03610911003650383.</w:t>
      </w:r>
    </w:p>
    <w:p w14:paraId="12D93378">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P. Peduzzi, J. Concato, E. Kemper, T. R. Holford, e A. R. Feinstein, “A simulation study of the number of events per variable in logistic regression analysis”, </w:t>
      </w:r>
      <w:r>
        <w:rPr>
          <w:rFonts w:hint="default" w:ascii="Times New Roman" w:hAnsi="Times New Roman" w:eastAsia="Times New Roman" w:cs="Times New Roman"/>
          <w:i/>
          <w:sz w:val="23"/>
          <w:szCs w:val="23"/>
          <w:lang w:val="pt-BR"/>
        </w:rPr>
        <w:t>J. Clin. Epidemiol.</w:t>
      </w:r>
      <w:r>
        <w:rPr>
          <w:rFonts w:hint="default" w:ascii="Times New Roman" w:hAnsi="Times New Roman" w:eastAsia="Times New Roman" w:cs="Times New Roman"/>
          <w:sz w:val="23"/>
          <w:szCs w:val="23"/>
          <w:lang w:val="pt-BR"/>
        </w:rPr>
        <w:t>, v. 49, n. 12, p. 1373–1379, dez. 1996, doi: 10.1016/S0895-4356(96)00236-3.</w:t>
      </w:r>
    </w:p>
    <w:p w14:paraId="55C7846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Y. Benjamini e Y. Hochberg, “Controlling the False Discovery Rate: A Practical and Powerful Approach to Multiple Testing”, </w:t>
      </w:r>
      <w:r>
        <w:rPr>
          <w:rFonts w:hint="default" w:ascii="Times New Roman" w:hAnsi="Times New Roman" w:eastAsia="Times New Roman" w:cs="Times New Roman"/>
          <w:i/>
          <w:sz w:val="23"/>
          <w:szCs w:val="23"/>
          <w:lang w:val="pt-BR"/>
        </w:rPr>
        <w:t>J. R. Stat. Soc. Ser. B Stat. Methodol.</w:t>
      </w:r>
      <w:r>
        <w:rPr>
          <w:rFonts w:hint="default" w:ascii="Times New Roman" w:hAnsi="Times New Roman" w:eastAsia="Times New Roman" w:cs="Times New Roman"/>
          <w:sz w:val="23"/>
          <w:szCs w:val="23"/>
          <w:lang w:val="pt-BR"/>
        </w:rPr>
        <w:t>, v. 57, n. 1, p. 289–300, jan. 1995, doi: 10.1111/j.2517-6161.1995.tb02031.x.</w:t>
      </w:r>
    </w:p>
    <w:p w14:paraId="593BDD2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American College of Sports Medicine, C. Ozemek, A. R. Bonikowske, J. W. Christle, e P. M. Gallo, Org., </w:t>
      </w:r>
      <w:r>
        <w:rPr>
          <w:rFonts w:hint="default" w:ascii="Times New Roman" w:hAnsi="Times New Roman" w:eastAsia="Times New Roman" w:cs="Times New Roman"/>
          <w:i/>
          <w:sz w:val="23"/>
          <w:szCs w:val="23"/>
          <w:lang w:val="pt-BR"/>
        </w:rPr>
        <w:t>ACSM’s guidelines for exercise testing and prescription</w:t>
      </w:r>
      <w:r>
        <w:rPr>
          <w:rFonts w:hint="default" w:ascii="Times New Roman" w:hAnsi="Times New Roman" w:eastAsia="Times New Roman" w:cs="Times New Roman"/>
          <w:sz w:val="23"/>
          <w:szCs w:val="23"/>
          <w:lang w:val="pt-BR"/>
        </w:rPr>
        <w:t>, Twelfth edition. Philadelphia, PA: Wolters Kluwer, 2026.</w:t>
      </w:r>
    </w:p>
    <w:p w14:paraId="443BD16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G. Haff, N. T. Triplett, e National Strength &amp; Conditioning Association, Org., </w:t>
      </w:r>
      <w:r>
        <w:rPr>
          <w:rFonts w:hint="default" w:ascii="Times New Roman" w:hAnsi="Times New Roman" w:eastAsia="Times New Roman" w:cs="Times New Roman"/>
          <w:i/>
          <w:sz w:val="23"/>
          <w:szCs w:val="23"/>
          <w:lang w:val="pt-BR"/>
        </w:rPr>
        <w:t>Essentials of strength training and conditioning</w:t>
      </w:r>
      <w:r>
        <w:rPr>
          <w:rFonts w:hint="default" w:ascii="Times New Roman" w:hAnsi="Times New Roman" w:eastAsia="Times New Roman" w:cs="Times New Roman"/>
          <w:sz w:val="23"/>
          <w:szCs w:val="23"/>
          <w:lang w:val="pt-BR"/>
        </w:rPr>
        <w:t>, Fifth edition. Champaign, IL: Human Kinetics, 2027.</w:t>
      </w:r>
    </w:p>
    <w:p w14:paraId="1D17191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U. Kyle, “Bioelectrical impedance analysis?part I: review of principles and methods”, </w:t>
      </w:r>
      <w:r>
        <w:rPr>
          <w:rFonts w:hint="default" w:ascii="Times New Roman" w:hAnsi="Times New Roman" w:eastAsia="Times New Roman" w:cs="Times New Roman"/>
          <w:i/>
          <w:sz w:val="23"/>
          <w:szCs w:val="23"/>
          <w:lang w:val="pt-BR"/>
        </w:rPr>
        <w:t>Clin. Nutr.</w:t>
      </w:r>
      <w:r>
        <w:rPr>
          <w:rFonts w:hint="default" w:ascii="Times New Roman" w:hAnsi="Times New Roman" w:eastAsia="Times New Roman" w:cs="Times New Roman"/>
          <w:sz w:val="23"/>
          <w:szCs w:val="23"/>
          <w:lang w:val="pt-BR"/>
        </w:rPr>
        <w:t>, v. 23, n. 5, p. 1226–1243, out. 2004, doi: 10.1016/j.clnu.2004.06.004.</w:t>
      </w:r>
    </w:p>
    <w:p w14:paraId="4BCFDE2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H. C. Lukaski, W. W. Bolonchuk, C. B. Hall, e W. A. Siders, “Validation of tetrapolar bioelectrical impedance method to assess human body composition”, </w:t>
      </w:r>
      <w:r>
        <w:rPr>
          <w:rFonts w:hint="default" w:ascii="Times New Roman" w:hAnsi="Times New Roman" w:eastAsia="Times New Roman" w:cs="Times New Roman"/>
          <w:i/>
          <w:sz w:val="23"/>
          <w:szCs w:val="23"/>
          <w:lang w:val="pt-BR"/>
        </w:rPr>
        <w:t>J. Appl. Physiol.</w:t>
      </w:r>
      <w:r>
        <w:rPr>
          <w:rFonts w:hint="default" w:ascii="Times New Roman" w:hAnsi="Times New Roman" w:eastAsia="Times New Roman" w:cs="Times New Roman"/>
          <w:sz w:val="23"/>
          <w:szCs w:val="23"/>
          <w:lang w:val="pt-BR"/>
        </w:rPr>
        <w:t>, v. 60, n. 4, p. 1327–1332, abr. 1986, doi: 10.1152/jappl.1986.60.4.1327.</w:t>
      </w:r>
    </w:p>
    <w:p w14:paraId="0F9FFF4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V. Mathiowetz, “Comparison of Rolyan and Jamar dynamometers for measuring grip strength”, </w:t>
      </w:r>
      <w:r>
        <w:rPr>
          <w:rFonts w:hint="default" w:ascii="Times New Roman" w:hAnsi="Times New Roman" w:eastAsia="Times New Roman" w:cs="Times New Roman"/>
          <w:i/>
          <w:sz w:val="23"/>
          <w:szCs w:val="23"/>
          <w:lang w:val="pt-BR"/>
        </w:rPr>
        <w:t>Occup. Ther. Int.</w:t>
      </w:r>
      <w:r>
        <w:rPr>
          <w:rFonts w:hint="default" w:ascii="Times New Roman" w:hAnsi="Times New Roman" w:eastAsia="Times New Roman" w:cs="Times New Roman"/>
          <w:sz w:val="23"/>
          <w:szCs w:val="23"/>
          <w:lang w:val="pt-BR"/>
        </w:rPr>
        <w:t>, v. 9, n. 3, p. 201–209, ago. 2002, doi: 10.1002/oti.165.</w:t>
      </w:r>
    </w:p>
    <w:p w14:paraId="393DEF1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M. Reis e P. M. M. Arantes, “Medida da força de preensão manual- validade e confiabilidade do dinamômetro saehan”, </w:t>
      </w:r>
      <w:r>
        <w:rPr>
          <w:rFonts w:hint="default" w:ascii="Times New Roman" w:hAnsi="Times New Roman" w:eastAsia="Times New Roman" w:cs="Times New Roman"/>
          <w:i/>
          <w:sz w:val="23"/>
          <w:szCs w:val="23"/>
          <w:lang w:val="pt-BR"/>
        </w:rPr>
        <w:t>Fisioter. E Pesqui.</w:t>
      </w:r>
      <w:r>
        <w:rPr>
          <w:rFonts w:hint="default" w:ascii="Times New Roman" w:hAnsi="Times New Roman" w:eastAsia="Times New Roman" w:cs="Times New Roman"/>
          <w:sz w:val="23"/>
          <w:szCs w:val="23"/>
          <w:lang w:val="pt-BR"/>
        </w:rPr>
        <w:t>, v. 18, n. 2, p. 176–181, jun. 2011, doi: 10.1590/S1809-29502011000200013.</w:t>
      </w:r>
    </w:p>
    <w:p w14:paraId="1335CDB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H. C. Roberts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“A review of the measurement of grip strength in clinical and epidemiological studies: towards a standardised approach”, </w:t>
      </w:r>
      <w:r>
        <w:rPr>
          <w:rFonts w:hint="default" w:ascii="Times New Roman" w:hAnsi="Times New Roman" w:eastAsia="Times New Roman" w:cs="Times New Roman"/>
          <w:i/>
          <w:sz w:val="23"/>
          <w:szCs w:val="23"/>
          <w:lang w:val="pt-BR"/>
        </w:rPr>
        <w:t>Age Ageing</w:t>
      </w:r>
      <w:r>
        <w:rPr>
          <w:rFonts w:hint="default" w:ascii="Times New Roman" w:hAnsi="Times New Roman" w:eastAsia="Times New Roman" w:cs="Times New Roman"/>
          <w:sz w:val="23"/>
          <w:szCs w:val="23"/>
          <w:lang w:val="pt-BR"/>
        </w:rPr>
        <w:t>, v. 40, n. 4, p. 423–429, jul. 2011, doi: 10.1093/ageing/afr051.</w:t>
      </w:r>
    </w:p>
    <w:p w14:paraId="0747417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S. Jaric, “Muscle Strength Testing: Use of Normalisation for Body Size”, </w:t>
      </w:r>
      <w:r>
        <w:rPr>
          <w:rFonts w:hint="default" w:ascii="Times New Roman" w:hAnsi="Times New Roman" w:eastAsia="Times New Roman" w:cs="Times New Roman"/>
          <w:i/>
          <w:sz w:val="23"/>
          <w:szCs w:val="23"/>
          <w:lang w:val="pt-BR"/>
        </w:rPr>
        <w:t>Sports Med.</w:t>
      </w:r>
      <w:r>
        <w:rPr>
          <w:rFonts w:hint="default" w:ascii="Times New Roman" w:hAnsi="Times New Roman" w:eastAsia="Times New Roman" w:cs="Times New Roman"/>
          <w:sz w:val="23"/>
          <w:szCs w:val="23"/>
          <w:lang w:val="pt-BR"/>
        </w:rPr>
        <w:t>, v. 32, n. 10, p. 615–631, 2002, doi: 10.2165/00007256-200232100-00002.</w:t>
      </w:r>
    </w:p>
    <w:p w14:paraId="2DFCB06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L. Lieber e J. Fridén, “Musculoskeletal balance of the human wrist elucidated using intraoperative laser diffraction”, </w:t>
      </w:r>
      <w:r>
        <w:rPr>
          <w:rFonts w:hint="default" w:ascii="Times New Roman" w:hAnsi="Times New Roman" w:eastAsia="Times New Roman" w:cs="Times New Roman"/>
          <w:i/>
          <w:sz w:val="23"/>
          <w:szCs w:val="23"/>
          <w:lang w:val="pt-BR"/>
        </w:rPr>
        <w:t>J. Electromyogr. Kinesiol.</w:t>
      </w:r>
      <w:r>
        <w:rPr>
          <w:rFonts w:hint="default" w:ascii="Times New Roman" w:hAnsi="Times New Roman" w:eastAsia="Times New Roman" w:cs="Times New Roman"/>
          <w:sz w:val="23"/>
          <w:szCs w:val="23"/>
          <w:lang w:val="pt-BR"/>
        </w:rPr>
        <w:t>, v. 8, n. 2, p. 93–100, abr. 1998, doi: 10.1016/S1050-6411(97)00025-4.</w:t>
      </w:r>
    </w:p>
    <w:p w14:paraId="3C5455E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Z. Dvir, </w:t>
      </w:r>
      <w:r>
        <w:rPr>
          <w:rFonts w:hint="default" w:ascii="Times New Roman" w:hAnsi="Times New Roman" w:eastAsia="Times New Roman" w:cs="Times New Roman"/>
          <w:i/>
          <w:sz w:val="23"/>
          <w:szCs w:val="23"/>
          <w:lang w:val="pt-BR"/>
        </w:rPr>
        <w:t>Isokinetics: Muscle Testing, Interpretation and Clinical Applications</w:t>
      </w:r>
      <w:r>
        <w:rPr>
          <w:rFonts w:hint="default" w:ascii="Times New Roman" w:hAnsi="Times New Roman" w:eastAsia="Times New Roman" w:cs="Times New Roman"/>
          <w:sz w:val="23"/>
          <w:szCs w:val="23"/>
          <w:lang w:val="pt-BR"/>
        </w:rPr>
        <w:t>, 3</w:t>
      </w:r>
      <w:r>
        <w:rPr>
          <w:rFonts w:hint="default" w:ascii="Times New Roman" w:hAnsi="Times New Roman" w:eastAsia="Times New Roman" w:cs="Times New Roman"/>
          <w:sz w:val="23"/>
          <w:szCs w:val="23"/>
          <w:vertAlign w:val="superscript"/>
          <w:lang w:val="pt-BR"/>
        </w:rPr>
        <w:t>o</w:t>
      </w:r>
      <w:r>
        <w:rPr>
          <w:rFonts w:hint="default" w:ascii="Times New Roman" w:hAnsi="Times New Roman" w:eastAsia="Times New Roman" w:cs="Times New Roman"/>
          <w:sz w:val="23"/>
          <w:szCs w:val="23"/>
          <w:lang w:val="pt-BR"/>
        </w:rPr>
        <w:t xml:space="preserve"> ed. New York: Routledge, 2025. doi: 10.4324/9781003380719.</w:t>
      </w:r>
    </w:p>
    <w:p w14:paraId="4B668CA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C. Bishop, “Interlimb Asymmetries: Are Thresholds a Usable Concept?”, </w:t>
      </w:r>
      <w:r>
        <w:rPr>
          <w:rFonts w:hint="default" w:ascii="Times New Roman" w:hAnsi="Times New Roman" w:eastAsia="Times New Roman" w:cs="Times New Roman"/>
          <w:i/>
          <w:sz w:val="23"/>
          <w:szCs w:val="23"/>
          <w:lang w:val="pt-BR"/>
        </w:rPr>
        <w:t>Strength Cond. J.</w:t>
      </w:r>
      <w:r>
        <w:rPr>
          <w:rFonts w:hint="default" w:ascii="Times New Roman" w:hAnsi="Times New Roman" w:eastAsia="Times New Roman" w:cs="Times New Roman"/>
          <w:sz w:val="23"/>
          <w:szCs w:val="23"/>
          <w:lang w:val="pt-BR"/>
        </w:rPr>
        <w:t>, v. 43, n. 1, p. 32–36, fev. 2021, doi: 10.1519/SSC.0000000000000554.</w:t>
      </w:r>
    </w:p>
    <w:p w14:paraId="66413F8F">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M. R. Dias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“Influência do processo de familiarização para avaliação da força muscular em testes de 1-RM”, </w:t>
      </w:r>
      <w:r>
        <w:rPr>
          <w:rFonts w:hint="default" w:ascii="Times New Roman" w:hAnsi="Times New Roman" w:eastAsia="Times New Roman" w:cs="Times New Roman"/>
          <w:i/>
          <w:sz w:val="23"/>
          <w:szCs w:val="23"/>
          <w:lang w:val="pt-BR"/>
        </w:rPr>
        <w:t>Rev. Bras. Med. Esporte</w:t>
      </w:r>
      <w:r>
        <w:rPr>
          <w:rFonts w:hint="default" w:ascii="Times New Roman" w:hAnsi="Times New Roman" w:eastAsia="Times New Roman" w:cs="Times New Roman"/>
          <w:sz w:val="23"/>
          <w:szCs w:val="23"/>
          <w:lang w:val="pt-BR"/>
        </w:rPr>
        <w:t>, v. 11, n. 1, 2005, doi: 10.1590/s1517-86922005000100004.</w:t>
      </w:r>
    </w:p>
    <w:p w14:paraId="22D3BB9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A. Soriano, T. J. Suchomel, e P. Comfort, “Weightlifting Overhead Pressing Derivatives: A Review of the Literature”, </w:t>
      </w:r>
      <w:r>
        <w:rPr>
          <w:rFonts w:hint="default" w:ascii="Times New Roman" w:hAnsi="Times New Roman" w:eastAsia="Times New Roman" w:cs="Times New Roman"/>
          <w:i/>
          <w:sz w:val="23"/>
          <w:szCs w:val="23"/>
          <w:lang w:val="pt-BR"/>
        </w:rPr>
        <w:t>Sports Med.</w:t>
      </w:r>
      <w:r>
        <w:rPr>
          <w:rFonts w:hint="default" w:ascii="Times New Roman" w:hAnsi="Times New Roman" w:eastAsia="Times New Roman" w:cs="Times New Roman"/>
          <w:sz w:val="23"/>
          <w:szCs w:val="23"/>
          <w:lang w:val="pt-BR"/>
        </w:rPr>
        <w:t>, v. 49, n. 6, p. 867–885, jun. 2019, doi: 10.1007/s40279-019-01096-8.</w:t>
      </w:r>
    </w:p>
    <w:p w14:paraId="182C03E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G. D. P. Lemos, “A força máxima no shoulder press relativa à massa corporal é uma medida preditiva do  desempenho no strict handstand push-up dentro da modalidade CrossFit®?”, 2024.</w:t>
      </w:r>
    </w:p>
    <w:p w14:paraId="53F65F5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W. A. Sands, D. J. Caine, e J. Borms, </w:t>
      </w:r>
      <w:r>
        <w:rPr>
          <w:rFonts w:hint="default" w:ascii="Times New Roman" w:hAnsi="Times New Roman" w:eastAsia="Times New Roman" w:cs="Times New Roman"/>
          <w:i/>
          <w:sz w:val="23"/>
          <w:szCs w:val="23"/>
          <w:lang w:val="pt-BR"/>
        </w:rPr>
        <w:t>Scientific Aspects of Women’s Gymnastics</w:t>
      </w:r>
      <w:r>
        <w:rPr>
          <w:rFonts w:hint="default" w:ascii="Times New Roman" w:hAnsi="Times New Roman" w:eastAsia="Times New Roman" w:cs="Times New Roman"/>
          <w:sz w:val="23"/>
          <w:szCs w:val="23"/>
          <w:lang w:val="pt-BR"/>
        </w:rPr>
        <w:t>, v. 45. em Medicine and Sport Science, vol. 45. S. Karger AG, 2002. doi: 10.1159/isbn.978-3-318-00894-4.</w:t>
      </w:r>
    </w:p>
    <w:p w14:paraId="17F0A77E">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B. Davis, S. Õunpuu, D. Tyburski, e J. R. Gage, “A gait analysis data collection and reduction technique”, </w:t>
      </w:r>
      <w:r>
        <w:rPr>
          <w:rFonts w:hint="default" w:ascii="Times New Roman" w:hAnsi="Times New Roman" w:eastAsia="Times New Roman" w:cs="Times New Roman"/>
          <w:i/>
          <w:sz w:val="23"/>
          <w:szCs w:val="23"/>
          <w:lang w:val="pt-BR"/>
        </w:rPr>
        <w:t>Hum. Mov. Sci.</w:t>
      </w:r>
      <w:r>
        <w:rPr>
          <w:rFonts w:hint="default" w:ascii="Times New Roman" w:hAnsi="Times New Roman" w:eastAsia="Times New Roman" w:cs="Times New Roman"/>
          <w:sz w:val="23"/>
          <w:szCs w:val="23"/>
          <w:lang w:val="pt-BR"/>
        </w:rPr>
        <w:t>, v. 10, n. 5, p. 575–587, out. 1991, doi: 10.1016/0167-9457(91)90046-Z.</w:t>
      </w:r>
    </w:p>
    <w:p w14:paraId="76A4D1A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P. Kadaba, H. K. Ramakrishnan, e M. E. Wootten, “Measurement of lower extremity kinematics during level walking”, </w:t>
      </w:r>
      <w:r>
        <w:rPr>
          <w:rFonts w:hint="default" w:ascii="Times New Roman" w:hAnsi="Times New Roman" w:eastAsia="Times New Roman" w:cs="Times New Roman"/>
          <w:i/>
          <w:sz w:val="23"/>
          <w:szCs w:val="23"/>
          <w:lang w:val="pt-BR"/>
        </w:rPr>
        <w:t>J. Orthop. Res.</w:t>
      </w:r>
      <w:r>
        <w:rPr>
          <w:rFonts w:hint="default" w:ascii="Times New Roman" w:hAnsi="Times New Roman" w:eastAsia="Times New Roman" w:cs="Times New Roman"/>
          <w:sz w:val="23"/>
          <w:szCs w:val="23"/>
          <w:lang w:val="pt-BR"/>
        </w:rPr>
        <w:t>, v. 8, n. 3, p. 383–392, maio 1990, doi: 10.1002/jor.1100080310.</w:t>
      </w:r>
    </w:p>
    <w:p w14:paraId="60B201A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H. Challis, “A procedure for determining rigid body transformation parameters”, </w:t>
      </w:r>
      <w:r>
        <w:rPr>
          <w:rFonts w:hint="default" w:ascii="Times New Roman" w:hAnsi="Times New Roman" w:eastAsia="Times New Roman" w:cs="Times New Roman"/>
          <w:i/>
          <w:sz w:val="23"/>
          <w:szCs w:val="23"/>
          <w:lang w:val="pt-BR"/>
        </w:rPr>
        <w:t>J. Biomech.</w:t>
      </w:r>
      <w:r>
        <w:rPr>
          <w:rFonts w:hint="default" w:ascii="Times New Roman" w:hAnsi="Times New Roman" w:eastAsia="Times New Roman" w:cs="Times New Roman"/>
          <w:sz w:val="23"/>
          <w:szCs w:val="23"/>
          <w:lang w:val="pt-BR"/>
        </w:rPr>
        <w:t>, v. 28, n. 6, p. 733–737, jun. 1995, doi: 10.1016/0021-9290(94)00116-L.</w:t>
      </w:r>
    </w:p>
    <w:p w14:paraId="341907C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W. Kabsch, “A solution for the best rotation to relate two sets of vectors”, </w:t>
      </w:r>
      <w:r>
        <w:rPr>
          <w:rFonts w:hint="default" w:ascii="Times New Roman" w:hAnsi="Times New Roman" w:eastAsia="Times New Roman" w:cs="Times New Roman"/>
          <w:i/>
          <w:sz w:val="23"/>
          <w:szCs w:val="23"/>
          <w:lang w:val="pt-BR"/>
        </w:rPr>
        <w:t>Acta Crystallogr. Sect. A</w:t>
      </w:r>
      <w:r>
        <w:rPr>
          <w:rFonts w:hint="default" w:ascii="Times New Roman" w:hAnsi="Times New Roman" w:eastAsia="Times New Roman" w:cs="Times New Roman"/>
          <w:sz w:val="23"/>
          <w:szCs w:val="23"/>
          <w:lang w:val="pt-BR"/>
        </w:rPr>
        <w:t>, v. 32, n. 5, p. 922–923, set. 1976, doi: 10.1107/S0567739476001873.</w:t>
      </w:r>
    </w:p>
    <w:p w14:paraId="2133409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B. Michaud e M. Begon, “ezc3d: An easy C3D file I/O cross-platform solution for C++, Python and MATLAB”, </w:t>
      </w:r>
      <w:r>
        <w:rPr>
          <w:rFonts w:hint="default" w:ascii="Times New Roman" w:hAnsi="Times New Roman" w:eastAsia="Times New Roman" w:cs="Times New Roman"/>
          <w:i/>
          <w:sz w:val="23"/>
          <w:szCs w:val="23"/>
          <w:lang w:val="pt-BR"/>
        </w:rPr>
        <w:t>J. Open Source Softw.</w:t>
      </w:r>
      <w:r>
        <w:rPr>
          <w:rFonts w:hint="default" w:ascii="Times New Roman" w:hAnsi="Times New Roman" w:eastAsia="Times New Roman" w:cs="Times New Roman"/>
          <w:sz w:val="23"/>
          <w:szCs w:val="23"/>
          <w:lang w:val="pt-BR"/>
        </w:rPr>
        <w:t>, v. 6, n. 58, p. 2911, fev. 2021, doi: 10.21105/joss.02911.</w:t>
      </w:r>
    </w:p>
    <w:p w14:paraId="42CE621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 Peters, B. Galna, M. Sangeux, M. Morris, e R. Baker, “Quantification of soft tissue artifact in lower limb human motion analysis: A systematic review”,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31, n. 1, p. 1–8, jan. 2010, doi: 10.1016/j.gaitpost.2009.09.004.</w:t>
      </w:r>
    </w:p>
    <w:p w14:paraId="00B2D4C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G. E. Robertson, G. E. Caldwell, J. Hamill, G. Kamen, e S. N. Whittlesey, </w:t>
      </w:r>
      <w:r>
        <w:rPr>
          <w:rFonts w:hint="default" w:ascii="Times New Roman" w:hAnsi="Times New Roman" w:eastAsia="Times New Roman" w:cs="Times New Roman"/>
          <w:i/>
          <w:sz w:val="23"/>
          <w:szCs w:val="23"/>
          <w:lang w:val="pt-BR"/>
        </w:rPr>
        <w:t>Research Methods in Biomechanics</w:t>
      </w:r>
      <w:r>
        <w:rPr>
          <w:rFonts w:hint="default" w:ascii="Times New Roman" w:hAnsi="Times New Roman" w:eastAsia="Times New Roman" w:cs="Times New Roman"/>
          <w:sz w:val="23"/>
          <w:szCs w:val="23"/>
          <w:lang w:val="pt-BR"/>
        </w:rPr>
        <w:t>, 2</w:t>
      </w:r>
      <w:r>
        <w:rPr>
          <w:rFonts w:hint="default" w:ascii="Times New Roman" w:hAnsi="Times New Roman" w:eastAsia="Times New Roman" w:cs="Times New Roman"/>
          <w:sz w:val="23"/>
          <w:szCs w:val="23"/>
          <w:vertAlign w:val="superscript"/>
          <w:lang w:val="pt-BR"/>
        </w:rPr>
        <w:t>o</w:t>
      </w:r>
      <w:r>
        <w:rPr>
          <w:rFonts w:hint="default" w:ascii="Times New Roman" w:hAnsi="Times New Roman" w:eastAsia="Times New Roman" w:cs="Times New Roman"/>
          <w:sz w:val="23"/>
          <w:szCs w:val="23"/>
          <w:lang w:val="pt-BR"/>
        </w:rPr>
        <w:t xml:space="preserve"> ed. Human Kinetics, 2014. doi: 10.5040/9781492595809.</w:t>
      </w:r>
    </w:p>
    <w:p w14:paraId="3C5A241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S. J. Howarth e J. P. Callaghan, “Quantitative assessment of the accuracy for three interpolation techniques in kinematic analysis of human movement”, </w:t>
      </w:r>
      <w:r>
        <w:rPr>
          <w:rFonts w:hint="default" w:ascii="Times New Roman" w:hAnsi="Times New Roman" w:eastAsia="Times New Roman" w:cs="Times New Roman"/>
          <w:i/>
          <w:sz w:val="23"/>
          <w:szCs w:val="23"/>
          <w:lang w:val="pt-BR"/>
        </w:rPr>
        <w:t>Comput. Methods Biomech. Biomed. Engin.</w:t>
      </w:r>
      <w:r>
        <w:rPr>
          <w:rFonts w:hint="default" w:ascii="Times New Roman" w:hAnsi="Times New Roman" w:eastAsia="Times New Roman" w:cs="Times New Roman"/>
          <w:sz w:val="23"/>
          <w:szCs w:val="23"/>
          <w:lang w:val="pt-BR"/>
        </w:rPr>
        <w:t>, v. 13, n. 6, p. 847–855, dez. 2010, doi: 10.1080/10255841003664701.</w:t>
      </w:r>
    </w:p>
    <w:p w14:paraId="283AD2B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Šenk e L. Chèze, “Rotation sequence as an important factor in shoulder kinematics”, </w:t>
      </w:r>
      <w:r>
        <w:rPr>
          <w:rFonts w:hint="default" w:ascii="Times New Roman" w:hAnsi="Times New Roman" w:eastAsia="Times New Roman" w:cs="Times New Roman"/>
          <w:i/>
          <w:sz w:val="23"/>
          <w:szCs w:val="23"/>
          <w:lang w:val="pt-BR"/>
        </w:rPr>
        <w:t>Clin. Biomech.</w:t>
      </w:r>
      <w:r>
        <w:rPr>
          <w:rFonts w:hint="default" w:ascii="Times New Roman" w:hAnsi="Times New Roman" w:eastAsia="Times New Roman" w:cs="Times New Roman"/>
          <w:sz w:val="23"/>
          <w:szCs w:val="23"/>
          <w:lang w:val="pt-BR"/>
        </w:rPr>
        <w:t>, v. 21, p. S3–S8, jan. 2006, doi: 10.1016/j.clinbiomech.2005.09.007.</w:t>
      </w:r>
    </w:p>
    <w:p w14:paraId="71F344C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[70]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E. Fellin, W. C. Rose, T. D. Royer, e I. S. Davis, “Comparison of methods for kinematic identification of footstrike and toe-off during overground and treadmill running”, </w:t>
      </w:r>
      <w:r>
        <w:rPr>
          <w:rFonts w:hint="default" w:ascii="Times New Roman" w:hAnsi="Times New Roman" w:eastAsia="Times New Roman" w:cs="Times New Roman"/>
          <w:i/>
          <w:sz w:val="23"/>
          <w:szCs w:val="23"/>
          <w:lang w:val="pt-BR"/>
        </w:rPr>
        <w:t>J. Sci. Med. Sport</w:t>
      </w:r>
      <w:r>
        <w:rPr>
          <w:rFonts w:hint="default" w:ascii="Times New Roman" w:hAnsi="Times New Roman" w:eastAsia="Times New Roman" w:cs="Times New Roman"/>
          <w:sz w:val="23"/>
          <w:szCs w:val="23"/>
          <w:lang w:val="pt-BR"/>
        </w:rPr>
        <w:t>, v. 13, n. 6, p. 646–650, nov. 2010, doi: 10.1016/j.jsams.2010.03.006.</w:t>
      </w:r>
    </w:p>
    <w:p w14:paraId="45C19E9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[71]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A. Zeni, J. G. Richards, e J. S. Higginson, “Two simple methods for determining gait events during treadmill and overground walking using kinematic data”,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27, n. 4, p. 710–714, maio 2008, doi: 10.1016/j.gaitpost.2007.07.007.</w:t>
      </w:r>
    </w:p>
    <w:p w14:paraId="73BB0823">
      <w:pPr>
        <w:tabs>
          <w:tab w:val="left" w:pos="0"/>
        </w:tabs>
        <w:spacing w:after="0" w:line="240" w:lineRule="auto"/>
        <w:ind w:left="504" w:hanging="504"/>
        <w:rPr>
          <w:rFonts w:hint="default" w:ascii="Times New Roman" w:hAnsi="Times New Roman" w:eastAsia="Times New Roman" w:cs="Times New Roman"/>
          <w:sz w:val="23"/>
          <w:szCs w:val="23"/>
          <w:lang w:val="en-US"/>
        </w:rPr>
      </w:pPr>
      <w:r>
        <w:rPr>
          <w:rFonts w:hint="default" w:ascii="Times New Roman" w:hAnsi="Times New Roman" w:eastAsia="Times New Roman" w:cs="Times New Roman"/>
          <w:sz w:val="23"/>
          <w:szCs w:val="23"/>
          <w:lang w:val="pt-BR"/>
        </w:rPr>
        <w:t>[72]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S. S. Sun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“Development of bioelectrical impedance analysis prediction equations for body composition with the use of a multicomponent model for use in epidemiologic surveys”, </w:t>
      </w:r>
      <w:r>
        <w:rPr>
          <w:rFonts w:hint="default" w:ascii="Times New Roman" w:hAnsi="Times New Roman" w:eastAsia="Times New Roman" w:cs="Times New Roman"/>
          <w:i/>
          <w:sz w:val="23"/>
          <w:szCs w:val="23"/>
          <w:lang w:val="pt-BR"/>
        </w:rPr>
        <w:t>Am. J. Clin. Nutr.</w:t>
      </w:r>
      <w:r>
        <w:rPr>
          <w:rFonts w:hint="default" w:ascii="Times New Roman" w:hAnsi="Times New Roman" w:eastAsia="Times New Roman" w:cs="Times New Roman"/>
          <w:sz w:val="23"/>
          <w:szCs w:val="23"/>
          <w:lang w:val="pt-BR"/>
        </w:rPr>
        <w:t>, v. 77, n. 2, p. 331–340, fev. 2003, doi: 10.1093/ajcn/77.2.331.</w:t>
      </w:r>
      <w:r>
        <w:rPr>
          <w:rFonts w:hint="default" w:ascii="Times New Roman" w:hAnsi="Times New Roman" w:eastAsia="Times New Roman" w:cs="Times New Roman"/>
          <w:sz w:val="23"/>
          <w:szCs w:val="23"/>
          <w:lang w:val="en-US"/>
        </w:rPr>
        <w:fldChar w:fldCharType="end"/>
      </w:r>
    </w:p>
    <w:p w14:paraId="37E02F6D">
      <w:pPr>
        <w:spacing w:line="360" w:lineRule="auto"/>
        <w:rPr>
          <w:rFonts w:hint="default" w:ascii="Times New Roman" w:hAnsi="Times New Roman" w:eastAsia="Times New Roman" w:cs="Times New Roman"/>
          <w:sz w:val="23"/>
          <w:szCs w:val="23"/>
          <w:lang w:val="en-US"/>
        </w:rPr>
      </w:pPr>
    </w:p>
    <w:p w14:paraId="3ADCE635">
      <w:pPr>
        <w:rPr>
          <w:rFonts w:hint="default" w:ascii="Times New Roman" w:hAnsi="Times New Roman" w:eastAsia="Times New Roman" w:cs="Times New Roman"/>
          <w:lang w:val="en-US"/>
        </w:rPr>
      </w:pPr>
    </w:p>
    <w:sectPr>
      <w:headerReference r:id="rId5" w:type="default"/>
      <w:footerReference r:id="rId6" w:type="default"/>
      <w:pgSz w:w="11906" w:h="16838"/>
      <w:pgMar w:top="1418" w:right="1418" w:bottom="1418" w:left="1418" w:header="720" w:footer="720" w:gutter="0"/>
      <w:pgNumType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01C4D">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204E8">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3F302FC">
    <w:pPr>
      <w:tabs>
        <w:tab w:val="center" w:pos="4252"/>
        <w:tab w:val="right" w:pos="8504"/>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EE4B7A"/>
    <w:multiLevelType w:val="multilevel"/>
    <w:tmpl w:val="0BEE4B7A"/>
    <w:lvl w:ilvl="0" w:tentative="0">
      <w:start w:val="1"/>
      <w:numFmt w:val="bullet"/>
      <w:lvlText w:val=""/>
      <w:lvlJc w:val="left"/>
      <w:pPr>
        <w:tabs>
          <w:tab w:val="left" w:pos="1428"/>
        </w:tabs>
        <w:ind w:left="1428" w:hanging="360"/>
      </w:pPr>
      <w:rPr>
        <w:rFonts w:hint="default" w:ascii="Wingdings" w:hAnsi="Wingdings"/>
        <w:sz w:val="20"/>
      </w:rPr>
    </w:lvl>
    <w:lvl w:ilvl="1" w:tentative="0">
      <w:start w:val="1"/>
      <w:numFmt w:val="bullet"/>
      <w:lvlText w:val=""/>
      <w:lvlJc w:val="left"/>
      <w:pPr>
        <w:tabs>
          <w:tab w:val="left" w:pos="2148"/>
        </w:tabs>
        <w:ind w:left="2148" w:hanging="360"/>
      </w:pPr>
      <w:rPr>
        <w:rFonts w:hint="default" w:ascii="Symbol" w:hAnsi="Symbol"/>
        <w:sz w:val="20"/>
      </w:rPr>
    </w:lvl>
    <w:lvl w:ilvl="2" w:tentative="0">
      <w:start w:val="1"/>
      <w:numFmt w:val="bullet"/>
      <w:lvlText w:val=""/>
      <w:lvlJc w:val="left"/>
      <w:pPr>
        <w:tabs>
          <w:tab w:val="left" w:pos="2868"/>
        </w:tabs>
        <w:ind w:left="2868" w:hanging="360"/>
      </w:pPr>
      <w:rPr>
        <w:rFonts w:hint="default" w:ascii="Symbol" w:hAnsi="Symbol"/>
        <w:sz w:val="20"/>
      </w:rPr>
    </w:lvl>
    <w:lvl w:ilvl="3" w:tentative="0">
      <w:start w:val="1"/>
      <w:numFmt w:val="bullet"/>
      <w:lvlText w:val=""/>
      <w:lvlJc w:val="left"/>
      <w:pPr>
        <w:tabs>
          <w:tab w:val="left" w:pos="3588"/>
        </w:tabs>
        <w:ind w:left="3588" w:hanging="360"/>
      </w:pPr>
      <w:rPr>
        <w:rFonts w:hint="default" w:ascii="Symbol" w:hAnsi="Symbol"/>
        <w:sz w:val="20"/>
      </w:rPr>
    </w:lvl>
    <w:lvl w:ilvl="4" w:tentative="0">
      <w:start w:val="1"/>
      <w:numFmt w:val="bullet"/>
      <w:lvlText w:val=""/>
      <w:lvlJc w:val="left"/>
      <w:pPr>
        <w:tabs>
          <w:tab w:val="left" w:pos="4308"/>
        </w:tabs>
        <w:ind w:left="4308" w:hanging="360"/>
      </w:pPr>
      <w:rPr>
        <w:rFonts w:hint="default" w:ascii="Symbol" w:hAnsi="Symbol"/>
        <w:sz w:val="20"/>
      </w:rPr>
    </w:lvl>
    <w:lvl w:ilvl="5" w:tentative="0">
      <w:start w:val="1"/>
      <w:numFmt w:val="bullet"/>
      <w:lvlText w:val=""/>
      <w:lvlJc w:val="left"/>
      <w:pPr>
        <w:tabs>
          <w:tab w:val="left" w:pos="5028"/>
        </w:tabs>
        <w:ind w:left="5028" w:hanging="360"/>
      </w:pPr>
      <w:rPr>
        <w:rFonts w:hint="default" w:ascii="Symbol" w:hAnsi="Symbol"/>
        <w:sz w:val="20"/>
      </w:rPr>
    </w:lvl>
    <w:lvl w:ilvl="6" w:tentative="0">
      <w:start w:val="1"/>
      <w:numFmt w:val="bullet"/>
      <w:lvlText w:val=""/>
      <w:lvlJc w:val="left"/>
      <w:pPr>
        <w:tabs>
          <w:tab w:val="left" w:pos="5748"/>
        </w:tabs>
        <w:ind w:left="5748" w:hanging="360"/>
      </w:pPr>
      <w:rPr>
        <w:rFonts w:hint="default" w:ascii="Symbol" w:hAnsi="Symbol"/>
        <w:sz w:val="20"/>
      </w:rPr>
    </w:lvl>
    <w:lvl w:ilvl="7" w:tentative="0">
      <w:start w:val="1"/>
      <w:numFmt w:val="bullet"/>
      <w:lvlText w:val=""/>
      <w:lvlJc w:val="left"/>
      <w:pPr>
        <w:tabs>
          <w:tab w:val="left" w:pos="6468"/>
        </w:tabs>
        <w:ind w:left="6468" w:hanging="360"/>
      </w:pPr>
      <w:rPr>
        <w:rFonts w:hint="default" w:ascii="Symbol" w:hAnsi="Symbol"/>
        <w:sz w:val="20"/>
      </w:rPr>
    </w:lvl>
    <w:lvl w:ilvl="8" w:tentative="0">
      <w:start w:val="1"/>
      <w:numFmt w:val="bullet"/>
      <w:lvlText w:val=""/>
      <w:lvlJc w:val="left"/>
      <w:pPr>
        <w:tabs>
          <w:tab w:val="left" w:pos="7188"/>
        </w:tabs>
        <w:ind w:left="7188" w:hanging="360"/>
      </w:pPr>
      <w:rPr>
        <w:rFonts w:hint="default" w:ascii="Symbol" w:hAnsi="Symbol"/>
        <w:sz w:val="20"/>
      </w:rPr>
    </w:lvl>
  </w:abstractNum>
  <w:abstractNum w:abstractNumId="1">
    <w:nsid w:val="1C8C5FD9"/>
    <w:multiLevelType w:val="multilevel"/>
    <w:tmpl w:val="1C8C5F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5561258"/>
    <w:multiLevelType w:val="multilevel"/>
    <w:tmpl w:val="255612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B4B629F"/>
    <w:multiLevelType w:val="multilevel"/>
    <w:tmpl w:val="3B4B629F"/>
    <w:lvl w:ilvl="0" w:tentative="0">
      <w:start w:val="1"/>
      <w:numFmt w:val="decimal"/>
      <w:lvlText w:val="%1"/>
      <w:lvlJc w:val="left"/>
      <w:pPr>
        <w:tabs>
          <w:tab w:val="left" w:pos="0"/>
        </w:tabs>
        <w:ind w:left="780" w:hanging="420"/>
      </w:pPr>
    </w:lvl>
    <w:lvl w:ilvl="1" w:tentative="0">
      <w:start w:val="3"/>
      <w:numFmt w:val="decimal"/>
      <w:lvlText w:val="%1.%2"/>
      <w:lvlJc w:val="left"/>
      <w:pPr>
        <w:tabs>
          <w:tab w:val="left" w:pos="0"/>
        </w:tabs>
        <w:ind w:left="720" w:hanging="360"/>
      </w:pPr>
      <w:rPr>
        <w:i w:val="0"/>
      </w:rPr>
    </w:lvl>
    <w:lvl w:ilvl="2" w:tentative="0">
      <w:start w:val="1"/>
      <w:numFmt w:val="decimal"/>
      <w:lvlText w:val="%1.%2.%3"/>
      <w:lvlJc w:val="left"/>
      <w:pPr>
        <w:tabs>
          <w:tab w:val="left" w:pos="0"/>
        </w:tabs>
        <w:ind w:left="1080" w:hanging="720"/>
      </w:pPr>
      <w:rPr>
        <w:i w:val="0"/>
      </w:rPr>
    </w:lvl>
    <w:lvl w:ilvl="3" w:tentative="0">
      <w:start w:val="1"/>
      <w:numFmt w:val="decimal"/>
      <w:lvlText w:val="%1.%2.%3.%4"/>
      <w:lvlJc w:val="left"/>
      <w:pPr>
        <w:tabs>
          <w:tab w:val="left" w:pos="0"/>
        </w:tabs>
        <w:ind w:left="1080" w:hanging="720"/>
      </w:pPr>
      <w:rPr>
        <w:i w:val="0"/>
      </w:rPr>
    </w:lvl>
    <w:lvl w:ilvl="4" w:tentative="0">
      <w:start w:val="1"/>
      <w:numFmt w:val="decimal"/>
      <w:lvlText w:val="%1.%2.%3.%4.%5"/>
      <w:lvlJc w:val="left"/>
      <w:pPr>
        <w:tabs>
          <w:tab w:val="left" w:pos="0"/>
        </w:tabs>
        <w:ind w:left="1440" w:hanging="1080"/>
      </w:pPr>
      <w:rPr>
        <w:i w:val="0"/>
      </w:rPr>
    </w:lvl>
    <w:lvl w:ilvl="5" w:tentative="0">
      <w:start w:val="1"/>
      <w:numFmt w:val="decimal"/>
      <w:lvlText w:val="%1.%2.%3.%4.%5.%6"/>
      <w:lvlJc w:val="left"/>
      <w:pPr>
        <w:tabs>
          <w:tab w:val="left" w:pos="0"/>
        </w:tabs>
        <w:ind w:left="1440" w:hanging="1080"/>
      </w:pPr>
      <w:rPr>
        <w:i w:val="0"/>
      </w:rPr>
    </w:lvl>
    <w:lvl w:ilvl="6" w:tentative="0">
      <w:start w:val="1"/>
      <w:numFmt w:val="decimal"/>
      <w:lvlText w:val="%1.%2.%3.%4.%5.%6.%7"/>
      <w:lvlJc w:val="left"/>
      <w:pPr>
        <w:tabs>
          <w:tab w:val="left" w:pos="0"/>
        </w:tabs>
        <w:ind w:left="1800" w:hanging="1440"/>
      </w:pPr>
      <w:rPr>
        <w:i w:val="0"/>
      </w:rPr>
    </w:lvl>
    <w:lvl w:ilvl="7" w:tentative="0">
      <w:start w:val="1"/>
      <w:numFmt w:val="decimal"/>
      <w:lvlText w:val="%1.%2.%3.%4.%5.%6.%7.%8"/>
      <w:lvlJc w:val="left"/>
      <w:pPr>
        <w:tabs>
          <w:tab w:val="left" w:pos="0"/>
        </w:tabs>
        <w:ind w:left="1800" w:hanging="1440"/>
      </w:pPr>
      <w:rPr>
        <w:i w:val="0"/>
      </w:rPr>
    </w:lvl>
    <w:lvl w:ilvl="8" w:tentative="0">
      <w:start w:val="1"/>
      <w:numFmt w:val="decimal"/>
      <w:lvlText w:val="%1.%2.%3.%4.%5.%6.%7.%8.%9"/>
      <w:lvlJc w:val="left"/>
      <w:pPr>
        <w:tabs>
          <w:tab w:val="left" w:pos="0"/>
        </w:tabs>
        <w:ind w:left="2160" w:hanging="1800"/>
      </w:pPr>
      <w:rPr>
        <w:i w:val="0"/>
      </w:rPr>
    </w:lvl>
  </w:abstractNum>
  <w:abstractNum w:abstractNumId="4">
    <w:nsid w:val="443E4FBB"/>
    <w:multiLevelType w:val="multilevel"/>
    <w:tmpl w:val="443E4F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D9D57D6"/>
    <w:multiLevelType w:val="multilevel"/>
    <w:tmpl w:val="4D9D57D6"/>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66A055DF"/>
    <w:multiLevelType w:val="multilevel"/>
    <w:tmpl w:val="66A055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B072B8B"/>
    <w:multiLevelType w:val="multilevel"/>
    <w:tmpl w:val="6B072B8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7"/>
  </w:num>
  <w:num w:numId="3">
    <w:abstractNumId w:val="5"/>
  </w:num>
  <w:num w:numId="4">
    <w:abstractNumId w:val="1"/>
  </w:num>
  <w:num w:numId="5">
    <w:abstractNumId w:val="4"/>
  </w:num>
  <w:num w:numId="6">
    <w:abstractNumId w:val="6"/>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2A2"/>
    <w:rsid w:val="000045D4"/>
    <w:rsid w:val="000055E4"/>
    <w:rsid w:val="00040667"/>
    <w:rsid w:val="0004107A"/>
    <w:rsid w:val="00041FB1"/>
    <w:rsid w:val="00071FF8"/>
    <w:rsid w:val="0009091A"/>
    <w:rsid w:val="000A6981"/>
    <w:rsid w:val="000C7F68"/>
    <w:rsid w:val="000E0685"/>
    <w:rsid w:val="000E300C"/>
    <w:rsid w:val="000F3F46"/>
    <w:rsid w:val="000F763C"/>
    <w:rsid w:val="0010463D"/>
    <w:rsid w:val="00104795"/>
    <w:rsid w:val="00106348"/>
    <w:rsid w:val="0011061E"/>
    <w:rsid w:val="001151AF"/>
    <w:rsid w:val="001261C5"/>
    <w:rsid w:val="00131A68"/>
    <w:rsid w:val="00141DFC"/>
    <w:rsid w:val="0014269C"/>
    <w:rsid w:val="0015659F"/>
    <w:rsid w:val="00161DFB"/>
    <w:rsid w:val="00171088"/>
    <w:rsid w:val="00176EDF"/>
    <w:rsid w:val="00184328"/>
    <w:rsid w:val="001B0006"/>
    <w:rsid w:val="001C0C56"/>
    <w:rsid w:val="001C400D"/>
    <w:rsid w:val="001C67ED"/>
    <w:rsid w:val="001D45F0"/>
    <w:rsid w:val="001F6EEC"/>
    <w:rsid w:val="001F7D1D"/>
    <w:rsid w:val="0020505A"/>
    <w:rsid w:val="002311F7"/>
    <w:rsid w:val="0023287C"/>
    <w:rsid w:val="002611FA"/>
    <w:rsid w:val="00271907"/>
    <w:rsid w:val="00275ED8"/>
    <w:rsid w:val="00284AFC"/>
    <w:rsid w:val="00286251"/>
    <w:rsid w:val="002942AC"/>
    <w:rsid w:val="002A0B65"/>
    <w:rsid w:val="002D30BA"/>
    <w:rsid w:val="002F21E3"/>
    <w:rsid w:val="003210DC"/>
    <w:rsid w:val="003473D8"/>
    <w:rsid w:val="00354F99"/>
    <w:rsid w:val="00355B29"/>
    <w:rsid w:val="00371144"/>
    <w:rsid w:val="003731AB"/>
    <w:rsid w:val="00377BA5"/>
    <w:rsid w:val="00377CA5"/>
    <w:rsid w:val="00386E8B"/>
    <w:rsid w:val="00390C51"/>
    <w:rsid w:val="003A2A0F"/>
    <w:rsid w:val="003A2EA2"/>
    <w:rsid w:val="003A72E6"/>
    <w:rsid w:val="003D7058"/>
    <w:rsid w:val="003E5B75"/>
    <w:rsid w:val="004056E8"/>
    <w:rsid w:val="004303C6"/>
    <w:rsid w:val="00432FCE"/>
    <w:rsid w:val="00435A20"/>
    <w:rsid w:val="004720E6"/>
    <w:rsid w:val="0047315F"/>
    <w:rsid w:val="004E779F"/>
    <w:rsid w:val="00517AF8"/>
    <w:rsid w:val="00540721"/>
    <w:rsid w:val="00544E6A"/>
    <w:rsid w:val="0055498D"/>
    <w:rsid w:val="00561E5E"/>
    <w:rsid w:val="005648D6"/>
    <w:rsid w:val="005935D2"/>
    <w:rsid w:val="00593855"/>
    <w:rsid w:val="005A52F2"/>
    <w:rsid w:val="005D00CE"/>
    <w:rsid w:val="005D6729"/>
    <w:rsid w:val="005E0C8F"/>
    <w:rsid w:val="005F5C2B"/>
    <w:rsid w:val="00607081"/>
    <w:rsid w:val="00627A07"/>
    <w:rsid w:val="00641EB8"/>
    <w:rsid w:val="00656343"/>
    <w:rsid w:val="006662F0"/>
    <w:rsid w:val="006A4DAF"/>
    <w:rsid w:val="006B08BC"/>
    <w:rsid w:val="006E021D"/>
    <w:rsid w:val="006E2D58"/>
    <w:rsid w:val="006E5C8A"/>
    <w:rsid w:val="006F686C"/>
    <w:rsid w:val="0070316A"/>
    <w:rsid w:val="00740E2C"/>
    <w:rsid w:val="00751223"/>
    <w:rsid w:val="00765775"/>
    <w:rsid w:val="00781381"/>
    <w:rsid w:val="00794172"/>
    <w:rsid w:val="007A3A9B"/>
    <w:rsid w:val="007B30DC"/>
    <w:rsid w:val="007C3542"/>
    <w:rsid w:val="007E1898"/>
    <w:rsid w:val="007F0920"/>
    <w:rsid w:val="00805024"/>
    <w:rsid w:val="00811883"/>
    <w:rsid w:val="00823A3D"/>
    <w:rsid w:val="00826F8C"/>
    <w:rsid w:val="0083696D"/>
    <w:rsid w:val="008517BD"/>
    <w:rsid w:val="00860F6B"/>
    <w:rsid w:val="00864084"/>
    <w:rsid w:val="00876EA4"/>
    <w:rsid w:val="0088478E"/>
    <w:rsid w:val="008D240F"/>
    <w:rsid w:val="008E34DB"/>
    <w:rsid w:val="009331D1"/>
    <w:rsid w:val="00934805"/>
    <w:rsid w:val="00956342"/>
    <w:rsid w:val="00982906"/>
    <w:rsid w:val="00985282"/>
    <w:rsid w:val="009A6CB3"/>
    <w:rsid w:val="009D27B5"/>
    <w:rsid w:val="009D413C"/>
    <w:rsid w:val="009E1461"/>
    <w:rsid w:val="009F38D8"/>
    <w:rsid w:val="009F4FC4"/>
    <w:rsid w:val="00A0517D"/>
    <w:rsid w:val="00A40F5C"/>
    <w:rsid w:val="00A4607B"/>
    <w:rsid w:val="00A729A5"/>
    <w:rsid w:val="00A87FEA"/>
    <w:rsid w:val="00AB6822"/>
    <w:rsid w:val="00AC1D62"/>
    <w:rsid w:val="00AC390A"/>
    <w:rsid w:val="00AD2126"/>
    <w:rsid w:val="00AD67DE"/>
    <w:rsid w:val="00AF5C84"/>
    <w:rsid w:val="00AF7BFE"/>
    <w:rsid w:val="00B01E04"/>
    <w:rsid w:val="00B17192"/>
    <w:rsid w:val="00B22601"/>
    <w:rsid w:val="00B22D56"/>
    <w:rsid w:val="00B33C2F"/>
    <w:rsid w:val="00BB5FEA"/>
    <w:rsid w:val="00BC2D9A"/>
    <w:rsid w:val="00BD68BE"/>
    <w:rsid w:val="00BF454F"/>
    <w:rsid w:val="00C17D42"/>
    <w:rsid w:val="00C65194"/>
    <w:rsid w:val="00C666D3"/>
    <w:rsid w:val="00C67823"/>
    <w:rsid w:val="00C804D7"/>
    <w:rsid w:val="00CC4161"/>
    <w:rsid w:val="00CC6D21"/>
    <w:rsid w:val="00CD0CA1"/>
    <w:rsid w:val="00CE3CEA"/>
    <w:rsid w:val="00CE44DA"/>
    <w:rsid w:val="00D024FB"/>
    <w:rsid w:val="00D2164C"/>
    <w:rsid w:val="00D22345"/>
    <w:rsid w:val="00D27FB1"/>
    <w:rsid w:val="00D41FDD"/>
    <w:rsid w:val="00D711D4"/>
    <w:rsid w:val="00D72ECC"/>
    <w:rsid w:val="00D74C3A"/>
    <w:rsid w:val="00D75A85"/>
    <w:rsid w:val="00D94276"/>
    <w:rsid w:val="00D977BC"/>
    <w:rsid w:val="00DA0602"/>
    <w:rsid w:val="00DA4F88"/>
    <w:rsid w:val="00DC0673"/>
    <w:rsid w:val="00DF03EF"/>
    <w:rsid w:val="00DF63D4"/>
    <w:rsid w:val="00E03A34"/>
    <w:rsid w:val="00E144CC"/>
    <w:rsid w:val="00E2764A"/>
    <w:rsid w:val="00E33541"/>
    <w:rsid w:val="00E54CFD"/>
    <w:rsid w:val="00E75FBB"/>
    <w:rsid w:val="00E86841"/>
    <w:rsid w:val="00E960C7"/>
    <w:rsid w:val="00EC63DD"/>
    <w:rsid w:val="00ED4AB7"/>
    <w:rsid w:val="00ED4D41"/>
    <w:rsid w:val="00EF326D"/>
    <w:rsid w:val="00F042A2"/>
    <w:rsid w:val="00F135DF"/>
    <w:rsid w:val="00F23CCE"/>
    <w:rsid w:val="00F34807"/>
    <w:rsid w:val="00F47C9E"/>
    <w:rsid w:val="00F52E51"/>
    <w:rsid w:val="00F818B9"/>
    <w:rsid w:val="00F943CD"/>
    <w:rsid w:val="00FA68B4"/>
    <w:rsid w:val="00FC53FE"/>
    <w:rsid w:val="00FD1878"/>
    <w:rsid w:val="043E57C2"/>
    <w:rsid w:val="08BE55F8"/>
    <w:rsid w:val="0A864054"/>
    <w:rsid w:val="16ED6718"/>
    <w:rsid w:val="18094E13"/>
    <w:rsid w:val="18912A5B"/>
    <w:rsid w:val="1D045AC2"/>
    <w:rsid w:val="1E17043B"/>
    <w:rsid w:val="220533F3"/>
    <w:rsid w:val="226637AB"/>
    <w:rsid w:val="25524700"/>
    <w:rsid w:val="26130FD7"/>
    <w:rsid w:val="29E908E1"/>
    <w:rsid w:val="2DC044DF"/>
    <w:rsid w:val="2FF85476"/>
    <w:rsid w:val="323304EA"/>
    <w:rsid w:val="339D4A97"/>
    <w:rsid w:val="36DB148C"/>
    <w:rsid w:val="43352264"/>
    <w:rsid w:val="448536D8"/>
    <w:rsid w:val="508E3FB7"/>
    <w:rsid w:val="5E571978"/>
    <w:rsid w:val="62E01320"/>
    <w:rsid w:val="63DA25E0"/>
    <w:rsid w:val="69687548"/>
    <w:rsid w:val="6CF65E99"/>
    <w:rsid w:val="6DA35C02"/>
    <w:rsid w:val="713F2BFC"/>
    <w:rsid w:val="721E125E"/>
    <w:rsid w:val="72FA4732"/>
    <w:rsid w:val="761756AB"/>
    <w:rsid w:val="7AB742DC"/>
    <w:rsid w:val="7DBF68F2"/>
    <w:rsid w:val="7F7E58B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uppressAutoHyphens/>
      <w:spacing w:after="0" w:line="480" w:lineRule="auto"/>
      <w:jc w:val="both"/>
    </w:pPr>
    <w:rPr>
      <w:rFonts w:ascii="Arial" w:hAnsi="Arial" w:eastAsia="Arial" w:cs="Arial"/>
      <w:sz w:val="24"/>
      <w:szCs w:val="24"/>
      <w:lang w:val="pt-BR" w:eastAsia="pt-BR" w:bidi="ar-SA"/>
    </w:rPr>
  </w:style>
  <w:style w:type="paragraph" w:styleId="2">
    <w:name w:val="heading 1"/>
    <w:basedOn w:val="1"/>
    <w:next w:val="1"/>
    <w:link w:val="14"/>
    <w:qFormat/>
    <w:uiPriority w:val="9"/>
    <w:pPr>
      <w:keepNext/>
      <w:tabs>
        <w:tab w:val="left" w:pos="90"/>
      </w:tabs>
      <w:spacing w:before="240" w:after="60"/>
      <w:jc w:val="left"/>
      <w:outlineLvl w:val="0"/>
    </w:pPr>
    <w:rPr>
      <w:b/>
    </w:rPr>
  </w:style>
  <w:style w:type="paragraph" w:styleId="3">
    <w:name w:val="heading 2"/>
    <w:basedOn w:val="1"/>
    <w:next w:val="1"/>
    <w:link w:val="19"/>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1"/>
    <w:semiHidden/>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paragraph" w:styleId="5">
    <w:name w:val="heading 4"/>
    <w:basedOn w:val="1"/>
    <w:next w:val="1"/>
    <w:link w:val="20"/>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Strong"/>
    <w:qFormat/>
    <w:uiPriority w:val="22"/>
    <w:rPr>
      <w:b/>
      <w:bCs/>
    </w:rPr>
  </w:style>
  <w:style w:type="character" w:styleId="9">
    <w:name w:val="Emphasis"/>
    <w:basedOn w:val="6"/>
    <w:qFormat/>
    <w:uiPriority w:val="20"/>
    <w:rPr>
      <w:i/>
      <w:iCs/>
    </w:rPr>
  </w:style>
  <w:style w:type="paragraph" w:styleId="10">
    <w:name w:val="Body Text"/>
    <w:basedOn w:val="1"/>
    <w:link w:val="15"/>
    <w:qFormat/>
    <w:uiPriority w:val="0"/>
    <w:pPr>
      <w:spacing w:after="140" w:line="276" w:lineRule="auto"/>
    </w:pPr>
  </w:style>
  <w:style w:type="paragraph" w:styleId="11">
    <w:name w:val="Normal (Web)"/>
    <w:basedOn w:val="1"/>
    <w:unhideWhenUsed/>
    <w:qFormat/>
    <w:uiPriority w:val="99"/>
    <w:pPr>
      <w:suppressAutoHyphens w:val="0"/>
      <w:spacing w:before="100" w:beforeAutospacing="1" w:after="100" w:afterAutospacing="1" w:line="240" w:lineRule="auto"/>
      <w:jc w:val="left"/>
    </w:pPr>
    <w:rPr>
      <w:rFonts w:ascii="Times New Roman" w:hAnsi="Times New Roman" w:eastAsia="Times New Roman" w:cs="Times New Roman"/>
    </w:rPr>
  </w:style>
  <w:style w:type="paragraph" w:styleId="12">
    <w:name w:val="header"/>
    <w:basedOn w:val="1"/>
    <w:link w:val="16"/>
    <w:qFormat/>
    <w:uiPriority w:val="0"/>
  </w:style>
  <w:style w:type="paragraph" w:styleId="13">
    <w:name w:val="footer"/>
    <w:basedOn w:val="1"/>
    <w:link w:val="17"/>
    <w:qFormat/>
    <w:uiPriority w:val="0"/>
  </w:style>
  <w:style w:type="character" w:customStyle="1" w:styleId="14">
    <w:name w:val="Título 1 Char"/>
    <w:basedOn w:val="6"/>
    <w:link w:val="2"/>
    <w:qFormat/>
    <w:uiPriority w:val="9"/>
    <w:rPr>
      <w:rFonts w:ascii="Arial" w:hAnsi="Arial" w:eastAsia="Arial" w:cs="Arial"/>
      <w:b/>
      <w:sz w:val="24"/>
      <w:szCs w:val="24"/>
      <w:lang w:eastAsia="pt-BR"/>
    </w:rPr>
  </w:style>
  <w:style w:type="character" w:customStyle="1" w:styleId="15">
    <w:name w:val="Corpo de texto Char"/>
    <w:basedOn w:val="6"/>
    <w:link w:val="10"/>
    <w:qFormat/>
    <w:uiPriority w:val="0"/>
    <w:rPr>
      <w:rFonts w:ascii="Arial" w:hAnsi="Arial" w:eastAsia="Arial" w:cs="Arial"/>
      <w:sz w:val="24"/>
      <w:szCs w:val="24"/>
      <w:lang w:eastAsia="pt-BR"/>
    </w:rPr>
  </w:style>
  <w:style w:type="character" w:customStyle="1" w:styleId="16">
    <w:name w:val="Cabeçalho Char"/>
    <w:basedOn w:val="6"/>
    <w:link w:val="12"/>
    <w:qFormat/>
    <w:uiPriority w:val="0"/>
    <w:rPr>
      <w:rFonts w:ascii="Arial" w:hAnsi="Arial" w:eastAsia="Arial" w:cs="Arial"/>
      <w:sz w:val="24"/>
      <w:szCs w:val="24"/>
      <w:lang w:eastAsia="pt-BR"/>
    </w:rPr>
  </w:style>
  <w:style w:type="character" w:customStyle="1" w:styleId="17">
    <w:name w:val="Rodapé Char"/>
    <w:basedOn w:val="6"/>
    <w:link w:val="13"/>
    <w:qFormat/>
    <w:uiPriority w:val="0"/>
    <w:rPr>
      <w:rFonts w:ascii="Arial" w:hAnsi="Arial" w:eastAsia="Arial" w:cs="Arial"/>
      <w:sz w:val="24"/>
      <w:szCs w:val="24"/>
      <w:lang w:eastAsia="pt-BR"/>
    </w:rPr>
  </w:style>
  <w:style w:type="paragraph" w:customStyle="1" w:styleId="18">
    <w:name w:val="Bibliography"/>
    <w:basedOn w:val="1"/>
    <w:next w:val="1"/>
    <w:unhideWhenUsed/>
    <w:qFormat/>
    <w:uiPriority w:val="37"/>
    <w:pPr>
      <w:tabs>
        <w:tab w:val="left" w:pos="384"/>
      </w:tabs>
      <w:spacing w:line="240" w:lineRule="auto"/>
      <w:ind w:left="384" w:hanging="384"/>
    </w:pPr>
  </w:style>
  <w:style w:type="character" w:customStyle="1" w:styleId="19">
    <w:name w:val="Título 2 Char"/>
    <w:basedOn w:val="6"/>
    <w:link w:val="3"/>
    <w:semiHidden/>
    <w:qFormat/>
    <w:uiPriority w:val="9"/>
    <w:rPr>
      <w:rFonts w:asciiTheme="majorHAnsi" w:hAnsiTheme="majorHAnsi" w:eastAsiaTheme="majorEastAsia" w:cstheme="majorBidi"/>
      <w:color w:val="2F5597" w:themeColor="accent1" w:themeShade="BF"/>
      <w:sz w:val="26"/>
      <w:szCs w:val="26"/>
      <w:lang w:eastAsia="pt-BR"/>
    </w:rPr>
  </w:style>
  <w:style w:type="character" w:customStyle="1" w:styleId="20">
    <w:name w:val="Título 4 Char"/>
    <w:basedOn w:val="6"/>
    <w:link w:val="5"/>
    <w:qFormat/>
    <w:uiPriority w:val="9"/>
    <w:rPr>
      <w:rFonts w:asciiTheme="majorHAnsi" w:hAnsiTheme="majorHAnsi" w:eastAsiaTheme="majorEastAsia" w:cstheme="majorBidi"/>
      <w:i/>
      <w:iCs/>
      <w:color w:val="2F5597" w:themeColor="accent1" w:themeShade="BF"/>
      <w:sz w:val="24"/>
      <w:szCs w:val="24"/>
      <w:lang w:eastAsia="pt-BR"/>
    </w:rPr>
  </w:style>
  <w:style w:type="character" w:customStyle="1" w:styleId="21">
    <w:name w:val="Título 3 Char"/>
    <w:basedOn w:val="6"/>
    <w:link w:val="4"/>
    <w:semiHidden/>
    <w:qFormat/>
    <w:uiPriority w:val="9"/>
    <w:rPr>
      <w:rFonts w:asciiTheme="majorHAnsi" w:hAnsiTheme="majorHAnsi" w:eastAsiaTheme="majorEastAsia" w:cstheme="majorBidi"/>
      <w:color w:val="203864" w:themeColor="accent1" w:themeShade="80"/>
      <w:sz w:val="24"/>
      <w:szCs w:val="24"/>
      <w:lang w:eastAsia="pt-BR"/>
    </w:rPr>
  </w:style>
  <w:style w:type="character" w:customStyle="1" w:styleId="22">
    <w:name w:val="citation-238"/>
    <w:basedOn w:val="6"/>
    <w:qFormat/>
    <w:uiPriority w:val="0"/>
  </w:style>
  <w:style w:type="character" w:customStyle="1" w:styleId="23">
    <w:name w:val="citation-237"/>
    <w:basedOn w:val="6"/>
    <w:qFormat/>
    <w:uiPriority w:val="0"/>
  </w:style>
  <w:style w:type="character" w:customStyle="1" w:styleId="24">
    <w:name w:val="citation-236"/>
    <w:basedOn w:val="6"/>
    <w:qFormat/>
    <w:uiPriority w:val="0"/>
  </w:style>
  <w:style w:type="character" w:customStyle="1" w:styleId="25">
    <w:name w:val="citation-235"/>
    <w:basedOn w:val="6"/>
    <w:qFormat/>
    <w:uiPriority w:val="0"/>
  </w:style>
  <w:style w:type="character" w:customStyle="1" w:styleId="26">
    <w:name w:val="citation-234"/>
    <w:basedOn w:val="6"/>
    <w:qFormat/>
    <w:uiPriority w:val="0"/>
  </w:style>
  <w:style w:type="character" w:customStyle="1" w:styleId="27">
    <w:name w:val="citation-233"/>
    <w:basedOn w:val="6"/>
    <w:qFormat/>
    <w:uiPriority w:val="0"/>
  </w:style>
  <w:style w:type="character" w:customStyle="1" w:styleId="28">
    <w:name w:val="citation-232"/>
    <w:basedOn w:val="6"/>
    <w:qFormat/>
    <w:uiPriority w:val="0"/>
  </w:style>
  <w:style w:type="character" w:customStyle="1" w:styleId="29">
    <w:name w:val="citation-231"/>
    <w:basedOn w:val="6"/>
    <w:qFormat/>
    <w:uiPriority w:val="0"/>
  </w:style>
  <w:style w:type="character" w:customStyle="1" w:styleId="30">
    <w:name w:val="citation-230"/>
    <w:basedOn w:val="6"/>
    <w:qFormat/>
    <w:uiPriority w:val="0"/>
  </w:style>
  <w:style w:type="character" w:customStyle="1" w:styleId="31">
    <w:name w:val="citation-229"/>
    <w:basedOn w:val="6"/>
    <w:qFormat/>
    <w:uiPriority w:val="0"/>
  </w:style>
  <w:style w:type="character" w:customStyle="1" w:styleId="32">
    <w:name w:val="citation-228"/>
    <w:basedOn w:val="6"/>
    <w:qFormat/>
    <w:uiPriority w:val="0"/>
  </w:style>
  <w:style w:type="character" w:customStyle="1" w:styleId="33">
    <w:name w:val="citation-227"/>
    <w:basedOn w:val="6"/>
    <w:qFormat/>
    <w:uiPriority w:val="0"/>
  </w:style>
  <w:style w:type="character" w:customStyle="1" w:styleId="34">
    <w:name w:val="citation-226"/>
    <w:basedOn w:val="6"/>
    <w:qFormat/>
    <w:uiPriority w:val="0"/>
  </w:style>
  <w:style w:type="character" w:customStyle="1" w:styleId="35">
    <w:name w:val="citation-225"/>
    <w:basedOn w:val="6"/>
    <w:qFormat/>
    <w:uiPriority w:val="0"/>
  </w:style>
  <w:style w:type="character" w:customStyle="1" w:styleId="36">
    <w:name w:val="citation-224"/>
    <w:basedOn w:val="6"/>
    <w:qFormat/>
    <w:uiPriority w:val="0"/>
  </w:style>
  <w:style w:type="character" w:customStyle="1" w:styleId="37">
    <w:name w:val="citation-223"/>
    <w:basedOn w:val="6"/>
    <w:qFormat/>
    <w:uiPriority w:val="0"/>
  </w:style>
  <w:style w:type="character" w:customStyle="1" w:styleId="38">
    <w:name w:val="citation-222"/>
    <w:basedOn w:val="6"/>
    <w:qFormat/>
    <w:uiPriority w:val="0"/>
  </w:style>
  <w:style w:type="character" w:customStyle="1" w:styleId="39">
    <w:name w:val="citation-221"/>
    <w:basedOn w:val="6"/>
    <w:qFormat/>
    <w:uiPriority w:val="0"/>
  </w:style>
  <w:style w:type="character" w:customStyle="1" w:styleId="40">
    <w:name w:val="citation-220"/>
    <w:basedOn w:val="6"/>
    <w:qFormat/>
    <w:uiPriority w:val="0"/>
  </w:style>
  <w:style w:type="character" w:customStyle="1" w:styleId="41">
    <w:name w:val="citation-219"/>
    <w:basedOn w:val="6"/>
    <w:qFormat/>
    <w:uiPriority w:val="0"/>
  </w:style>
  <w:style w:type="character" w:customStyle="1" w:styleId="42">
    <w:name w:val="citation-218"/>
    <w:basedOn w:val="6"/>
    <w:qFormat/>
    <w:uiPriority w:val="0"/>
  </w:style>
  <w:style w:type="character" w:customStyle="1" w:styleId="43">
    <w:name w:val="citation-217"/>
    <w:basedOn w:val="6"/>
    <w:qFormat/>
    <w:uiPriority w:val="0"/>
  </w:style>
  <w:style w:type="character" w:customStyle="1" w:styleId="44">
    <w:name w:val="citation-216"/>
    <w:basedOn w:val="6"/>
    <w:qFormat/>
    <w:uiPriority w:val="0"/>
  </w:style>
  <w:style w:type="character" w:customStyle="1" w:styleId="45">
    <w:name w:val="citation-215"/>
    <w:basedOn w:val="6"/>
    <w:qFormat/>
    <w:uiPriority w:val="0"/>
  </w:style>
  <w:style w:type="character" w:customStyle="1" w:styleId="46">
    <w:name w:val="citation-214"/>
    <w:basedOn w:val="6"/>
    <w:qFormat/>
    <w:uiPriority w:val="0"/>
  </w:style>
  <w:style w:type="character" w:customStyle="1" w:styleId="47">
    <w:name w:val="citation-213"/>
    <w:basedOn w:val="6"/>
    <w:qFormat/>
    <w:uiPriority w:val="0"/>
  </w:style>
  <w:style w:type="paragraph" w:styleId="48">
    <w:name w:val="List Paragraph"/>
    <w:basedOn w:val="1"/>
    <w:qFormat/>
    <w:uiPriority w:val="34"/>
    <w:pPr>
      <w:ind w:left="720"/>
      <w:contextualSpacing/>
    </w:pPr>
  </w:style>
  <w:style w:type="character" w:customStyle="1" w:styleId="49">
    <w:name w:val="math-inline"/>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37</Pages>
  <Words>5561</Words>
  <Characters>33032</Characters>
  <Lines>1928</Lines>
  <Paragraphs>547</Paragraphs>
  <TotalTime>19</TotalTime>
  <ScaleCrop>false</ScaleCrop>
  <LinksUpToDate>false</LinksUpToDate>
  <CharactersWithSpaces>38428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2026-03-10T23:05:00Z</dcterms:created>
  <dc:creator>User</dc:creator>
  <cp:lastModifiedBy>Guilherme Lemos</cp:lastModifiedBy>
  <cp:lastPrinted>2025-09-30T19:41:00Z</cp:lastPrinted>
  <dcterms:modified xsi:type="dcterms:W3CDTF">2026-09-16T15:16:29Z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eyJoZGlkIjoiMThhMzU1YmM3NTljMjE0NWZmODIzMTViY2M4NTA0NWIiLCJ1c2VySWQiOiIxMjM2OTU0MjI3MTM2In0=</vt:lpwstr>
  </property>
  <property fmtid="{D5CDD505-2E9C-101B-9397-08002B2CF9AE}" pid="3" name="KSOProductBuildVer">
    <vt:lpwstr>1046-12.1.0.28485</vt:lpwstr>
  </property>
  <property fmtid="{D5CDD505-2E9C-101B-9397-08002B2CF9AE}" pid="4" name="ICV">
    <vt:lpwstr>202F992EAC864BD29387A264FBF8FF5F_13</vt:lpwstr>
  </property>
  <property fmtid="{D5CDD505-2E9C-101B-9397-08002B2CF9AE}" pid="5" name="_ZOTERO_BIBSTYLE_1">
    <vt:lpwstr>{"firstLineIndent":-504,"indent":504,"lineSpacing":240,"entrySpacing":0,"tabStops":[504],"tabStopsCount":1}</vt:lpwstr>
  </property>
  <property fmtid="{D5CDD505-2E9C-101B-9397-08002B2CF9AE}" pid="6" name="ZOTERO_PREF_1">
    <vt:lpwstr>&lt;data data-version="3" zotero-version="10.0.1"&gt;&lt;session id="f2I9vF20"/&gt;&lt;style id="http://www.zotero.org/styles/ieee" locale="pt-BR" hasBibliography="1" bibliographyStyleHasBeenSet="1"/&gt;&lt;prefs&gt;&lt;pref name="fieldType" value="Field"/&gt;&lt;pref name="automaticJour</vt:lpwstr>
  </property>
  <property fmtid="{D5CDD505-2E9C-101B-9397-08002B2CF9AE}" pid="7" name="ZOTERO_PREF_2">
    <vt:lpwstr>nalAbbreviations" value="true"/&gt;&lt;/prefs&gt;&lt;/data&gt;</vt:lpwstr>
  </property>
</Properties>
</file>