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AA255">
      <w:pPr>
        <w:spacing w:line="360" w:lineRule="auto"/>
        <w:jc w:val="center"/>
        <w:rPr>
          <w:rFonts w:ascii="Times New Roman" w:hAnsi="Times New Roman" w:eastAsia="Times New Roman" w:cs="Times New Roman"/>
        </w:rPr>
      </w:pPr>
      <w:r>
        <w:rPr>
          <w:rFonts w:ascii="Times New Roman" w:hAnsi="Times New Roman" w:cs="Times New Roman"/>
        </w:rPr>
        <mc:AlternateContent>
          <mc:Choice Requires="wps">
            <w:drawing>
              <wp:anchor distT="0" distB="0" distL="0" distR="0" simplePos="0" relativeHeight="251659264" behindDoc="0" locked="0" layoutInCell="0" allowOverlap="1">
                <wp:simplePos x="0" y="0"/>
                <wp:positionH relativeFrom="page">
                  <wp:posOffset>-523875</wp:posOffset>
                </wp:positionH>
                <wp:positionV relativeFrom="page">
                  <wp:align>top</wp:align>
                </wp:positionV>
                <wp:extent cx="523875" cy="781050"/>
                <wp:effectExtent l="0" t="0" r="0" b="0"/>
                <wp:wrapNone/>
                <wp:docPr id="2"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 w14:paraId="78E06E17"/>
                        </w:txbxContent>
                      </wps:txbx>
                      <wps:bodyPr wrap="square" lIns="0" tIns="0" rIns="0" bIns="0" anchor="t">
                        <a:noAutofit/>
                      </wps:bodyPr>
                    </wps:wsp>
                  </a:graphicData>
                </a:graphic>
              </wp:anchor>
            </w:drawing>
          </mc:Choice>
          <mc:Fallback>
            <w:pict>
              <v:shape id="bgLayers_comp-joj48vip" o:spid="_x0000_s1026" o:spt="202" type="#_x0000_t202" style="position:absolute;left:0pt;flip:x;margin-left:-41.25pt;height:61.5pt;width:41.25pt;mso-position-horizontal-relative:page;mso-position-vertical:top;mso-position-vertical-relative:page;z-index:251659264;mso-width-relative:page;mso-height-relative:page;" fillcolor="#FFFFFF" filled="t" stroked="f" coordsize="21600,21600" o:allowincell="f" o:gfxdata="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3Ig9UAAAAFAQAADwAA&#10;AAAAAAABACAAAAAiAAAAZHJzL2Rvd25yZXYueG1sUEsBAhQAFAAAAAgAh07iQP7Rct7gAQAAvgMA&#10;AA4AAAAAAAAAAQAgAAAAJAEAAGRycy9lMm9Eb2MueG1sUEsFBgAAAAAGAAYAWQEAAHYFAAAAAA==&#10;">
                <v:fill on="t" focussize="0,0"/>
                <v:stroke on="f"/>
                <v:imagedata o:title=""/>
                <o:lock v:ext="edit" aspectratio="f"/>
                <v:textbox inset="0mm,0mm,0mm,0mm">
                  <w:txbxContent>
                    <w:p w14:paraId="78E06E17"/>
                  </w:txbxContent>
                </v:textbox>
              </v:shape>
            </w:pict>
          </mc:Fallback>
        </mc:AlternateContent>
      </w:r>
      <w:r>
        <w:rPr>
          <w:rFonts w:ascii="Times New Roman" w:hAnsi="Times New Roman" w:eastAsia="Times New Roman" w:cs="Times New Roman"/>
        </w:rPr>
        <w:t>UNIVERSIDADE DE SÃO PAULO</w:t>
      </w:r>
      <w:bookmarkStart w:id="0" w:name="_heading=h.f8ewjw6sfegx"/>
      <w:bookmarkEnd w:id="0"/>
    </w:p>
    <w:p w14:paraId="31F266AE">
      <w:pPr>
        <w:spacing w:line="360" w:lineRule="auto"/>
        <w:jc w:val="center"/>
        <w:rPr>
          <w:rFonts w:ascii="Times New Roman" w:hAnsi="Times New Roman" w:eastAsia="Times New Roman" w:cs="Times New Roman"/>
        </w:rPr>
      </w:pPr>
      <w:r>
        <w:rPr>
          <w:rFonts w:ascii="Times New Roman" w:hAnsi="Times New Roman" w:eastAsia="Times New Roman" w:cs="Times New Roman"/>
        </w:rPr>
        <w:t>ESCOLA DE EDUCAÇÃO FÍSICA E ESPORTE DE RIBEIRÃO PRETO</w:t>
      </w:r>
    </w:p>
    <w:p w14:paraId="3B59E5D9">
      <w:pPr>
        <w:spacing w:line="360" w:lineRule="auto"/>
        <w:rPr>
          <w:rFonts w:ascii="Times New Roman" w:hAnsi="Times New Roman" w:eastAsia="Times New Roman" w:cs="Times New Roman"/>
        </w:rPr>
      </w:pPr>
    </w:p>
    <w:p w14:paraId="02D377FF">
      <w:pPr>
        <w:spacing w:line="360" w:lineRule="auto"/>
        <w:rPr>
          <w:rFonts w:ascii="Times New Roman" w:hAnsi="Times New Roman" w:eastAsia="Times New Roman" w:cs="Times New Roman"/>
        </w:rPr>
      </w:pPr>
    </w:p>
    <w:p w14:paraId="05AF3407">
      <w:pPr>
        <w:spacing w:line="360" w:lineRule="auto"/>
        <w:rPr>
          <w:rFonts w:ascii="Times New Roman" w:hAnsi="Times New Roman" w:eastAsia="Times New Roman" w:cs="Times New Roman"/>
        </w:rPr>
      </w:pPr>
    </w:p>
    <w:p w14:paraId="2D6BA17A">
      <w:pPr>
        <w:spacing w:line="360" w:lineRule="auto"/>
        <w:rPr>
          <w:rFonts w:ascii="Times New Roman" w:hAnsi="Times New Roman" w:eastAsia="Times New Roman" w:cs="Times New Roman"/>
        </w:rPr>
      </w:pPr>
    </w:p>
    <w:p w14:paraId="151E80E2">
      <w:pPr>
        <w:spacing w:line="360" w:lineRule="auto"/>
        <w:jc w:val="center"/>
        <w:rPr>
          <w:rFonts w:ascii="Times New Roman" w:hAnsi="Times New Roman" w:eastAsia="Times New Roman" w:cs="Times New Roman"/>
        </w:rPr>
      </w:pPr>
      <w:r>
        <w:rPr>
          <w:rFonts w:ascii="Times New Roman" w:hAnsi="Times New Roman" w:eastAsia="Times New Roman" w:cs="Times New Roman"/>
        </w:rPr>
        <w:t>GUILHERME DE PAULA LEMOS</w:t>
      </w:r>
    </w:p>
    <w:p w14:paraId="4E4311D7">
      <w:pPr>
        <w:spacing w:line="360" w:lineRule="auto"/>
        <w:rPr>
          <w:rFonts w:ascii="Times New Roman" w:hAnsi="Times New Roman" w:eastAsia="Times New Roman" w:cs="Times New Roman"/>
        </w:rPr>
      </w:pPr>
    </w:p>
    <w:p w14:paraId="7E103BFB">
      <w:pPr>
        <w:spacing w:line="360" w:lineRule="auto"/>
        <w:rPr>
          <w:rFonts w:ascii="Times New Roman" w:hAnsi="Times New Roman" w:eastAsia="Times New Roman" w:cs="Times New Roman"/>
        </w:rPr>
      </w:pPr>
    </w:p>
    <w:p w14:paraId="4FDA10A8">
      <w:pPr>
        <w:spacing w:line="360" w:lineRule="auto"/>
        <w:rPr>
          <w:rFonts w:ascii="Times New Roman" w:hAnsi="Times New Roman" w:eastAsia="Times New Roman" w:cs="Times New Roman"/>
        </w:rPr>
      </w:pPr>
    </w:p>
    <w:p w14:paraId="7BBDDC43">
      <w:pPr>
        <w:spacing w:line="360" w:lineRule="auto"/>
        <w:rPr>
          <w:rFonts w:ascii="Times New Roman" w:hAnsi="Times New Roman" w:eastAsia="Times New Roman" w:cs="Times New Roman"/>
        </w:rPr>
      </w:pPr>
    </w:p>
    <w:p w14:paraId="3DB7F15F">
      <w:pPr>
        <w:spacing w:line="360" w:lineRule="auto"/>
        <w:jc w:val="center"/>
        <w:rPr>
          <w:rFonts w:ascii="Times New Roman" w:hAnsi="Times New Roman" w:eastAsia="Times New Roman" w:cs="Times New Roman"/>
          <w:i/>
          <w:vertAlign w:val="superscript"/>
        </w:rPr>
      </w:pPr>
      <w:r>
        <w:rPr>
          <w:rFonts w:ascii="Times New Roman" w:hAnsi="Times New Roman" w:eastAsia="Times New Roman" w:cs="Times New Roman"/>
        </w:rPr>
        <w:t xml:space="preserve">ANÁLISE DE FATORES ASSOCIADOS AO DESEMPENHO NO </w:t>
      </w:r>
      <w:r>
        <w:rPr>
          <w:rFonts w:ascii="Times New Roman" w:hAnsi="Times New Roman" w:eastAsia="Times New Roman" w:cs="Times New Roman"/>
          <w:i/>
        </w:rPr>
        <w:t xml:space="preserve">HANDSTAND </w:t>
      </w:r>
      <w:r>
        <w:rPr>
          <w:rFonts w:ascii="Times New Roman" w:hAnsi="Times New Roman" w:eastAsia="Times New Roman" w:cs="Times New Roman"/>
        </w:rPr>
        <w:t xml:space="preserve">E </w:t>
      </w:r>
      <w:r>
        <w:rPr>
          <w:rFonts w:ascii="Times New Roman" w:hAnsi="Times New Roman" w:eastAsia="Times New Roman" w:cs="Times New Roman"/>
          <w:i/>
        </w:rPr>
        <w:t>HANDSTAND WALK</w:t>
      </w:r>
      <w:r>
        <w:rPr>
          <w:rFonts w:ascii="Times New Roman" w:hAnsi="Times New Roman" w:eastAsia="Times New Roman" w:cs="Times New Roman"/>
        </w:rPr>
        <w:t xml:space="preserve"> </w:t>
      </w:r>
    </w:p>
    <w:p w14:paraId="54B3AD3E">
      <w:pPr>
        <w:spacing w:line="360" w:lineRule="auto"/>
        <w:jc w:val="center"/>
        <w:rPr>
          <w:rFonts w:ascii="Times New Roman" w:hAnsi="Times New Roman" w:eastAsia="Times New Roman" w:cs="Times New Roman"/>
        </w:rPr>
      </w:pPr>
    </w:p>
    <w:p w14:paraId="0C09F44D">
      <w:pPr>
        <w:spacing w:line="360" w:lineRule="auto"/>
        <w:ind w:left="4320" w:right="18"/>
        <w:rPr>
          <w:rFonts w:ascii="Times New Roman" w:hAnsi="Times New Roman" w:eastAsia="Times New Roman" w:cs="Times New Roman"/>
          <w:color w:val="000000"/>
        </w:rPr>
      </w:pPr>
      <w:r>
        <w:rPr>
          <w:rFonts w:ascii="Times New Roman" w:hAnsi="Times New Roman" w:eastAsia="Times New Roman" w:cs="Times New Roman"/>
          <w:color w:val="000000"/>
        </w:rPr>
        <w:t>Candidato: Guilherme de Paula Lemos</w:t>
      </w:r>
    </w:p>
    <w:p w14:paraId="74EDDA1A">
      <w:pPr>
        <w:spacing w:line="360" w:lineRule="auto"/>
        <w:ind w:left="4320" w:right="18"/>
        <w:rPr>
          <w:rFonts w:ascii="Times New Roman" w:hAnsi="Times New Roman" w:eastAsia="Times New Roman" w:cs="Times New Roman"/>
          <w:color w:val="000000"/>
        </w:rPr>
      </w:pPr>
      <w:r>
        <w:rPr>
          <w:rFonts w:ascii="Times New Roman" w:hAnsi="Times New Roman" w:eastAsia="Times New Roman" w:cs="Times New Roman"/>
          <w:color w:val="000000"/>
        </w:rPr>
        <w:t>Orientador: Matheus Machado Gomes</w:t>
      </w:r>
    </w:p>
    <w:p w14:paraId="63D5171F">
      <w:pPr>
        <w:spacing w:line="360" w:lineRule="auto"/>
        <w:ind w:left="4320" w:right="18"/>
        <w:rPr>
          <w:rFonts w:ascii="Times New Roman" w:hAnsi="Times New Roman" w:eastAsia="Times New Roman" w:cs="Times New Roman"/>
          <w:color w:val="000000"/>
        </w:rPr>
      </w:pPr>
      <w:r>
        <w:rPr>
          <w:rFonts w:ascii="Times New Roman" w:hAnsi="Times New Roman" w:eastAsia="Times New Roman" w:cs="Times New Roman"/>
          <w:color w:val="000000"/>
        </w:rPr>
        <w:t xml:space="preserve">Linha de Pesquisa: </w:t>
      </w:r>
      <w:r>
        <w:rPr>
          <w:rFonts w:ascii="Times New Roman" w:hAnsi="Times New Roman" w:eastAsia="Times New Roman" w:cs="Times New Roman"/>
          <w:i/>
          <w:color w:val="000000"/>
        </w:rPr>
        <w:t>Aspectos biodinâmicos da atividade física e do esporte</w:t>
      </w:r>
    </w:p>
    <w:p w14:paraId="00E4EDE3">
      <w:pPr>
        <w:spacing w:line="360" w:lineRule="auto"/>
        <w:rPr>
          <w:rFonts w:ascii="Times New Roman" w:hAnsi="Times New Roman" w:eastAsia="Times New Roman" w:cs="Times New Roman"/>
        </w:rPr>
      </w:pPr>
    </w:p>
    <w:p w14:paraId="6986C6F9">
      <w:pPr>
        <w:spacing w:line="360" w:lineRule="auto"/>
        <w:rPr>
          <w:rFonts w:ascii="Times New Roman" w:hAnsi="Times New Roman" w:eastAsia="Times New Roman" w:cs="Times New Roman"/>
        </w:rPr>
      </w:pPr>
    </w:p>
    <w:p w14:paraId="728C306C">
      <w:pPr>
        <w:spacing w:line="360" w:lineRule="auto"/>
        <w:rPr>
          <w:rFonts w:ascii="Times New Roman" w:hAnsi="Times New Roman" w:eastAsia="Times New Roman" w:cs="Times New Roman"/>
        </w:rPr>
      </w:pPr>
    </w:p>
    <w:p w14:paraId="072A8F1B">
      <w:pPr>
        <w:spacing w:line="360" w:lineRule="auto"/>
        <w:rPr>
          <w:rFonts w:ascii="Times New Roman" w:hAnsi="Times New Roman" w:eastAsia="Times New Roman" w:cs="Times New Roman"/>
        </w:rPr>
      </w:pPr>
    </w:p>
    <w:p w14:paraId="06C0B9A2">
      <w:pPr>
        <w:spacing w:line="360" w:lineRule="auto"/>
        <w:rPr>
          <w:rFonts w:ascii="Times New Roman" w:hAnsi="Times New Roman" w:eastAsia="Times New Roman" w:cs="Times New Roman"/>
        </w:rPr>
      </w:pPr>
    </w:p>
    <w:p w14:paraId="2A9E1F85">
      <w:pPr>
        <w:spacing w:line="360" w:lineRule="auto"/>
        <w:rPr>
          <w:rFonts w:ascii="Times New Roman" w:hAnsi="Times New Roman" w:eastAsia="Times New Roman" w:cs="Times New Roman"/>
        </w:rPr>
      </w:pPr>
    </w:p>
    <w:p w14:paraId="0F2BF67B">
      <w:pPr>
        <w:spacing w:line="360" w:lineRule="auto"/>
        <w:rPr>
          <w:rFonts w:ascii="Times New Roman" w:hAnsi="Times New Roman" w:eastAsia="Times New Roman" w:cs="Times New Roman"/>
        </w:rPr>
      </w:pPr>
    </w:p>
    <w:p w14:paraId="249B72E6">
      <w:pPr>
        <w:spacing w:line="360" w:lineRule="auto"/>
        <w:rPr>
          <w:rFonts w:ascii="Times New Roman" w:hAnsi="Times New Roman" w:eastAsia="Times New Roman" w:cs="Times New Roman"/>
        </w:rPr>
      </w:pPr>
    </w:p>
    <w:p w14:paraId="7A93AD74">
      <w:pPr>
        <w:spacing w:line="360" w:lineRule="auto"/>
        <w:rPr>
          <w:rFonts w:ascii="Times New Roman" w:hAnsi="Times New Roman" w:eastAsia="Times New Roman" w:cs="Times New Roman"/>
        </w:rPr>
      </w:pPr>
    </w:p>
    <w:p w14:paraId="0E723B6C">
      <w:pPr>
        <w:spacing w:line="360" w:lineRule="auto"/>
        <w:rPr>
          <w:rFonts w:ascii="Times New Roman" w:hAnsi="Times New Roman" w:eastAsia="Times New Roman" w:cs="Times New Roman"/>
        </w:rPr>
      </w:pPr>
    </w:p>
    <w:p w14:paraId="4F5E5083">
      <w:pPr>
        <w:spacing w:line="360" w:lineRule="auto"/>
        <w:rPr>
          <w:rFonts w:ascii="Times New Roman" w:hAnsi="Times New Roman" w:eastAsia="Times New Roman" w:cs="Times New Roman"/>
        </w:rPr>
      </w:pPr>
    </w:p>
    <w:p w14:paraId="704386DB">
      <w:pPr>
        <w:spacing w:line="360" w:lineRule="auto"/>
        <w:rPr>
          <w:rFonts w:ascii="Times New Roman" w:hAnsi="Times New Roman" w:eastAsia="Times New Roman" w:cs="Times New Roman"/>
        </w:rPr>
      </w:pPr>
    </w:p>
    <w:p w14:paraId="69997485">
      <w:pPr>
        <w:spacing w:line="360" w:lineRule="auto"/>
        <w:rPr>
          <w:rFonts w:ascii="Times New Roman" w:hAnsi="Times New Roman" w:eastAsia="Times New Roman" w:cs="Times New Roman"/>
        </w:rPr>
      </w:pPr>
    </w:p>
    <w:p w14:paraId="3F1800FC">
      <w:pPr>
        <w:spacing w:line="360" w:lineRule="auto"/>
        <w:jc w:val="center"/>
        <w:rPr>
          <w:rFonts w:ascii="Times New Roman" w:hAnsi="Times New Roman" w:eastAsia="Times New Roman" w:cs="Times New Roman"/>
        </w:rPr>
      </w:pPr>
      <w:r>
        <w:rPr>
          <w:rFonts w:ascii="Times New Roman" w:hAnsi="Times New Roman" w:eastAsia="Times New Roman" w:cs="Times New Roman"/>
        </w:rPr>
        <w:t>Ribeirão Preto - SP</w:t>
      </w:r>
    </w:p>
    <w:p w14:paraId="16EAA841">
      <w:pPr>
        <w:spacing w:line="360" w:lineRule="auto"/>
        <w:jc w:val="center"/>
        <w:rPr>
          <w:rFonts w:ascii="Times New Roman" w:hAnsi="Times New Roman" w:eastAsia="Times New Roman" w:cs="Times New Roman"/>
        </w:rPr>
        <w:sectPr>
          <w:pgSz w:w="11906" w:h="16838"/>
          <w:pgMar w:top="1418" w:right="1418" w:bottom="1418" w:left="1418" w:header="0" w:footer="0" w:gutter="0"/>
          <w:pgNumType w:start="1"/>
          <w:cols w:space="720" w:num="1"/>
          <w:formProt w:val="0"/>
          <w:docGrid w:linePitch="100" w:charSpace="0"/>
        </w:sectPr>
      </w:pPr>
      <w:r>
        <w:rPr>
          <w:rFonts w:ascii="Times New Roman" w:hAnsi="Times New Roman" w:eastAsia="Times New Roman" w:cs="Times New Roman"/>
        </w:rPr>
        <w:t>2024</w:t>
      </w:r>
    </w:p>
    <w:p w14:paraId="43457DE2">
      <w:pPr>
        <w:spacing w:line="360" w:lineRule="auto"/>
        <w:jc w:val="center"/>
        <w:rPr>
          <w:rFonts w:ascii="Times New Roman" w:hAnsi="Times New Roman" w:eastAsia="Times New Roman" w:cs="Times New Roman"/>
          <w:i/>
          <w:vertAlign w:val="superscript"/>
        </w:rPr>
      </w:pPr>
      <w:bookmarkStart w:id="1" w:name="_heading=h.o5ku8cknwnit"/>
      <w:bookmarkEnd w:id="1"/>
      <w:r>
        <w:rPr>
          <w:rFonts w:ascii="Times New Roman" w:hAnsi="Times New Roman" w:eastAsia="Times New Roman" w:cs="Times New Roman"/>
        </w:rPr>
        <w:t xml:space="preserve">ANÁLISE DE FATORES ASSOCIADOS AO DESEMPENHO NO </w:t>
      </w:r>
      <w:r>
        <w:rPr>
          <w:rFonts w:ascii="Times New Roman" w:hAnsi="Times New Roman" w:eastAsia="Times New Roman" w:cs="Times New Roman"/>
          <w:i/>
        </w:rPr>
        <w:t xml:space="preserve">HANDSTAND </w:t>
      </w:r>
      <w:r>
        <w:rPr>
          <w:rFonts w:ascii="Times New Roman" w:hAnsi="Times New Roman" w:eastAsia="Times New Roman" w:cs="Times New Roman"/>
        </w:rPr>
        <w:t xml:space="preserve">E </w:t>
      </w:r>
      <w:r>
        <w:rPr>
          <w:rFonts w:ascii="Times New Roman" w:hAnsi="Times New Roman" w:eastAsia="Times New Roman" w:cs="Times New Roman"/>
          <w:i/>
        </w:rPr>
        <w:t>HANDSTAND WALK</w:t>
      </w:r>
      <w:r>
        <w:rPr>
          <w:rFonts w:ascii="Times New Roman" w:hAnsi="Times New Roman" w:eastAsia="Times New Roman" w:cs="Times New Roman"/>
        </w:rPr>
        <w:t xml:space="preserve"> </w:t>
      </w:r>
    </w:p>
    <w:p w14:paraId="5BFB30C0">
      <w:pPr>
        <w:spacing w:line="360" w:lineRule="auto"/>
        <w:jc w:val="left"/>
        <w:rPr>
          <w:rFonts w:ascii="Times New Roman" w:hAnsi="Times New Roman" w:eastAsia="Times New Roman" w:cs="Times New Roman"/>
          <w:b/>
        </w:rPr>
      </w:pPr>
      <w:r>
        <w:rPr>
          <w:rFonts w:ascii="Times New Roman" w:hAnsi="Times New Roman" w:eastAsia="Times New Roman" w:cs="Times New Roman"/>
          <w:b/>
        </w:rPr>
        <w:t>RESUMO</w:t>
      </w:r>
    </w:p>
    <w:p w14:paraId="092F70AB">
      <w:pPr>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O </w:t>
      </w:r>
      <w:r>
        <w:rPr>
          <w:rFonts w:ascii="Times New Roman" w:hAnsi="Times New Roman" w:eastAsia="Times New Roman" w:cs="Times New Roman"/>
          <w:i/>
          <w:iCs/>
        </w:rPr>
        <w:t>handstand (HS)</w:t>
      </w:r>
      <w:r>
        <w:rPr>
          <w:rFonts w:ascii="Times New Roman" w:hAnsi="Times New Roman" w:eastAsia="Times New Roman" w:cs="Times New Roman"/>
        </w:rPr>
        <w:t xml:space="preserve"> é uma tarefa motora caracterizada pelo equilíbrio estático em posição invertida sobre as mãos, enquanto o </w:t>
      </w:r>
      <w:r>
        <w:rPr>
          <w:rFonts w:ascii="Times New Roman" w:hAnsi="Times New Roman" w:eastAsia="Times New Roman" w:cs="Times New Roman"/>
          <w:i/>
          <w:iCs/>
        </w:rPr>
        <w:t>handstand walk (HSW)</w:t>
      </w:r>
      <w:r>
        <w:rPr>
          <w:rFonts w:ascii="Times New Roman" w:hAnsi="Times New Roman" w:eastAsia="Times New Roman" w:cs="Times New Roman"/>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Pr>
          <w:rFonts w:ascii="Times New Roman" w:hAnsi="Times New Roman" w:eastAsia="Times New Roman" w:cs="Times New Roman"/>
          <w:i/>
          <w:iCs/>
        </w:rPr>
        <w:t>HS</w:t>
      </w:r>
      <w:r>
        <w:rPr>
          <w:rFonts w:ascii="Times New Roman" w:hAnsi="Times New Roman" w:eastAsia="Times New Roman" w:cs="Times New Roman"/>
        </w:rPr>
        <w:t xml:space="preserve"> e o </w:t>
      </w:r>
      <w:r>
        <w:rPr>
          <w:rFonts w:ascii="Times New Roman" w:hAnsi="Times New Roman" w:eastAsia="Times New Roman" w:cs="Times New Roman"/>
          <w:i/>
          <w:iCs/>
        </w:rPr>
        <w:t>HSW</w:t>
      </w:r>
      <w:r>
        <w:rPr>
          <w:rFonts w:ascii="Times New Roman" w:hAnsi="Times New Roman" w:eastAsia="Times New Roman" w:cs="Times New Roman"/>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Pr>
          <w:rFonts w:ascii="Times New Roman" w:hAnsi="Times New Roman" w:eastAsia="Times New Roman" w:cs="Times New Roman"/>
          <w:i/>
          <w:iCs/>
        </w:rPr>
        <w:t>HS</w:t>
      </w:r>
      <w:r>
        <w:rPr>
          <w:rFonts w:ascii="Times New Roman" w:hAnsi="Times New Roman" w:eastAsia="Times New Roman" w:cs="Times New Roman"/>
        </w:rPr>
        <w:t xml:space="preserve"> e/ou </w:t>
      </w:r>
      <w:r>
        <w:rPr>
          <w:rFonts w:ascii="Times New Roman" w:hAnsi="Times New Roman" w:eastAsia="Times New Roman" w:cs="Times New Roman"/>
          <w:i/>
          <w:iCs/>
        </w:rPr>
        <w:t>HSW</w:t>
      </w:r>
      <w:r>
        <w:rPr>
          <w:rFonts w:ascii="Times New Roman" w:hAnsi="Times New Roman" w:eastAsia="Times New Roman" w:cs="Times New Roman"/>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r>
        <w:rPr>
          <w:rFonts w:ascii="Times New Roman" w:hAnsi="Times New Roman" w:eastAsia="Times New Roman" w:cs="Times New Roman"/>
          <w:i/>
          <w:iCs/>
        </w:rPr>
        <w:t>shoulder press</w:t>
      </w:r>
      <w:r>
        <w:rPr>
          <w:rFonts w:ascii="Times New Roman" w:hAnsi="Times New Roman" w:eastAsia="Times New Roman" w:cs="Times New Roman"/>
        </w:rPr>
        <w:t xml:space="preserve"> relativo à massa corporal; resistência muscular em posição invertida; parâmetros estabilométricos de controle postural (distância CoP-CoM, velocidade do CoP e entropia aproximada); medidas antropométricas, incluindo comprimento de membros, altura do centro de massa (CoM) e composição corporal; e análise cinemática 3D dos ângulos articulares (ombros, quadril e cabeça), orientação angular das mãos e largura da base de apoio; além de variáveis de deslocamento no </w:t>
      </w:r>
      <w:r>
        <w:rPr>
          <w:rFonts w:ascii="Times New Roman" w:hAnsi="Times New Roman" w:eastAsia="Times New Roman" w:cs="Times New Roman"/>
          <w:i/>
          <w:iCs/>
        </w:rPr>
        <w:t>HSW</w:t>
      </w:r>
      <w:r>
        <w:rPr>
          <w:rFonts w:ascii="Times New Roman" w:hAnsi="Times New Roman" w:eastAsia="Times New Roman" w:cs="Times New Roman"/>
        </w:rPr>
        <w:t xml:space="preserve">, como tempo, velocidade, cadência e variabilidade espacial e temporal das passadas. No </w:t>
      </w:r>
      <w:r>
        <w:rPr>
          <w:rFonts w:ascii="Times New Roman" w:hAnsi="Times New Roman" w:eastAsia="Times New Roman" w:cs="Times New Roman"/>
          <w:i/>
          <w:iCs/>
        </w:rPr>
        <w:t>HS</w:t>
      </w:r>
      <w:r>
        <w:rPr>
          <w:rFonts w:ascii="Times New Roman" w:hAnsi="Times New Roman" w:eastAsia="Times New Roman" w:cs="Times New Roman"/>
        </w:rPr>
        <w:t xml:space="preserve">, o desempenho será avaliado pelo tempo de sustentação na condição assistida e pelo sucesso na estabilização de entradas livres, enquanto no </w:t>
      </w:r>
      <w:r>
        <w:rPr>
          <w:rFonts w:ascii="Times New Roman" w:hAnsi="Times New Roman" w:eastAsia="Times New Roman" w:cs="Times New Roman"/>
          <w:i/>
          <w:iCs/>
        </w:rPr>
        <w:t>HSW</w:t>
      </w:r>
      <w:r>
        <w:rPr>
          <w:rFonts w:ascii="Times New Roman" w:hAnsi="Times New Roman" w:eastAsia="Times New Roman" w:cs="Times New Roman"/>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pPr>
        <w:spacing w:line="360" w:lineRule="auto"/>
        <w:rPr>
          <w:rFonts w:ascii="Times New Roman" w:hAnsi="Times New Roman" w:eastAsia="Times New Roman" w:cs="Times New Roman"/>
        </w:rPr>
      </w:pPr>
    </w:p>
    <w:p w14:paraId="222B9E07">
      <w:pPr>
        <w:spacing w:line="360" w:lineRule="auto"/>
        <w:rPr>
          <w:rFonts w:ascii="Times New Roman" w:hAnsi="Times New Roman" w:eastAsia="Times New Roman" w:cs="Times New Roman"/>
          <w:lang w:val="en-US"/>
        </w:rPr>
      </w:pPr>
      <w:r>
        <w:rPr>
          <w:rFonts w:ascii="Times New Roman" w:hAnsi="Times New Roman" w:eastAsia="Times New Roman" w:cs="Times New Roman"/>
        </w:rPr>
        <w:t>.</w:t>
      </w:r>
      <w:r>
        <w:rPr>
          <w:rFonts w:ascii="Times New Roman" w:hAnsi="Times New Roman" w:eastAsia="Times New Roman" w:cs="Times New Roman"/>
          <w:b/>
          <w:lang w:val="en-US"/>
        </w:rPr>
        <w:t xml:space="preserve">Palavras-chave: </w:t>
      </w:r>
      <w:r>
        <w:rPr>
          <w:rFonts w:ascii="Times New Roman" w:hAnsi="Times New Roman" w:eastAsia="Times New Roman" w:cs="Times New Roman"/>
          <w:lang w:val="en-US"/>
        </w:rPr>
        <w:t xml:space="preserve">Parada de mãos; Andar sobre as mãos; Ginástica; </w:t>
      </w:r>
      <w:r>
        <w:rPr>
          <w:rFonts w:ascii="Times New Roman" w:hAnsi="Times New Roman" w:eastAsia="Times New Roman" w:cs="Times New Roman"/>
          <w:i/>
          <w:iCs/>
          <w:lang w:val="en-US"/>
        </w:rPr>
        <w:t>CrossFit®;</w:t>
      </w:r>
      <w:r>
        <w:rPr>
          <w:rFonts w:ascii="Times New Roman" w:hAnsi="Times New Roman" w:eastAsia="Times New Roman" w:cs="Times New Roman"/>
          <w:lang w:val="en-US"/>
        </w:rPr>
        <w:t xml:space="preserve"> Calistenia</w:t>
      </w:r>
    </w:p>
    <w:p w14:paraId="7E5A4316">
      <w:pPr>
        <w:pStyle w:val="2"/>
        <w:numPr>
          <w:ilvl w:val="0"/>
          <w:numId w:val="1"/>
        </w:numPr>
        <w:spacing w:line="360" w:lineRule="auto"/>
        <w:ind w:left="720" w:hanging="360"/>
        <w:rPr>
          <w:rFonts w:ascii="Times New Roman" w:hAnsi="Times New Roman" w:eastAsia="Times New Roman" w:cs="Times New Roman"/>
        </w:rPr>
      </w:pPr>
      <w:r>
        <w:rPr>
          <w:rFonts w:ascii="Times New Roman" w:hAnsi="Times New Roman" w:eastAsia="Times New Roman" w:cs="Times New Roman"/>
        </w:rPr>
        <w:t>INTRODUÇÃO</w:t>
      </w:r>
    </w:p>
    <w:p w14:paraId="67CCAD4F">
      <w:pPr>
        <w:spacing w:line="360" w:lineRule="auto"/>
        <w:ind w:firstLine="360"/>
        <w:rPr>
          <w:rFonts w:ascii="Times New Roman" w:hAnsi="Times New Roman" w:eastAsia="Times New Roman" w:cs="Times New Roman"/>
        </w:rPr>
      </w:pPr>
      <w:r>
        <w:rPr>
          <w:rFonts w:ascii="Times New Roman" w:hAnsi="Times New Roman" w:eastAsia="Times New Roman" w:cs="Times New Roman"/>
          <w:i/>
        </w:rPr>
        <w:t>Handstand (</w:t>
      </w:r>
      <w:r>
        <w:rPr>
          <w:rFonts w:ascii="Times New Roman" w:hAnsi="Times New Roman" w:eastAsia="Times New Roman" w:cs="Times New Roman"/>
          <w:i/>
          <w:iCs/>
        </w:rPr>
        <w:t>HS</w:t>
      </w:r>
      <w:r>
        <w:rPr>
          <w:rFonts w:ascii="Times New Roman" w:hAnsi="Times New Roman" w:eastAsia="Times New Roman" w:cs="Times New Roman"/>
          <w:i/>
        </w:rPr>
        <w:t xml:space="preserve">) </w:t>
      </w:r>
      <w:r>
        <w:rPr>
          <w:rFonts w:ascii="Times New Roman" w:hAnsi="Times New Roman" w:eastAsia="Times New Roman" w:cs="Times New Roman"/>
        </w:rPr>
        <w:t xml:space="preserve">constitui uma tarefa motora de equilíbrio estático em posição invertida sobre as mãos enquanto </w:t>
      </w:r>
      <w:r>
        <w:rPr>
          <w:rFonts w:ascii="Times New Roman" w:hAnsi="Times New Roman" w:eastAsia="Times New Roman" w:cs="Times New Roman"/>
          <w:i/>
        </w:rPr>
        <w:t>Handstand Walking (</w:t>
      </w:r>
      <w:r>
        <w:rPr>
          <w:rFonts w:ascii="Times New Roman" w:hAnsi="Times New Roman" w:eastAsia="Times New Roman" w:cs="Times New Roman"/>
          <w:i/>
          <w:iCs/>
        </w:rPr>
        <w:t>HSW</w:t>
      </w:r>
      <w:r>
        <w:rPr>
          <w:rFonts w:ascii="Times New Roman" w:hAnsi="Times New Roman" w:eastAsia="Times New Roman" w:cs="Times New Roman"/>
          <w:i/>
        </w:rPr>
        <w:t xml:space="preserve">) </w:t>
      </w:r>
      <w:r>
        <w:rPr>
          <w:rFonts w:ascii="Times New Roman" w:hAnsi="Times New Roman" w:eastAsia="Times New Roman" w:cs="Times New Roman"/>
        </w:rPr>
        <w:t>é caracterizado por um equilíbrio dinâmico posição invertida sobre as mãos gerando um deslocamento.</w:t>
      </w:r>
      <w:r>
        <w:rPr>
          <w:rFonts w:ascii="Times New Roman" w:hAnsi="Times New Roman" w:cs="Times New Roman"/>
        </w:rPr>
        <w:t xml:space="preserve"> </w:t>
      </w:r>
      <w:r>
        <w:rPr>
          <w:rFonts w:ascii="Times New Roman" w:hAnsi="Times New Roman" w:eastAsia="Times New Roman" w:cs="Times New Roman"/>
        </w:rPr>
        <w:t xml:space="preserve">Ambos são considerados elementos essenciais da ginástica artística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{"citationID":"3hnjItn1","properties":{"formattedCitation":"[1]","plainCitation":"[1]","noteIndex":0},"citationItems":[{"id":333,"uris":["http://zotero.org/users/17274952/items/LV8KSPDR"],"itemData":{"id":333,"type":"article-journal","abstract":"Handstand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w:t>
      </w:r>
      <w:r>
        <w:rPr>
          <w:rFonts w:ascii="Times New Roman" w:hAnsi="Times New Roman" w:eastAsia="Times New Roman" w:cs="Times New Roman"/>
        </w:rPr>
        <w:fldChar w:fldCharType="end"/>
      </w:r>
      <w:r>
        <w:rPr>
          <w:rFonts w:ascii="Times New Roman" w:hAnsi="Times New Roman" w:eastAsia="Times New Roman" w:cs="Times New Roman"/>
        </w:rPr>
        <w:t xml:space="preserve"> e também estão presentes em diversas outras modalidades como, por exemplo, calistenia, </w:t>
      </w:r>
      <w:r>
        <w:rPr>
          <w:rFonts w:ascii="Times New Roman" w:hAnsi="Times New Roman" w:eastAsia="Times New Roman" w:cs="Times New Roman"/>
          <w:i/>
        </w:rPr>
        <w:t>CrossFit®</w:t>
      </w:r>
      <w:r>
        <w:rPr>
          <w:rFonts w:ascii="Times New Roman" w:hAnsi="Times New Roman" w:eastAsia="Times New Roman" w:cs="Times New Roman"/>
        </w:rPr>
        <w:t>, yoga</w:t>
      </w:r>
      <w:r>
        <w:rPr>
          <w:rFonts w:hint="default" w:ascii="Times New Roman" w:hAnsi="Times New Roman" w:eastAsia="Times New Roman" w:cs="Times New Roman"/>
          <w:lang w:val="pt-BR"/>
        </w:rPr>
        <w:t xml:space="preserve">, </w:t>
      </w:r>
      <w:r>
        <w:rPr>
          <w:rFonts w:ascii="Times New Roman" w:hAnsi="Times New Roman" w:eastAsia="Times New Roman" w:cs="Times New Roman"/>
        </w:rPr>
        <w:t xml:space="preserve">artes circenses. São habilidades motoras complexas, valorizadas por desenvolver força, coordenação, equilíbrio e consciência corporal, constituindo referência de domínio técnico nas práticas que as incorporam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{"citationID":"yPUbr5t1","properties":{"formattedCitation":"[2]","plainCitation":"[2]","noteIndex":0},"citationItems":[{"id":327,"uris":["http://zotero.org/users/17274952/items/7HMEIQK4"],"itemData":{"id":327,"type":"article-journal","abstract":"Despite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w:t>
      </w:r>
      <w:r>
        <w:rPr>
          <w:rFonts w:ascii="Times New Roman" w:hAnsi="Times New Roman" w:eastAsia="Times New Roman" w:cs="Times New Roman"/>
        </w:rPr>
        <w:fldChar w:fldCharType="end"/>
      </w:r>
      <w:r>
        <w:rPr>
          <w:rFonts w:ascii="Times New Roman" w:hAnsi="Times New Roman" w:eastAsia="Times New Roman" w:cs="Times New Roman"/>
        </w:rPr>
        <w:t>.</w:t>
      </w:r>
    </w:p>
    <w:p w14:paraId="32219587">
      <w:pPr>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Há vários trabalhos relacionados ao </w:t>
      </w:r>
      <w:r>
        <w:rPr>
          <w:rFonts w:ascii="Times New Roman" w:hAnsi="Times New Roman" w:eastAsia="Times New Roman" w:cs="Times New Roman"/>
          <w:i/>
          <w:iCs/>
        </w:rPr>
        <w:t>HS</w:t>
      </w:r>
      <w:r>
        <w:rPr>
          <w:rFonts w:ascii="Times New Roman" w:hAnsi="Times New Roman" w:eastAsia="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{"citationID":"Z7I5nlk6","properties":{"formattedCitation":"[3], [4]","plainCitation":"[3], [4]","noteIndex":0},"citationItems":[{"id":336,"uris":["http://zotero.org/users/17274952/items/P82NI7IB"],"itemData":{"id":336,"type":"article-journal","abstract":"KERWIN,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[3], [4]</w:t>
      </w:r>
      <w:r>
        <w:rPr>
          <w:rFonts w:ascii="Times New Roman" w:hAnsi="Times New Roman" w:eastAsia="Times New Roman" w:cs="Times New Roman"/>
        </w:rPr>
        <w:fldChar w:fldCharType="end"/>
      </w:r>
      <w:r>
        <w:rPr>
          <w:rFonts w:ascii="Times New Roman" w:hAnsi="Times New Roman" w:eastAsia="Times New Roman" w:cs="Times New Roman"/>
        </w:rPr>
        <w:t xml:space="preserve">. O </w:t>
      </w:r>
      <w:r>
        <w:rPr>
          <w:rFonts w:ascii="Times New Roman" w:hAnsi="Times New Roman" w:eastAsia="Times New Roman" w:cs="Times New Roman"/>
          <w:i/>
          <w:iCs/>
        </w:rPr>
        <w:t>HS</w:t>
      </w:r>
      <w:r>
        <w:rPr>
          <w:rFonts w:ascii="Times New Roman" w:hAnsi="Times New Roman" w:eastAsia="Times New Roman" w:cs="Times New Roman"/>
          <w:i/>
        </w:rPr>
        <w:t xml:space="preserve"> </w:t>
      </w:r>
      <w:r>
        <w:rPr>
          <w:rFonts w:ascii="Times New Roman" w:hAnsi="Times New Roman" w:eastAsia="Times New Roman" w:cs="Times New Roman"/>
        </w:rPr>
        <w:t>apresenta alta variabilidade articular, especialmente em ombros, punhos e quadris, enquanto o CoM e o CoP permanecem estáveis</w:t>
      </w:r>
      <w:r>
        <w:rPr>
          <w:rFonts w:ascii="Times New Roman" w:hAnsi="Times New Roman" w:eastAsia="Times New Roman" w:cs="Times New Roman"/>
          <w:b/>
        </w:rPr>
        <w:t>,</w:t>
      </w:r>
      <w:r>
        <w:rPr>
          <w:rFonts w:ascii="Times New Roman" w:hAnsi="Times New Roman" w:eastAsia="Times New Roman" w:cs="Times New Roman"/>
        </w:rPr>
        <w:t xml:space="preserve"> evidenciando que a estabilidade é resultado do ajuste coletivo entre segmentos</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{"citationID":"WFdHNrBZ","properties":{"formattedCitation":"[5]","plainCitation":"[5]","noteIndex":0},"citationItems":[{"id":51,"uris":["http://zotero.org/users/17274952/items/6I25TH2Q"],"itemData":{"id":51,"type":"article-journal","abstract":"The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[5]</w:t>
      </w:r>
      <w:r>
        <w:rPr>
          <w:rFonts w:ascii="Times New Roman" w:hAnsi="Times New Roman" w:eastAsia="Times New Roman" w:cs="Times New Roman"/>
        </w:rPr>
        <w:fldChar w:fldCharType="end"/>
      </w:r>
      <w:r>
        <w:rPr>
          <w:rFonts w:ascii="Times New Roman" w:hAnsi="Times New Roman" w:eastAsia="Times New Roman" w:cs="Times New Roman"/>
        </w:rPr>
        <w:t xml:space="preserve">. Para isso é necessária coordenação precisa entre músculos estabilizadores e mobilizadores dos membros superiores e do tronco, sendo os flexores de punho, trapézio, deltoide anterior e tríceps braquial os contribuidores primários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{"citationID":"0MUYVmko","properties":{"formattedCitation":"[6]","plainCitation":"[6]","noteIndex":0},"citationItems":[{"id":326,"uris":["http://zotero.org/users/17274952/items/A5MTUBXD"],"itemData":{"id":326,"type":"article-journal","abstract":"Kochanowicz,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[6]</w:t>
      </w:r>
      <w:r>
        <w:rPr>
          <w:rFonts w:ascii="Times New Roman" w:hAnsi="Times New Roman" w:eastAsia="Times New Roman" w:cs="Times New Roman"/>
        </w:rPr>
        <w:fldChar w:fldCharType="end"/>
      </w:r>
      <w:r>
        <w:rPr>
          <w:rFonts w:ascii="Times New Roman" w:hAnsi="Times New Roman" w:eastAsia="Times New Roman" w:cs="Times New Roman"/>
        </w:rPr>
        <w:t xml:space="preserve">. Nesse contexto, observou-se que os punhos atuam constantemente para manter a pressão contra o solo e realizar microajustes no CoP, sendo responsáveis pelo controle fino frente a pequenas oscilações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{"citationID":"kG7DjW3p","properties":{"formattedCitation":"[2],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 [3], [7]</w:t>
      </w:r>
      <w:r>
        <w:rPr>
          <w:rFonts w:ascii="Times New Roman" w:hAnsi="Times New Roman" w:eastAsia="Times New Roman" w:cs="Times New Roman"/>
        </w:rPr>
        <w:fldChar w:fldCharType="end"/>
      </w:r>
      <w:r>
        <w:rPr>
          <w:rFonts w:ascii="Times New Roman" w:hAnsi="Times New Roman" w:eastAsia="Times New Roman" w:cs="Times New Roman"/>
        </w:rPr>
        <w:t>.</w:t>
      </w:r>
      <w:r>
        <w:rPr>
          <w:rFonts w:ascii="Times New Roman" w:hAnsi="Times New Roman" w:cs="Times New Roman"/>
        </w:rPr>
        <w:t xml:space="preserve"> Embora o punho seja o efetor primário, análises cinemáticas 3D recentes indicam que o ombro atua como um colaborador crítico, sendo o maior contribuinte para o controle do COM tanto no plano anteroposterior quanto no mediolateral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{"citationID":"b0rto6yy","properties":{"unsorted":false,"formattedCitation":"[8]","plainCitation":"[8]","noteIndex":0},"citationItems":[{"id":302,"uris":["http://zotero.org/users/17274952/items/NW2TRL4I"],"itemData":{"id":302,"type":"article-journal","abstract":"The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{"citationID":"B1dti3D7","properties":{"unsorted":false,"formattedCitation":"[9]","plainCitation":"[9]","noteIndex":0},"citationItems":[{"id":299,"uris":["http://zotero.org/users/17274952/items/EJ28IYIX"],"itemData":{"id":299,"type":"article-journal","abstract":"In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t xml:space="preserve">. Além disso, observa-se que a variabilidade dos ângulos articulares é consistentemente maior que a variabilidade do centro de massa, sugerindo que as articulações se auto-organizam em uma estratégia de controle motor para preservar o equilíbrio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{"citationID":"XbH4iuwB","properties":{"unsorted":false,"formattedCitation":"[5]","plainCitation":"[5]","noteIndex":0},"citationItems":[{"id":51,"uris":["http://zotero.org/users/17274952/items/6I25TH2Q"],"itemData":{"id":51,"type":"article-journal","abstract":"The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t>.</w:t>
      </w:r>
      <w:r>
        <w:rPr>
          <w:rFonts w:ascii="Times New Roman" w:hAnsi="Times New Roman" w:eastAsia="Times New Roman" w:cs="Times New Roman"/>
        </w:rPr>
        <w:t xml:space="preserve"> Ginastas mais experientes apresentam menor deslocamento do CoP e possuem ativação muscular mais eficiente</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{"citationID":"JjiXyt1a","properties":{"formattedCitation":"[10]","plainCitation":"[10]","noteIndex":0},"citationItems":[{"id":338,"uris":["http://zotero.org/users/17274952/items/JUTNAMC7"],"itemData":{"id":338,"type":"article-journal","abstract":"The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[10]</w:t>
      </w:r>
      <w:r>
        <w:rPr>
          <w:rFonts w:ascii="Times New Roman" w:hAnsi="Times New Roman" w:eastAsia="Times New Roman" w:cs="Times New Roman"/>
        </w:rPr>
        <w:fldChar w:fldCharType="end"/>
      </w:r>
      <w:r>
        <w:rPr>
          <w:rFonts w:ascii="Times New Roman" w:hAnsi="Times New Roman" w:eastAsia="Times New Roman" w:cs="Times New Roman"/>
          <w:b/>
        </w:rPr>
        <w:t xml:space="preserve">. </w:t>
      </w:r>
      <w:r>
        <w:rPr>
          <w:rFonts w:ascii="Times New Roman" w:hAnsi="Times New Roman" w:eastAsia="Times New Roman" w:cs="Times New Roman"/>
        </w:rPr>
        <w:t xml:space="preserve">O padrão de ativação muscular é adaptativo, durante maior instabilidade, há incremento da coativação para reforçar a rigidez articular, indicando que a manutenção do </w:t>
      </w:r>
      <w:r>
        <w:rPr>
          <w:rFonts w:ascii="Times New Roman" w:hAnsi="Times New Roman" w:eastAsia="Times New Roman" w:cs="Times New Roman"/>
          <w:i/>
          <w:iCs/>
        </w:rPr>
        <w:t>HS</w:t>
      </w:r>
      <w:r>
        <w:rPr>
          <w:rFonts w:ascii="Times New Roman" w:hAnsi="Times New Roman" w:eastAsia="Times New Roman" w:cs="Times New Roman"/>
        </w:rPr>
        <w:t xml:space="preserve"> requer não apenas força, mas a otimização da coordenação muscular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{"citationID":"ij9hcXve","properties":{"formattedCitation":"[11], [12]","plainCitation":"[11], [12]","noteIndex":0},"citationItems":[{"id":346,"uris":["http://zotero.org/users/17274952/items/P35N5UEZ"],"itemData":{"id":346,"type":"article-journal","abstract":"The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334,"uris":["http://zotero.org/users/17274952/items/AFVNAKE4"],"itemData":{"id":334,"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[11], [12]</w:t>
      </w:r>
      <w:r>
        <w:rPr>
          <w:rFonts w:ascii="Times New Roman" w:hAnsi="Times New Roman" w:eastAsia="Times New Roman" w:cs="Times New Roman"/>
        </w:rPr>
        <w:fldChar w:fldCharType="end"/>
      </w:r>
      <w:r>
        <w:rPr>
          <w:rFonts w:ascii="Times New Roman" w:hAnsi="Times New Roman" w:eastAsia="Times New Roman" w:cs="Times New Roman"/>
        </w:rPr>
        <w:t xml:space="preserve">. Além disso, análise cinemática com ginastas experientes mostrou que a capacidade de se manter na </w:t>
      </w:r>
      <w:r>
        <w:rPr>
          <w:rFonts w:ascii="Times New Roman" w:hAnsi="Times New Roman" w:eastAsia="Times New Roman" w:cs="Times New Roman"/>
          <w:i/>
          <w:iCs/>
        </w:rPr>
        <w:t>HS</w:t>
      </w:r>
      <w:r>
        <w:rPr>
          <w:rFonts w:ascii="Times New Roman" w:hAnsi="Times New Roman" w:eastAsia="Times New Roman" w:cs="Times New Roman"/>
          <w:i/>
        </w:rPr>
        <w:t xml:space="preserve"> </w:t>
      </w:r>
      <w:r>
        <w:rPr>
          <w:rFonts w:ascii="Times New Roman" w:hAnsi="Times New Roman" w:eastAsia="Times New Roman" w:cs="Times New Roman"/>
        </w:rPr>
        <w:t xml:space="preserve">está associado ao alinhamento corporal, sobretudo à sobreposição de ombros e quadris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{"citationID":"Pl3hTtMj","properties":{"formattedCitation":"[13], [14]","plainCitation":"[13], [14]","noteIndex":0},"citationItems":[{"id":328,"uris":["http://zotero.org/users/17274952/items/PDH4GHVG"],"itemData":{"id":328,"type":"article-journal","journalAbbreviation":"Science of Gymnastics Journal","page":"19-30","title":"Kinematic Analysis of handstands in gymnastics","volume":"7","author":[{"family":"B. Belčič","given":"P. Samardžija"}],"issued":{"date-parts":[["2015"]]}}},{"id":337,"uris":["http://zotero.org/users/17274952/items/89GK6CG5"],"itemData":{"id":337,"type":"article-journal","abstract":"Background/Objectives: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[13], [14]</w:t>
      </w:r>
      <w:r>
        <w:rPr>
          <w:rFonts w:ascii="Times New Roman" w:hAnsi="Times New Roman" w:eastAsia="Times New Roman" w:cs="Times New Roman"/>
        </w:rPr>
        <w:fldChar w:fldCharType="end"/>
      </w:r>
      <w:r>
        <w:rPr>
          <w:rFonts w:ascii="Times New Roman" w:hAnsi="Times New Roman" w:eastAsia="Times New Roman" w:cs="Times New Roman"/>
        </w:rPr>
        <w:t>.</w:t>
      </w:r>
      <w:r>
        <w:rPr>
          <w:rFonts w:ascii="Times New Roman" w:hAnsi="Times New Roman" w:eastAsia="Times New Roman" w:cs="Times New Roman"/>
          <w:b/>
        </w:rPr>
        <w:t xml:space="preserve"> </w:t>
      </w:r>
      <w:r>
        <w:rPr>
          <w:rFonts w:ascii="Times New Roman" w:hAnsi="Times New Roman" w:eastAsia="Times New Roman" w:cs="Times New Roman"/>
        </w:rPr>
        <w:t xml:space="preserve">Contudo, treinamentos focados exclusivamente no alinhamento corporal, embora aperfeiçoem a execução, não garantem maior duração do equilíbrio, evidenciando a relevância do papel dos punhos e antebraços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{"citationID":"1YqKAwnu","properties":{"formattedCitation":"[2]","plainCitation":"[2]","noteIndex":0},"citationItems":[{"id":327,"uris":["http://zotero.org/users/17274952/items/7HMEIQK4"],"itemData":{"id":327,"type":"article-journal","abstract":"Despite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w:t>
      </w:r>
      <w:r>
        <w:rPr>
          <w:rFonts w:ascii="Times New Roman" w:hAnsi="Times New Roman" w:eastAsia="Times New Roman" w:cs="Times New Roman"/>
        </w:rPr>
        <w:fldChar w:fldCharType="end"/>
      </w:r>
      <w:r>
        <w:rPr>
          <w:rFonts w:ascii="Times New Roman" w:hAnsi="Times New Roman" w:eastAsia="Times New Roman" w:cs="Times New Roman"/>
        </w:rPr>
        <w:t xml:space="preserve">. </w:t>
      </w:r>
      <w:r>
        <w:rPr>
          <w:rFonts w:ascii="Times New Roman" w:hAnsi="Times New Roman" w:cs="Times New Roman"/>
        </w:rPr>
        <w:t xml:space="preserve">Uma revisão sistemática abrangente reforçou que, embora o alinhamento corporal rígido seja o ideal estético, a manutenção da estabilidade depende de uma coordenação dinâmica constante entre o centro de massa (COM) e o centro de pressão (COP)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{"citationID":"v6sPizuA","properties":{"unsorted":false,"formattedCitation":"[15]","plainCitation":"[15]","noteIndex":0},"citationItems":[{"id":303,"uris":["http://zotero.org/users/17274952/items/GMN3DDXM"],"itemData":{"id":303,"type":"article-journal","abstract":"Purpose: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t>.</w:t>
      </w:r>
      <w:r>
        <w:rPr>
          <w:rFonts w:ascii="Times New Roman" w:hAnsi="Times New Roman" w:eastAsia="Times New Roman" w:cs="Times New Roman"/>
        </w:rPr>
        <w:t xml:space="preserve"> </w:t>
      </w:r>
      <w:r>
        <w:rPr>
          <w:rFonts w:ascii="Times New Roman" w:hAnsi="Times New Roman" w:cs="Times New Roman"/>
        </w:rPr>
        <w:t xml:space="preserve">Quanto à configuração da base de suporte, um estudo com o </w:t>
      </w:r>
      <w:r>
        <w:rPr>
          <w:rFonts w:ascii="Times New Roman" w:hAnsi="Times New Roman" w:cs="Times New Roman"/>
          <w:i/>
          <w:iCs/>
        </w:rPr>
        <w:t>HS</w:t>
      </w:r>
      <w:r>
        <w:rPr>
          <w:rFonts w:ascii="Times New Roman" w:hAnsi="Times New Roman" w:cs="Times New Roman"/>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{"citationID":"1hAfAeGr","properties":{"unsorted":false,"formattedCitation":"[16]","plainCitation":"[16]","noteIndex":0},"citationItems":[{"id":304,"uris":["http://zotero.org/users/17274952/items/PKRF3FK3"],"itemData":{"id":304,"type":"article-journal","abstract":"The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w:t>
      </w:r>
      <w:r>
        <w:rPr>
          <w:rFonts w:ascii="Times New Roman" w:hAnsi="Times New Roman" w:eastAsia="Times New Roman" w:cs="Times New Roman"/>
        </w:rPr>
        <w:t>A</w:t>
      </w:r>
      <w:r>
        <w:rPr>
          <w:rFonts w:ascii="Times New Roman" w:hAnsi="Times New Roman" w:cs="Times New Roman"/>
        </w:rPr>
        <w:t xml:space="preserve"> orientação da cabeça também exerce influência direta na estabilidade. Alterações no ângulo do pescoço modificam os padrões de variabilidade multiarticular, o que pode impactar a percepção visual e o controle postural durante a inversão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{"citationID":"FDvN6bYP","properties":{"unsorted":false,"formattedCitation":"[17]","plainCitation":"[17]","noteIndex":0},"citationItems":[{"id":301,"uris":["http://zotero.org/users/17274952/items/IRV3ADLG"],"itemData":{"id":301,"type":"article-journal","abstract":"This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t xml:space="preserve">. Além dos ajustes mecânicos, o controle sensorial desempenha um papel determinante na estabilização da postura invertida. Estudos clássicos demonstram que o </w:t>
      </w:r>
      <w:r>
        <w:rPr>
          <w:rFonts w:ascii="Times New Roman" w:hAnsi="Times New Roman" w:cs="Times New Roman"/>
          <w:i/>
          <w:iCs/>
        </w:rPr>
        <w:t>HS</w:t>
      </w:r>
      <w:r>
        <w:rPr>
          <w:rFonts w:ascii="Times New Roman" w:hAnsi="Times New Roman" w:cs="Times New Roman"/>
        </w:rPr>
        <w:t xml:space="preserve">, por ser uma postura não natural, exige uma recalibração dos sistemas visual e vestibular, sendo que indivíduos especialistas apresentam uma menor dependência de informações visuais externas em comparação a novatos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{"citationID":"5XQGFuZD","properties":{"formattedCitation":"[13]","plainCitation":"[13]","dontUpdate":true,"noteIndex":0},"citationItems":[{"id":340,"uris":["http://zotero.org/users/17274952/items/YAEMRNPP"],"itemData":{"id":340,"type":"article-journal","abstract":"Upright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[13],[25]</w:t>
      </w:r>
      <w:r>
        <w:rPr>
          <w:rFonts w:ascii="Times New Roman" w:hAnsi="Times New Roman" w:eastAsia="Times New Roman" w:cs="Times New Roman"/>
        </w:rPr>
        <w:fldChar w:fldCharType="end"/>
      </w:r>
      <w:r>
        <w:rPr>
          <w:rFonts w:ascii="Times New Roman" w:hAnsi="Times New Roman" w:eastAsia="Times New Roman" w:cs="Times New Roman"/>
        </w:rPr>
        <w:t xml:space="preserve">. A fadiga muscular, como seria de se esperar, tem um grande impacto negativo sobre o </w:t>
      </w:r>
      <w:r>
        <w:rPr>
          <w:rFonts w:ascii="Times New Roman" w:hAnsi="Times New Roman" w:eastAsia="Times New Roman" w:cs="Times New Roman"/>
          <w:i/>
          <w:iCs/>
        </w:rPr>
        <w:t>HS</w:t>
      </w:r>
      <w:r>
        <w:rPr>
          <w:rFonts w:ascii="Times New Roman" w:hAnsi="Times New Roman" w:eastAsia="Times New Roman" w:cs="Times New Roman"/>
        </w:rPr>
        <w:t>, sugerindo que quanto maior a resistência muscular maior a capacidade de manter o equilíbrio nessa posição.</w:t>
      </w:r>
      <w:r>
        <w:rPr>
          <w:rFonts w:ascii="Times New Roman" w:hAnsi="Times New Roman" w:cs="Times New Roman"/>
        </w:rPr>
        <w:t xml:space="preserve"> </w:t>
      </w:r>
      <w:r>
        <w:rPr>
          <w:rFonts w:ascii="Times New Roman" w:hAnsi="Times New Roman" w:eastAsia="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{"citationID":"1cwAaJNT","properties":{"formattedCitation":"[19]","plainCitation":"[19]","noteIndex":0},"citationItems":[{"id":339,"uris":["http://zotero.org/users/17274952/items/9539FXDG"],"itemData":{"id":339,"type":"article-journal","container-title":"Journal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[19]</w:t>
      </w:r>
      <w:r>
        <w:rPr>
          <w:rFonts w:ascii="Times New Roman" w:hAnsi="Times New Roman" w:eastAsia="Times New Roman" w:cs="Times New Roman"/>
        </w:rPr>
        <w:fldChar w:fldCharType="end"/>
      </w:r>
      <w:r>
        <w:rPr>
          <w:rFonts w:ascii="Times New Roman" w:hAnsi="Times New Roman" w:eastAsia="Times New Roman" w:cs="Times New Roman"/>
        </w:rPr>
        <w:t>. Outros fatores psicológicos também influenciam na qualidade do equilíbrio: em ginastas com maior ansiedade, observou-se pior desempenho, com maiores oscilações posturais. Já atletas com maior autoconfiança apresentaram</w:t>
      </w:r>
      <w:r>
        <w:rPr>
          <w:rFonts w:ascii="Times New Roman" w:hAnsi="Times New Roman" w:eastAsia="Times New Roman" w:cs="Times New Roman"/>
          <w:b/>
        </w:rPr>
        <w:t xml:space="preserve"> </w:t>
      </w:r>
      <w:r>
        <w:rPr>
          <w:rFonts w:ascii="Times New Roman" w:hAnsi="Times New Roman" w:eastAsia="Times New Roman" w:cs="Times New Roman"/>
        </w:rPr>
        <w:t xml:space="preserve">maior tempo de sustentação e menor variabilidade postural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{"citationID":"tXKlUqsZ","properties":{"formattedCitation":"[20]","plainCitation":"[20]","noteIndex":0},"citationItems":[{"id":343,"uris":["http://zotero.org/users/17274952/items/L7ZWVBWS"],"itemData":{"id":343,"type":"article-journal","abstract":"Background: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[20]</w:t>
      </w:r>
      <w:r>
        <w:rPr>
          <w:rFonts w:ascii="Times New Roman" w:hAnsi="Times New Roman" w:eastAsia="Times New Roman" w:cs="Times New Roman"/>
        </w:rPr>
        <w:fldChar w:fldCharType="end"/>
      </w:r>
      <w:r>
        <w:rPr>
          <w:rFonts w:ascii="Times New Roman" w:hAnsi="Times New Roman" w:eastAsia="Times New Roman" w:cs="Times New Roman"/>
        </w:rPr>
        <w:t xml:space="preserve">. Estudos comparando ginastas juniores e seniores demonstraram que a experiência esportiva se traduz em maior estabilidade tanto em pé quanto em posição invertida, indicando que o nível de equilíbrio no </w:t>
      </w:r>
      <w:r>
        <w:rPr>
          <w:rFonts w:ascii="Times New Roman" w:hAnsi="Times New Roman" w:eastAsia="Times New Roman" w:cs="Times New Roman"/>
          <w:i/>
          <w:iCs/>
        </w:rPr>
        <w:t>HS</w:t>
      </w:r>
      <w:r>
        <w:rPr>
          <w:rFonts w:ascii="Times New Roman" w:hAnsi="Times New Roman" w:eastAsia="Times New Roman" w:cs="Times New Roman"/>
        </w:rPr>
        <w:t xml:space="preserve"> funciona como um parâmetro de desenvolvimento técnico e de desempenho competitivo</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{"citationID":"4bCNht1k","properties":{"formattedCitation":"[21], [22]","plainCitation":"[21], [22]","noteIndex":0},"citationItems":[{"id":347,"uris":["http://zotero.org/users/17274952/items/2VQLW2EI"],"itemData":{"id":347,"type":"article-journal","abstract":"Purpose: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[21], [22]</w:t>
      </w:r>
      <w:r>
        <w:rPr>
          <w:rFonts w:ascii="Times New Roman" w:hAnsi="Times New Roman" w:cs="Times New Roman"/>
        </w:rPr>
        <w:fldChar w:fldCharType="end"/>
      </w:r>
      <w:r>
        <w:rPr>
          <w:rFonts w:ascii="Times New Roman" w:hAnsi="Times New Roman" w:eastAsia="Times New Roman" w:cs="Times New Roman"/>
        </w:rPr>
        <w:t>.</w:t>
      </w:r>
    </w:p>
    <w:p w14:paraId="4D72301D">
      <w:pPr>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Em relação ao </w:t>
      </w:r>
      <w:r>
        <w:rPr>
          <w:rFonts w:ascii="Times New Roman" w:hAnsi="Times New Roman" w:eastAsia="Times New Roman" w:cs="Times New Roman"/>
          <w:i/>
          <w:iCs/>
        </w:rPr>
        <w:t xml:space="preserve">HSW </w:t>
      </w:r>
      <w:r>
        <w:rPr>
          <w:rFonts w:ascii="Times New Roman" w:hAnsi="Times New Roman" w:eastAsia="Times New Roman" w:cs="Times New Roman"/>
        </w:rPr>
        <w:t>estudos demonstram que a iniciação movimento envolve ajustes posturais antecipatórios (APAs) que promovem um deslocamento intencional do CoP, por estratégias posteriores ou anteriores, para propulsionar o centro de massa (CoM) à frente</w:t>
      </w:r>
      <w:r>
        <w:rPr>
          <w:rFonts w:ascii="Times New Roman" w:hAnsi="Times New Roman" w:cs="Times New Roman"/>
        </w:rPr>
        <w:t xml:space="preserve">. </w:t>
      </w:r>
      <w:r>
        <w:rPr>
          <w:rFonts w:ascii="Times New Roman" w:hAnsi="Times New Roman" w:eastAsia="Times New Roman" w:cs="Times New Roman"/>
        </w:rPr>
        <w:t xml:space="preserve">Embora essas estratégias preparatórias sejam diferentes, o resultado de execução do passo é similar, sugerindo redundância neuromuscular para alcançar o mesmo objetivo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{"citationID":"X1Ewbspc","properties":{"formattedCitation":"[23]","plainCitation":"[23]","noteIndex":0},"citationItems":[{"id":344,"uris":["http://zotero.org/users/17274952/items/IA4SHZ82"],"itemData":{"id":344,"type":"article-journal","abstract":"Background: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[23]</w:t>
      </w:r>
      <w:r>
        <w:rPr>
          <w:rFonts w:ascii="Times New Roman" w:hAnsi="Times New Roman" w:eastAsia="Times New Roman" w:cs="Times New Roman"/>
        </w:rPr>
        <w:fldChar w:fldCharType="end"/>
      </w:r>
      <w:r>
        <w:rPr>
          <w:rFonts w:ascii="Times New Roman" w:hAnsi="Times New Roman" w:eastAsia="Times New Roman" w:cs="Times New Roman"/>
        </w:rPr>
        <w:t xml:space="preserve">. Além disso, verificou-se que a aplicação de uma carga externa nos tornozelos não alterou o padrão desses APAs, mas aumentou a magnitude das forças envolvidas, indicando que os ginastas ajustam a intensidade, e não a forma, da preparação motora para iniciar a locomoção invertida.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{"citationID":"y0h2puxq","properties":{"formattedCitation":"[24]","plainCitation":"[24]","noteIndex":0},"citationItems":[{"id":341,"uris":["http://zotero.org/users/17274952/items/3CGH6KGH"],"itemData":{"id":341,"type":"article-journal","abstract":"Anticipatory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[24]</w:t>
      </w:r>
      <w:r>
        <w:rPr>
          <w:rFonts w:ascii="Times New Roman" w:hAnsi="Times New Roman" w:eastAsia="Times New Roman" w:cs="Times New Roman"/>
        </w:rPr>
        <w:fldChar w:fldCharType="end"/>
      </w:r>
      <w:r>
        <w:rPr>
          <w:rFonts w:ascii="Times New Roman" w:hAnsi="Times New Roman" w:eastAsia="Times New Roman" w:cs="Times New Roman"/>
        </w:rPr>
        <w:t xml:space="preserve">. Embora a cadência do </w:t>
      </w:r>
      <w:r>
        <w:rPr>
          <w:rFonts w:ascii="Times New Roman" w:hAnsi="Times New Roman" w:eastAsia="Times New Roman" w:cs="Times New Roman"/>
          <w:i/>
          <w:iCs/>
        </w:rPr>
        <w:t>HSW</w:t>
      </w:r>
      <w:r>
        <w:rPr>
          <w:rFonts w:ascii="Times New Roman" w:hAnsi="Times New Roman" w:eastAsia="Times New Roman" w:cs="Times New Roman"/>
        </w:rPr>
        <w:t xml:space="preserve"> se assemelhe à da marcha bípede, o </w:t>
      </w:r>
      <w:r>
        <w:rPr>
          <w:rFonts w:ascii="Times New Roman" w:hAnsi="Times New Roman" w:eastAsia="Times New Roman" w:cs="Times New Roman"/>
          <w:i/>
          <w:iCs/>
        </w:rPr>
        <w:t>HSW</w:t>
      </w:r>
      <w:r>
        <w:rPr>
          <w:rFonts w:ascii="Times New Roman" w:hAnsi="Times New Roman" w:eastAsia="Times New Roman" w:cs="Times New Roman"/>
        </w:rPr>
        <w:t xml:space="preserve"> é caracterizado por</w:t>
      </w:r>
      <w:r>
        <w:rPr>
          <w:rFonts w:ascii="Times New Roman" w:hAnsi="Times New Roman" w:eastAsia="Times New Roman" w:cs="Times New Roman"/>
          <w:b/>
        </w:rPr>
        <w:t xml:space="preserve"> </w:t>
      </w:r>
      <w:r>
        <w:rPr>
          <w:rFonts w:ascii="Times New Roman" w:hAnsi="Times New Roman" w:eastAsia="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{"citationID":"tmVeMC2M","properties":{"formattedCitation":"[25]","plainCitation":"[25]","noteIndex":0},"citationItems":[{"id":342,"uris":["http://zotero.org/users/17274952/items/25HVULTT"],"itemData":{"id":342,"type":"article-journal","abstract":"Handwalking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[25]</w:t>
      </w:r>
      <w:r>
        <w:rPr>
          <w:rFonts w:ascii="Times New Roman" w:hAnsi="Times New Roman" w:eastAsia="Times New Roman" w:cs="Times New Roman"/>
        </w:rPr>
        <w:fldChar w:fldCharType="end"/>
      </w:r>
      <w:r>
        <w:rPr>
          <w:rFonts w:ascii="Times New Roman" w:hAnsi="Times New Roman" w:eastAsia="Times New Roman" w:cs="Times New Roman"/>
        </w:rPr>
        <w:t xml:space="preserve">. Em contraste ao </w:t>
      </w:r>
      <w:r>
        <w:rPr>
          <w:rFonts w:ascii="Times New Roman" w:hAnsi="Times New Roman" w:eastAsia="Times New Roman" w:cs="Times New Roman"/>
          <w:i/>
          <w:iCs/>
        </w:rPr>
        <w:t>HS</w:t>
      </w:r>
      <w:r>
        <w:rPr>
          <w:rFonts w:ascii="Times New Roman" w:hAnsi="Times New Roman" w:eastAsia="Times New Roman" w:cs="Times New Roman"/>
        </w:rPr>
        <w:t xml:space="preserve">, o </w:t>
      </w:r>
      <w:r>
        <w:rPr>
          <w:rFonts w:ascii="Times New Roman" w:hAnsi="Times New Roman" w:eastAsia="Times New Roman" w:cs="Times New Roman"/>
          <w:i/>
          <w:iCs/>
        </w:rPr>
        <w:t>HSW</w:t>
      </w:r>
      <w:r>
        <w:rPr>
          <w:rFonts w:ascii="Times New Roman" w:hAnsi="Times New Roman" w:eastAsia="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Pr>
          <w:rFonts w:ascii="Times New Roman" w:hAnsi="Times New Roman" w:cs="Times New Roman"/>
        </w:rPr>
        <w:t xml:space="preserve">. </w:t>
      </w:r>
    </w:p>
    <w:p w14:paraId="30AC9ABC">
      <w:pPr>
        <w:spacing w:line="360" w:lineRule="auto"/>
        <w:ind w:firstLine="426"/>
        <w:rPr>
          <w:rFonts w:ascii="Times New Roman" w:hAnsi="Times New Roman" w:eastAsia="Times New Roman" w:cs="Times New Roman"/>
        </w:rPr>
      </w:pPr>
      <w:r>
        <w:rPr>
          <w:rFonts w:ascii="Times New Roman" w:hAnsi="Times New Roman" w:eastAsia="Times New Roman" w:cs="Times New Roman"/>
        </w:rPr>
        <w:t xml:space="preserve">Sendo assim, torna-se relevante examinar de maneira integrada as variáveis que influenciam o desempenho tanto no </w:t>
      </w:r>
      <w:r>
        <w:rPr>
          <w:rFonts w:ascii="Times New Roman" w:hAnsi="Times New Roman" w:eastAsia="Times New Roman" w:cs="Times New Roman"/>
          <w:i/>
          <w:iCs/>
        </w:rPr>
        <w:t>HS</w:t>
      </w:r>
      <w:r>
        <w:rPr>
          <w:rFonts w:ascii="Times New Roman" w:hAnsi="Times New Roman" w:eastAsia="Times New Roman" w:cs="Times New Roman"/>
        </w:rPr>
        <w:t xml:space="preserve"> quanto no </w:t>
      </w:r>
      <w:r>
        <w:rPr>
          <w:rFonts w:ascii="Times New Roman" w:hAnsi="Times New Roman" w:eastAsia="Times New Roman" w:cs="Times New Roman"/>
          <w:i/>
          <w:iCs/>
        </w:rPr>
        <w:t>HSW</w:t>
      </w:r>
      <w:r>
        <w:rPr>
          <w:rFonts w:ascii="Times New Roman" w:hAnsi="Times New Roman" w:eastAsia="Times New Roman" w:cs="Times New Roman"/>
        </w:rPr>
        <w:t xml:space="preserve">,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{"citationID":"U3ZsZOYN","properties":{"formattedCitation":"[2], [3], [7], [10]","plainCitation":"[2], [3], [7], [10]","noteIndex":0},"citationItems":[{"id":327,"uris":["http://zotero.org/users/17274952/items/7HMEIQK4"],"itemData":{"id":327,"type":"article-journal","abstract":"Despite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 [3], [7], [10]</w:t>
      </w:r>
      <w:r>
        <w:rPr>
          <w:rFonts w:ascii="Times New Roman" w:hAnsi="Times New Roman" w:eastAsia="Times New Roman" w:cs="Times New Roman"/>
        </w:rPr>
        <w:fldChar w:fldCharType="end"/>
      </w:r>
      <w:r>
        <w:rPr>
          <w:rFonts w:ascii="Times New Roman" w:hAnsi="Times New Roman" w:eastAsia="Times New Roman" w:cs="Times New Roman"/>
        </w:rPr>
        <w:t xml:space="preserve">.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(CoM), tempo de sustentação, distância percorrida e força relativa em padrões específicos de empurrar têm sido frequentemente analisadas de forma isolada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{"citationID":"83pEsn7E","properties":{"formattedCitation":"[1], [3], [7], [13]","plainCitation":"[1], [3], [7], [13]","noteIndex":0},"citationItems":[{"id":333,"uris":["http://zotero.org/users/17274952/items/LV8KSPDR"],"itemData":{"id":333,"type":"article-journal","abstract":"Handstand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[1], [3], [7], [13]</w:t>
      </w:r>
      <w:r>
        <w:rPr>
          <w:rFonts w:ascii="Times New Roman" w:hAnsi="Times New Roman" w:eastAsia="Times New Roman" w:cs="Times New Roman"/>
        </w:rPr>
        <w:fldChar w:fldCharType="end"/>
      </w:r>
      <w:r>
        <w:rPr>
          <w:rFonts w:ascii="Times New Roman" w:hAnsi="Times New Roman" w:eastAsia="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Pr>
          <w:rFonts w:ascii="Times New Roman" w:hAnsi="Times New Roman" w:eastAsia="Times New Roman" w:cs="Times New Roman"/>
          <w:i/>
          <w:iCs/>
        </w:rPr>
        <w:t>HS</w:t>
      </w:r>
      <w:r>
        <w:rPr>
          <w:rFonts w:ascii="Times New Roman" w:hAnsi="Times New Roman" w:eastAsia="Times New Roman" w:cs="Times New Roman"/>
        </w:rPr>
        <w:t xml:space="preserve"> e </w:t>
      </w:r>
      <w:r>
        <w:rPr>
          <w:rFonts w:ascii="Times New Roman" w:hAnsi="Times New Roman" w:eastAsia="Times New Roman" w:cs="Times New Roman"/>
          <w:i/>
          <w:iCs/>
        </w:rPr>
        <w:t>HSW.</w:t>
      </w:r>
    </w:p>
    <w:p w14:paraId="03565C45">
      <w:pPr>
        <w:spacing w:line="360" w:lineRule="auto"/>
        <w:ind w:firstLine="426"/>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Dentre as variáveis de força, a literatura sugere que a estabilidade no </w:t>
      </w:r>
      <w:r>
        <w:rPr>
          <w:rFonts w:ascii="Times New Roman" w:hAnsi="Times New Roman" w:eastAsia="Times New Roman" w:cs="Times New Roman"/>
          <w:i/>
          <w:iCs/>
          <w:highlight w:val="none"/>
        </w:rPr>
        <w:t xml:space="preserve">HS </w:t>
      </w:r>
      <w:r>
        <w:rPr>
          <w:rFonts w:ascii="Times New Roman" w:hAnsi="Times New Roman" w:eastAsia="Times New Roman" w:cs="Times New Roman"/>
          <w:highlight w:val="none"/>
        </w:rPr>
        <w:t>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{"citationID":"YD3gAgGZ","properties":{"unsorted":false,"formattedCitation":"[6], [7]","plainCitation":"[6], [7]","noteIndex":0},"citationItems":[{"id":326,"uris":["http://zotero.org/users/17274952/items/A5MTUBXD"],"itemData":{"id":326,"type":"article-journal","abstract":"Kochanowicz,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[6], [7]</w:t>
      </w:r>
      <w:r>
        <w:rPr>
          <w:rFonts w:hint="default" w:ascii="Times New Roman" w:hAnsi="Times New Roman" w:eastAsia="Times New Roman" w:cs="Times New Roman"/>
          <w:highlight w:val="none"/>
          <w:lang w:val="pt-BR"/>
        </w:rPr>
        <w:fldChar w:fldCharType="end"/>
      </w:r>
      <w:r>
        <w:rPr>
          <w:rFonts w:ascii="Times New Roman" w:hAnsi="Times New Roman" w:eastAsia="Times New Roman" w:cs="Times New Roman"/>
          <w:highlight w:val="none"/>
        </w:rPr>
        <w:t xml:space="preserve">. Evidências indicam que a força relativa no </w:t>
      </w:r>
      <w:r>
        <w:rPr>
          <w:rFonts w:ascii="Times New Roman" w:hAnsi="Times New Roman" w:eastAsia="Times New Roman" w:cs="Times New Roman"/>
          <w:i/>
          <w:iCs/>
          <w:highlight w:val="none"/>
        </w:rPr>
        <w:t>SP</w:t>
      </w:r>
      <w:r>
        <w:rPr>
          <w:rFonts w:ascii="Times New Roman" w:hAnsi="Times New Roman" w:eastAsia="Times New Roman" w:cs="Times New Roman"/>
          <w:highlight w:val="none"/>
        </w:rPr>
        <w:t xml:space="preserve">, quando ajustada à massa corporal, apresenta forte correlação com o desempenho no </w:t>
      </w:r>
      <w:r>
        <w:rPr>
          <w:rFonts w:ascii="Times New Roman" w:hAnsi="Times New Roman" w:eastAsia="Times New Roman" w:cs="Times New Roman"/>
          <w:i/>
          <w:iCs/>
          <w:highlight w:val="none"/>
        </w:rPr>
        <w:t>strict handstand push up</w:t>
      </w:r>
      <w:r>
        <w:rPr>
          <w:rFonts w:ascii="Times New Roman" w:hAnsi="Times New Roman" w:eastAsia="Times New Roman" w:cs="Times New Roman"/>
          <w:highlight w:val="none"/>
        </w:rPr>
        <w:t xml:space="preserve"> [36], sugerindo que a força de empurrar acima da cabeça é um componente fundamental para executar movimentos dinâmicos</w:t>
      </w:r>
      <w:r>
        <w:rPr>
          <w:rFonts w:hint="default" w:ascii="Times New Roman" w:hAnsi="Times New Roman" w:eastAsia="Times New Roman" w:cs="Times New Roman"/>
          <w:highlight w:val="none"/>
          <w:lang w:val="pt-BR"/>
        </w:rPr>
        <w:t>. O que poderia tornar</w:t>
      </w:r>
      <w:r>
        <w:rPr>
          <w:rFonts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e</w:t>
      </w:r>
      <w:r>
        <w:rPr>
          <w:rFonts w:ascii="Times New Roman" w:hAnsi="Times New Roman" w:eastAsia="Times New Roman" w:cs="Times New Roman"/>
          <w:highlight w:val="none"/>
        </w:rPr>
        <w:t>ssa capacidade de produção de força máxima</w:t>
      </w:r>
      <w:r>
        <w:rPr>
          <w:rFonts w:hint="default" w:ascii="Times New Roman" w:hAnsi="Times New Roman" w:eastAsia="Times New Roman" w:cs="Times New Roman"/>
          <w:highlight w:val="none"/>
          <w:lang w:val="pt-BR"/>
        </w:rPr>
        <w:t xml:space="preserve"> acima da cabeça</w:t>
      </w:r>
      <w:r>
        <w:rPr>
          <w:rFonts w:ascii="Times New Roman" w:hAnsi="Times New Roman" w:eastAsia="Times New Roman" w:cs="Times New Roman"/>
          <w:highlight w:val="none"/>
        </w:rPr>
        <w:t xml:space="preserve"> também </w:t>
      </w:r>
      <w:r>
        <w:rPr>
          <w:rFonts w:hint="default" w:ascii="Times New Roman" w:hAnsi="Times New Roman" w:eastAsia="Times New Roman" w:cs="Times New Roman"/>
          <w:highlight w:val="none"/>
          <w:lang w:val="pt-BR"/>
        </w:rPr>
        <w:t>importante</w:t>
      </w:r>
      <w:r>
        <w:rPr>
          <w:rFonts w:ascii="Times New Roman" w:hAnsi="Times New Roman" w:eastAsia="Times New Roman" w:cs="Times New Roman"/>
          <w:highlight w:val="none"/>
        </w:rPr>
        <w:t xml:space="preserve"> para tarefas de locomoção como o </w:t>
      </w:r>
      <w:r>
        <w:rPr>
          <w:rFonts w:hint="default" w:ascii="Times New Roman" w:hAnsi="Times New Roman" w:eastAsia="Times New Roman" w:cs="Times New Roman"/>
          <w:i/>
          <w:iCs/>
          <w:highlight w:val="none"/>
          <w:lang w:val="pt-BR"/>
        </w:rPr>
        <w:t>HSW</w:t>
      </w:r>
      <w:r>
        <w:rPr>
          <w:rFonts w:ascii="Times New Roman" w:hAnsi="Times New Roman" w:eastAsia="Times New Roman" w:cs="Times New Roman"/>
          <w:highlight w:val="none"/>
        </w:rPr>
        <w:t>. Contudo, quando a demanda passa a ser a manutenção do equilíbrio na parada de mão estática (</w:t>
      </w:r>
      <w:r>
        <w:rPr>
          <w:rFonts w:ascii="Times New Roman" w:hAnsi="Times New Roman" w:eastAsia="Times New Roman" w:cs="Times New Roman"/>
          <w:i/>
          <w:iCs/>
          <w:highlight w:val="none"/>
        </w:rPr>
        <w:t>HS</w:t>
      </w:r>
      <w:r>
        <w:rPr>
          <w:rFonts w:ascii="Times New Roman" w:hAnsi="Times New Roman" w:eastAsia="Times New Roman" w:cs="Times New Roman"/>
          <w:highlight w:val="none"/>
        </w:rPr>
        <w:t xml:space="preserve">), investigações recentes utilizando modelos de </w:t>
      </w:r>
      <w:r>
        <w:rPr>
          <w:rFonts w:ascii="Times New Roman" w:hAnsi="Times New Roman" w:eastAsia="Times New Roman" w:cs="Times New Roman"/>
          <w:i/>
          <w:iCs/>
          <w:highlight w:val="none"/>
        </w:rPr>
        <w:t xml:space="preserve">machine learning </w:t>
      </w:r>
      <w:r>
        <w:rPr>
          <w:rFonts w:ascii="Times New Roman" w:hAnsi="Times New Roman" w:eastAsia="Times New Roman" w:cs="Times New Roman"/>
          <w:highlight w:val="none"/>
        </w:rPr>
        <w:t>demonstraram que testes de força geral apresentam acurácia preditiva reduzida (0,44) para determinar o desempenho técnico</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{"citationID":"HLB0MNuO","properties":{"unsorted":false,"formattedCitation":"[26]","plainCitation":"[26]","noteIndex":0},"citationItems":[{"id":300,"uris":["http://zotero.org/users/17274952/items/GA9H6F87"],"itemData":{"id":300,"type":"article-journal","abstract":"The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[26]</w:t>
      </w:r>
      <w:r>
        <w:rPr>
          <w:rFonts w:hint="default" w:ascii="Times New Roman" w:hAnsi="Times New Roman" w:eastAsia="Times New Roman" w:cs="Times New Roman"/>
          <w:highlight w:val="none"/>
          <w:lang w:val="pt-BR"/>
        </w:rPr>
        <w:fldChar w:fldCharType="end"/>
      </w:r>
      <w:r>
        <w:rPr>
          <w:rFonts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Fato este</w:t>
      </w:r>
      <w:r>
        <w:rPr>
          <w:rFonts w:ascii="Times New Roman" w:hAnsi="Times New Roman" w:eastAsia="Times New Roman" w:cs="Times New Roman"/>
          <w:highlight w:val="none"/>
        </w:rPr>
        <w:t xml:space="preserve"> evidencia que na postura isométrica a força</w:t>
      </w:r>
      <w:r>
        <w:rPr>
          <w:rFonts w:hint="default" w:ascii="Times New Roman" w:hAnsi="Times New Roman" w:eastAsia="Times New Roman" w:cs="Times New Roman"/>
          <w:highlight w:val="none"/>
          <w:lang w:val="pt-BR"/>
        </w:rPr>
        <w:t xml:space="preserve"> geral</w:t>
      </w:r>
      <w:r>
        <w:rPr>
          <w:rFonts w:ascii="Times New Roman" w:hAnsi="Times New Roman" w:eastAsia="Times New Roman" w:cs="Times New Roman"/>
          <w:highlight w:val="none"/>
        </w:rPr>
        <w:t xml:space="preserve"> atua primordialmente como um limiar de suporte estrutural</w:t>
      </w:r>
      <w:r>
        <w:rPr>
          <w:rFonts w:hint="default" w:ascii="Times New Roman" w:hAnsi="Times New Roman" w:eastAsia="Times New Roman" w:cs="Times New Roman"/>
          <w:highlight w:val="none"/>
          <w:lang w:val="pt-BR"/>
        </w:rPr>
        <w:t xml:space="preserve">, justificando  </w:t>
      </w:r>
      <w:r>
        <w:rPr>
          <w:rFonts w:ascii="Times New Roman" w:hAnsi="Times New Roman" w:eastAsia="Times New Roman" w:cs="Times New Roman"/>
          <w:highlight w:val="none"/>
        </w:rPr>
        <w:t>avaliar capacidades neuromusculares com</w:t>
      </w:r>
      <w:r>
        <w:rPr>
          <w:rFonts w:hint="default" w:ascii="Times New Roman" w:hAnsi="Times New Roman" w:eastAsia="Times New Roman" w:cs="Times New Roman"/>
          <w:highlight w:val="none"/>
          <w:lang w:val="pt-BR"/>
        </w:rPr>
        <w:t xml:space="preserve"> maior</w:t>
      </w:r>
      <w:r>
        <w:rPr>
          <w:rFonts w:ascii="Times New Roman" w:hAnsi="Times New Roman" w:eastAsia="Times New Roman" w:cs="Times New Roman"/>
          <w:highlight w:val="none"/>
        </w:rPr>
        <w:t xml:space="preserve"> especificidade biomecânica à tarefa, como o torque isolado de punho e a preensão manual.</w:t>
      </w:r>
      <w:r>
        <w:rPr>
          <w:rFonts w:hint="default" w:ascii="Times New Roman" w:hAnsi="Times New Roman" w:eastAsia="Times New Roman" w:cs="Times New Roman"/>
          <w:highlight w:val="none"/>
          <w:lang w:val="pt-BR"/>
        </w:rPr>
        <w:t xml:space="preserve"> </w:t>
      </w:r>
      <w:r>
        <w:rPr>
          <w:rFonts w:ascii="Times New Roman" w:hAnsi="Times New Roman" w:eastAsia="Times New Roman" w:cs="Times New Roman"/>
          <w:highlight w:val="none"/>
        </w:rPr>
        <w:t xml:space="preserve">Embora estudos prévios tenham reportado correlações entre testes genéricos, como o número de flexões de braço, e o tempo de sustentação no </w:t>
      </w:r>
      <w:r>
        <w:rPr>
          <w:rFonts w:ascii="Times New Roman" w:hAnsi="Times New Roman" w:eastAsia="Times New Roman" w:cs="Times New Roman"/>
          <w:i/>
          <w:iCs/>
          <w:highlight w:val="none"/>
        </w:rPr>
        <w:t>HS</w:t>
      </w:r>
      <w:r>
        <w:rPr>
          <w:rFonts w:hint="default" w:ascii="Times New Roman" w:hAnsi="Times New Roman" w:eastAsia="Times New Roman" w:cs="Times New Roman"/>
          <w:i/>
          <w:iCs/>
          <w:highlight w:val="none"/>
          <w:lang w:val="pt-BR"/>
        </w:rPr>
        <w:t xml:space="preserve"> </w:t>
      </w:r>
      <w:r>
        <w:rPr>
          <w:rFonts w:ascii="Times New Roman" w:hAnsi="Times New Roman" w:eastAsia="Times New Roman" w:cs="Times New Roman"/>
          <w:highlight w:val="none"/>
        </w:rPr>
        <w:fldChar w:fldCharType="begin"/>
      </w:r>
      <w:r>
        <w:rPr>
          <w:rFonts w:ascii="Times New Roman" w:hAnsi="Times New Roman" w:eastAsia="Times New Roman" w:cs="Times New Roman"/>
          <w:highlight w:val="none"/>
          <w:lang w:val="pt-BR"/>
        </w:rPr>
        <w:instrText xml:space="preserve"> ADDIN ZOTERO_ITEM CSL_CITATION {"citationID":"8GvipozL","properties":{"unsorted":false,"formattedCitation":"[27]","plainCitation":"[27]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ascii="Times New Roman" w:hAnsi="Times New Roman" w:eastAsia="Times New Roman" w:cs="Times New Roman"/>
          <w:highlight w:val="none"/>
        </w:rPr>
        <w:fldChar w:fldCharType="separate"/>
      </w:r>
      <w:r>
        <w:rPr>
          <w:rFonts w:ascii="Times New Roman" w:hAnsi="Times New Roman" w:eastAsia="Times New Roman" w:cs="Times New Roman"/>
          <w:highlight w:val="none"/>
          <w:lang w:val="pt-BR"/>
        </w:rPr>
        <w:t>[27]</w:t>
      </w:r>
      <w:r>
        <w:rPr>
          <w:rFonts w:ascii="Times New Roman" w:hAnsi="Times New Roman" w:eastAsia="Times New Roman" w:cs="Times New Roman"/>
          <w:highlight w:val="none"/>
        </w:rPr>
        <w:fldChar w:fldCharType="end"/>
      </w:r>
      <w:r>
        <w:rPr>
          <w:rFonts w:ascii="Times New Roman" w:hAnsi="Times New Roman" w:eastAsia="Times New Roman" w:cs="Times New Roman"/>
          <w:highlight w:val="none"/>
        </w:rPr>
        <w:t>, tais achados</w:t>
      </w:r>
      <w:r>
        <w:rPr>
          <w:rFonts w:hint="default" w:ascii="Times New Roman" w:hAnsi="Times New Roman" w:eastAsia="Times New Roman" w:cs="Times New Roman"/>
          <w:highlight w:val="none"/>
          <w:lang w:val="pt-BR"/>
        </w:rPr>
        <w:t xml:space="preserve"> estão concentrados</w:t>
      </w:r>
      <w:r>
        <w:rPr>
          <w:rFonts w:ascii="Times New Roman" w:hAnsi="Times New Roman" w:eastAsia="Times New Roman" w:cs="Times New Roman"/>
          <w:highlight w:val="none"/>
        </w:rPr>
        <w:t xml:space="preserve"> em ginastas jovens</w:t>
      </w:r>
      <w:r>
        <w:rPr>
          <w:rFonts w:hint="default" w:ascii="Times New Roman" w:hAnsi="Times New Roman" w:eastAsia="Times New Roman" w:cs="Times New Roman"/>
          <w:highlight w:val="none"/>
          <w:lang w:val="pt-BR"/>
        </w:rPr>
        <w:t xml:space="preserve">. </w:t>
      </w:r>
      <w:r>
        <w:rPr>
          <w:rFonts w:ascii="Times New Roman" w:hAnsi="Times New Roman" w:eastAsia="Times New Roman" w:cs="Times New Roman"/>
          <w:highlight w:val="none"/>
        </w:rPr>
        <w:t xml:space="preserve">Nesta fase do desenvolvimento esportivo, a força de base e a resistência geral ainda atuam como os principais fatores limitadores para a sustentação da massa corporal contra a gravidade </w:t>
      </w:r>
      <w:r>
        <w:rPr>
          <w:rFonts w:ascii="Times New Roman" w:hAnsi="Times New Roman" w:eastAsia="Times New Roman" w:cs="Times New Roman"/>
          <w:highlight w:val="none"/>
        </w:rPr>
        <w:fldChar w:fldCharType="begin"/>
      </w:r>
      <w:r>
        <w:rPr>
          <w:rFonts w:ascii="Times New Roman" w:hAnsi="Times New Roman" w:eastAsia="Times New Roman" w:cs="Times New Roman"/>
          <w:highlight w:val="none"/>
          <w:lang w:val="pt-BR"/>
        </w:rPr>
        <w:instrText xml:space="preserve"> ADDIN ZOTERO_ITEM CSL_CITATION {"citationID":"NAUZjkkb","properties":{"unsorted":false,"formattedCitation":"[28]","plainCitation":"[28]","noteIndex":0},"citationItems":[{"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ascii="Times New Roman" w:hAnsi="Times New Roman" w:eastAsia="Times New Roman" w:cs="Times New Roman"/>
          <w:highlight w:val="none"/>
        </w:rPr>
        <w:fldChar w:fldCharType="separate"/>
      </w:r>
      <w:r>
        <w:rPr>
          <w:rFonts w:ascii="Times New Roman" w:hAnsi="Times New Roman" w:eastAsia="Times New Roman" w:cs="Times New Roman"/>
          <w:highlight w:val="none"/>
          <w:lang w:val="pt-BR"/>
        </w:rPr>
        <w:t>[28]</w:t>
      </w:r>
      <w:r>
        <w:rPr>
          <w:rFonts w:ascii="Times New Roman" w:hAnsi="Times New Roman" w:eastAsia="Times New Roman" w:cs="Times New Roman"/>
          <w:highlight w:val="none"/>
        </w:rPr>
        <w:fldChar w:fldCharType="end"/>
      </w:r>
      <w:r>
        <w:rPr>
          <w:rFonts w:ascii="Times New Roman" w:hAnsi="Times New Roman" w:eastAsia="Times New Roman" w:cs="Times New Roman"/>
          <w:highlight w:val="none"/>
        </w:rPr>
        <w:t xml:space="preserve">. No entanto, </w:t>
      </w:r>
      <w:r>
        <w:rPr>
          <w:rFonts w:hint="default" w:ascii="Times New Roman" w:hAnsi="Times New Roman" w:eastAsia="Times New Roman" w:cs="Times New Roman"/>
          <w:highlight w:val="none"/>
          <w:lang w:val="pt-BR"/>
        </w:rPr>
        <w:t>p</w:t>
      </w:r>
      <w:r>
        <w:rPr>
          <w:rFonts w:ascii="Times New Roman" w:hAnsi="Times New Roman" w:eastAsia="Times New Roman" w:cs="Times New Roman"/>
          <w:highlight w:val="none"/>
        </w:rPr>
        <w:t>ara praticantes adultos e proficientes, extrapolar o desempenho de uma tarefa dinâmica no plano horizontal para justificar o controle estático vertical esbarra na mesma fragilidade preditiva apontada. Além da força máxima, a resistência muscular isométrica constitui um fator crítico, visto que a fadiga cumulativa dos membros superiores compromete a capacidade de realizar os ajustes posturais finos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{"citationID":"mBSVw794","properties":{"unsorted":false,"formattedCitation":"[14], [19]","plainCitation":"[14], [19]","noteIndex":0},"citationItems":[{"id":337,"uris":["http://zotero.org/users/17274952/items/89GK6CG5"],"itemData":{"id":337,"type":"article-journal","abstract":"Background/Objectives: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[14], [19]</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lang w:val="pt-BR"/>
        </w:rPr>
        <w:t>. Visto isso,</w:t>
      </w:r>
      <w:r>
        <w:rPr>
          <w:rFonts w:ascii="Times New Roman" w:hAnsi="Times New Roman" w:eastAsia="Times New Roman" w:cs="Times New Roman"/>
          <w:highlight w:val="none"/>
        </w:rPr>
        <w:t xml:space="preserve"> a interação combinada entre resistência muscular específica na inversão, capacidade máxima de força distal e alinhamento articular no desempenho dessas diferentes habilidades</w:t>
      </w:r>
      <w:r>
        <w:rPr>
          <w:rFonts w:hint="default" w:ascii="Times New Roman" w:hAnsi="Times New Roman" w:eastAsia="Times New Roman" w:cs="Times New Roman"/>
          <w:highlight w:val="none"/>
          <w:lang w:val="pt-BR"/>
        </w:rPr>
        <w:t xml:space="preserve"> permanece </w:t>
      </w:r>
      <w:r>
        <w:rPr>
          <w:rFonts w:ascii="Times New Roman" w:hAnsi="Times New Roman" w:eastAsia="Times New Roman" w:cs="Times New Roman"/>
          <w:highlight w:val="none"/>
        </w:rPr>
        <w:t>inexplorada .</w:t>
      </w:r>
    </w:p>
    <w:p w14:paraId="16D2B967">
      <w:pPr>
        <w:spacing w:line="360" w:lineRule="auto"/>
        <w:ind w:firstLine="426"/>
        <w:rPr>
          <w:rFonts w:ascii="Times New Roman" w:hAnsi="Times New Roman" w:eastAsia="Times New Roman" w:cs="Times New Roman"/>
        </w:rPr>
      </w:pPr>
      <w:r>
        <w:rPr>
          <w:rFonts w:ascii="Times New Roman" w:hAnsi="Times New Roman" w:eastAsia="Times New Roman" w:cs="Times New Roman"/>
        </w:rPr>
        <w:t xml:space="preserve">As variáveis antropométricas, como o comprimento dos membros, a altura do centro de massa (CoM) e a composição corporal, têm sido apontadas pela literatura como potenciais influenciadoras da estabilidade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{"citationID":"YPnn2fvP","properties":{"formattedCitation":"[29], [30]","plainCitation":"[29], [30]","noteIndex":0},"citationItems":[{"id":323,"uris":["http://zotero.org/users/17274952/items/JY2NY8BU"],"itemData":{"id":323,"type":"book","call-number":"612.76","edition":"4th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A."}],"issued":{"date-parts":[["2009"]]}}},{"id":322,"uris":["http://zotero.org/users/17274952/items/MRLWC2VI"],"itemData":{"id":322,"type":"article-journal","abstract":"This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lang w:val="pt-BR"/>
        </w:rPr>
        <w:t>[29], [30]</w:t>
      </w:r>
      <w:r>
        <w:rPr>
          <w:rFonts w:ascii="Times New Roman" w:hAnsi="Times New Roman" w:eastAsia="Times New Roman" w:cs="Times New Roman"/>
        </w:rPr>
        <w:fldChar w:fldCharType="end"/>
      </w:r>
      <w:r>
        <w:rPr>
          <w:rFonts w:ascii="Times New Roman" w:hAnsi="Times New Roman" w:eastAsia="Times New Roman" w:cs="Times New Roman"/>
        </w:rPr>
        <w:t xml:space="preserve">. Membros superiores mais longos podem atuar como alavancas mecânicas mais eficientes, pois pequenos movimentos articulares em punho ou ombro (pequenos ângulos) resultam em deslocamentos significativos do CoM, o que potencialmente favorece correções posturais mais precisas e econômicas. Além disso, a maior envergadura poderia ampliar a base de apoio, conferindo ganhos adicionais de estabilidade mediolateral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{"citationID":"D1SdbLKD","properties":{"formattedCitation":"[31], [32]","plainCitation":"[31], [32]","noteIndex":0},"citationItems":[{"id":46,"uris":["http://zotero.org/users/17274952/items/J9KKGBUR"],"itemData":{"id":46,"type":"article-journal","abstract":"The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321,"uris":["http://zotero.org/users/17274952/items/XYE5CT4P"],"itemData":{"id":321,"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lang w:val="pt-BR"/>
        </w:rPr>
        <w:t>[31], [32]</w:t>
      </w:r>
      <w:r>
        <w:rPr>
          <w:rFonts w:ascii="Times New Roman" w:hAnsi="Times New Roman" w:eastAsia="Times New Roman" w:cs="Times New Roman"/>
        </w:rPr>
        <w:fldChar w:fldCharType="end"/>
      </w:r>
      <w:r>
        <w:rPr>
          <w:rFonts w:ascii="Times New Roman" w:hAnsi="Times New Roman" w:eastAsia="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{"citationID":"zVC4VZGQ","properties":{"formattedCitation":"[33]","plainCitation":"[33]","noteIndex":0},"citationItems":[{"id":320,"uris":["http://zotero.org/users/17274952/items/KFMAKKGW"],"itemData":{"id":320,"type":"article-journal","container-title":"PLOS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lang w:val="pt-BR"/>
        </w:rPr>
        <w:t>[33]</w:t>
      </w:r>
      <w:r>
        <w:rPr>
          <w:rFonts w:ascii="Times New Roman" w:hAnsi="Times New Roman" w:eastAsia="Times New Roman" w:cs="Times New Roman"/>
        </w:rPr>
        <w:fldChar w:fldCharType="end"/>
      </w:r>
      <w:r>
        <w:rPr>
          <w:rFonts w:ascii="Times New Roman" w:hAnsi="Times New Roman" w:eastAsia="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{"citationID":"owvTh3Sb","properties":{"formattedCitation":"[7]","plainCitation":"[7]","noteIndex":0},"citationItems":[{"id":325,"uris":["http://zotero.org/users/17274952/items/V4I6DHIC"],"itemData":{"id":325,"type":"article-journal","abstract":"Insights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[7]</w:t>
      </w:r>
      <w:r>
        <w:rPr>
          <w:rFonts w:ascii="Times New Roman" w:hAnsi="Times New Roman" w:eastAsia="Times New Roman" w:cs="Times New Roman"/>
        </w:rPr>
        <w:fldChar w:fldCharType="end"/>
      </w:r>
      <w:r>
        <w:rPr>
          <w:rFonts w:ascii="Times New Roman" w:hAnsi="Times New Roman" w:eastAsia="Times New Roman" w:cs="Times New Roman"/>
        </w:rPr>
        <w:t xml:space="preserve">. </w:t>
      </w:r>
    </w:p>
    <w:p w14:paraId="2D1F72CB">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SimSun" w:cs="Times New Roman"/>
          <w:sz w:val="24"/>
          <w:szCs w:val="24"/>
          <w:highlight w:val="none"/>
        </w:rPr>
        <w:t xml:space="preserve">Adicionalmente, indicadores de controle postural têm sido amplamente empregados para caracterizar a estabilidade em posição invertida. No </w:t>
      </w:r>
      <w:r>
        <w:rPr>
          <w:rFonts w:hint="default" w:ascii="Times New Roman" w:hAnsi="Times New Roman" w:eastAsia="SimSun" w:cs="Times New Roman"/>
          <w:i/>
          <w:iCs/>
          <w:sz w:val="24"/>
          <w:szCs w:val="24"/>
          <w:highlight w:val="none"/>
        </w:rPr>
        <w:t>HS</w:t>
      </w:r>
      <w:r>
        <w:rPr>
          <w:rFonts w:hint="default" w:ascii="Times New Roman" w:hAnsi="Times New Roman" w:eastAsia="SimSun" w:cs="Times New Roman"/>
          <w:sz w:val="24"/>
          <w:szCs w:val="24"/>
          <w:highlight w:val="none"/>
        </w:rPr>
        <w:t>, espera-se que uma maior proficiência e tempo de sustentação estejam associados a menores oscilações do CoP e a uma menor entropia aproximada (ApEn), refletindo maior regularidade e automaticidade neuromotora</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{"citationID":"QAf5YWPP","properties":{"unsorted":false,"formattedCitation":"[4]","plainCitation":"[4]","noteIndex":0},"citationItems":[{"id":345,"uris":["http://zotero.org/users/17274952/items/RI8HJ578"],"itemData":{"id":345,"type":"article-journal","abstract":"Abstract\n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[4]</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 No entanto, diferentemente da análise isolada da variabilidade do CoP</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rPr>
        <w:t xml:space="preserve">que expressa primordialmente a magnitude e a frequência do esforço neuromuscular corretivo aplicado sobre a base de apoio, a distância instantânea entre o CoP e a projeção vertical </w:t>
      </w:r>
      <w:r>
        <w:rPr>
          <w:rFonts w:hint="default" w:ascii="Times New Roman" w:hAnsi="Times New Roman" w:eastAsia="SimSun" w:cs="Times New Roman"/>
          <w:sz w:val="24"/>
          <w:szCs w:val="24"/>
          <w:highlight w:val="none"/>
          <w:lang w:val="pt-BR"/>
        </w:rPr>
        <w:t>CoM</w:t>
      </w:r>
      <w:r>
        <w:rPr>
          <w:rFonts w:hint="default" w:ascii="Times New Roman" w:hAnsi="Times New Roman" w:eastAsia="SimSun" w:cs="Times New Roman"/>
          <w:sz w:val="24"/>
          <w:szCs w:val="24"/>
          <w:highlight w:val="none"/>
        </w:rPr>
        <w:t xml:space="preserve"> assume papel central como medida primária do erro real de equilíbrio</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{"citationID":"TlvMcXaL","properties":{"unsorted":false,"formattedCitation":"[34],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Sob a ótica do modelo biomecânico do pêndulo invertido, a aceleração horizontal do corpo é diretamente proporcional ao distanciamento espacial entre o CoP e o CoM. Enquanto uma alta oscilação do CoP pode indicar apenas uma atividade muscular intensa (que pode ou não ser eficiente na estabilização), a magnitude da distância CoP-CoM quantifica o braço de momento da força gravitacional: quanto maior esse distanciamento, maior o torque desestabilizador imposto ao sistema e menor a eficiência do controle postural </w:t>
      </w:r>
      <w:r>
        <w:rPr>
          <w:rFonts w:hint="default" w:ascii="Times New Roman" w:hAnsi="Times New Roman" w:eastAsia="SimSun" w:cs="Times New Roman"/>
          <w:sz w:val="24"/>
          <w:szCs w:val="24"/>
          <w:highlight w:val="none"/>
        </w:rPr>
        <w:fldChar w:fldCharType="begin"/>
      </w:r>
      <w:r>
        <w:rPr>
          <w:rFonts w:hint="default" w:ascii="Times New Roman" w:hAnsi="Times New Roman" w:eastAsia="SimSun" w:cs="Times New Roman"/>
          <w:sz w:val="24"/>
          <w:szCs w:val="24"/>
          <w:highlight w:val="none"/>
          <w:lang w:val="pt-BR"/>
        </w:rPr>
        <w:instrText xml:space="preserve"> ADDIN ZOTERO_ITEM CSL_CITATION {"citationID":"KV0wcDFY","properties":{"unsorted":false,"formattedCitation":"[34],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rPr>
        <w:fldChar w:fldCharType="end"/>
      </w:r>
      <w:r>
        <w:rPr>
          <w:rFonts w:hint="default" w:ascii="Times New Roman" w:hAnsi="Times New Roman" w:eastAsia="SimSun" w:cs="Times New Roman"/>
          <w:sz w:val="24"/>
          <w:szCs w:val="24"/>
          <w:highlight w:val="none"/>
        </w:rPr>
        <w:t>.</w:t>
      </w:r>
      <w:r>
        <w:rPr>
          <w:rFonts w:hint="default" w:ascii="Times New Roman" w:hAnsi="Times New Roman" w:eastAsia="Times New Roman" w:cs="Times New Roman"/>
          <w:highlight w:val="none"/>
        </w:rPr>
        <w:t xml:space="preserve"> </w:t>
      </w:r>
    </w:p>
    <w:p w14:paraId="2A83AF70">
      <w:pPr>
        <w:spacing w:line="360" w:lineRule="auto"/>
        <w:ind w:firstLine="426"/>
        <w:rPr>
          <w:rFonts w:hint="default" w:ascii="Times New Roman" w:hAnsi="Times New Roman" w:eastAsia="Times New Roman" w:cs="Times New Roman"/>
          <w:lang w:val="pt-BR"/>
        </w:rPr>
      </w:pPr>
      <w:r>
        <w:rPr>
          <w:rFonts w:ascii="Times New Roman" w:hAnsi="Times New Roman" w:eastAsia="Times New Roman" w:cs="Times New Roman"/>
        </w:rPr>
        <w:t>A análise cinemática dos ângulos articulares da punhos, ombros, quadril e cabeça, tem sido apontada como relevante, uma vez que o alinhamento segmentar influencia diretamente a distribuição do</w:t>
      </w:r>
      <w:r>
        <w:rPr>
          <w:rFonts w:hint="default" w:ascii="Times New Roman" w:hAnsi="Times New Roman" w:eastAsia="Times New Roman" w:cs="Times New Roman"/>
          <w:lang w:val="pt-BR"/>
        </w:rPr>
        <w:t xml:space="preserve"> </w:t>
      </w:r>
      <w:r>
        <w:rPr>
          <w:rFonts w:ascii="Times New Roman" w:hAnsi="Times New Roman" w:eastAsia="Times New Roman" w:cs="Times New Roman"/>
        </w:rPr>
        <w:t xml:space="preserve">CoM e as demandas de torque sobre os estabilizadores articulares, podendo determinar estratégias distintas de manutenção do equilíbrio no </w:t>
      </w:r>
      <w:r>
        <w:rPr>
          <w:rFonts w:ascii="Times New Roman" w:hAnsi="Times New Roman" w:eastAsia="Times New Roman" w:cs="Times New Roman"/>
          <w:i/>
          <w:iCs/>
        </w:rPr>
        <w:t>HS</w:t>
      </w:r>
      <w:r>
        <w:rPr>
          <w:rFonts w:ascii="Times New Roman" w:hAnsi="Times New Roman" w:eastAsia="Times New Roman" w:cs="Times New Roman"/>
          <w:i/>
          <w:iCs/>
        </w:rPr>
        <w:fldChar w:fldCharType="begin"/>
      </w:r>
      <w:r>
        <w:rPr>
          <w:rFonts w:ascii="Times New Roman" w:hAnsi="Times New Roman" w:eastAsia="Times New Roman" w:cs="Times New Roman"/>
          <w:i/>
          <w:iCs/>
          <w:lang w:val="pt-BR"/>
        </w:rPr>
        <w:instrText xml:space="preserve"> ADDIN ZOTERO_ITEM CSL_CITATION {"citationID":"VriBlMIh","properties":{"formattedCitation":"[1]","plainCitation":"[1]","noteIndex":0},"citationItems":[{"id":333,"uris":["http://zotero.org/users/17274952/items/LV8KSPDR"],"itemData":{"id":333,"type":"article-journal","abstract":"Handstand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ascii="Times New Roman" w:hAnsi="Times New Roman" w:eastAsia="Times New Roman" w:cs="Times New Roman"/>
          <w:i/>
          <w:iCs/>
        </w:rPr>
        <w:fldChar w:fldCharType="separate"/>
      </w:r>
      <w:r>
        <w:rPr>
          <w:rFonts w:ascii="Times New Roman" w:hAnsi="Times New Roman" w:cs="Times New Roman"/>
        </w:rPr>
        <w:t>[1]</w:t>
      </w:r>
      <w:r>
        <w:rPr>
          <w:rFonts w:ascii="Times New Roman" w:hAnsi="Times New Roman" w:eastAsia="Times New Roman" w:cs="Times New Roman"/>
          <w:i/>
          <w:iCs/>
        </w:rPr>
        <w:fldChar w:fldCharType="end"/>
      </w:r>
      <w:r>
        <w:rPr>
          <w:rFonts w:ascii="Times New Roman" w:hAnsi="Times New Roman" w:eastAsia="Times New Roman" w:cs="Times New Roman"/>
        </w:rPr>
        <w:t xml:space="preserve">. Apesar de amplamente abordado em trabalhos sobre o </w:t>
      </w:r>
      <w:r>
        <w:rPr>
          <w:rFonts w:ascii="Times New Roman" w:hAnsi="Times New Roman" w:eastAsia="Times New Roman" w:cs="Times New Roman"/>
          <w:i/>
          <w:iCs/>
        </w:rPr>
        <w:t>HS</w:t>
      </w:r>
      <w:r>
        <w:rPr>
          <w:rFonts w:ascii="Times New Roman" w:hAnsi="Times New Roman" w:eastAsia="Times New Roman" w:cs="Times New Roman"/>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ascii="Times New Roman" w:hAnsi="Times New Roman" w:eastAsia="Times New Roman" w:cs="Times New Roman"/>
          <w:i/>
          <w:iCs/>
        </w:rPr>
        <w:t>HS</w:t>
      </w:r>
      <w:r>
        <w:rPr>
          <w:rFonts w:ascii="Times New Roman" w:hAnsi="Times New Roman" w:eastAsia="Times New Roman" w:cs="Times New Roman"/>
          <w:i/>
        </w:rPr>
        <w:fldChar w:fldCharType="begin"/>
      </w:r>
      <w:r>
        <w:rPr>
          <w:rFonts w:ascii="Times New Roman" w:hAnsi="Times New Roman" w:eastAsia="Times New Roman" w:cs="Times New Roman"/>
          <w:i/>
          <w:lang w:val="pt-BR"/>
        </w:rPr>
        <w:instrText xml:space="preserve"> ADDIN ZOTERO_ITEM CSL_CITATION {"citationID":"wKey6hKL","properties":{"formattedCitation":"[2]","plainCitation":"[2]","noteIndex":0},"citationItems":[{"id":327,"uris":["http://zotero.org/users/17274952/items/7HMEIQK4"],"itemData":{"id":327,"type":"article-journal","abstract":"Despite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ascii="Times New Roman" w:hAnsi="Times New Roman" w:eastAsia="Times New Roman" w:cs="Times New Roman"/>
          <w:i/>
        </w:rPr>
        <w:fldChar w:fldCharType="separate"/>
      </w:r>
      <w:r>
        <w:rPr>
          <w:rFonts w:ascii="Times New Roman" w:hAnsi="Times New Roman" w:cs="Times New Roman"/>
        </w:rPr>
        <w:t>[2]</w:t>
      </w:r>
      <w:r>
        <w:rPr>
          <w:rFonts w:ascii="Times New Roman" w:hAnsi="Times New Roman" w:eastAsia="Times New Roman" w:cs="Times New Roman"/>
          <w:i/>
        </w:rPr>
        <w:fldChar w:fldCharType="end"/>
      </w:r>
      <w:r>
        <w:rPr>
          <w:rFonts w:ascii="Times New Roman" w:hAnsi="Times New Roman" w:eastAsia="Times New Roman" w:cs="Times New Roman"/>
          <w:i/>
        </w:rPr>
        <w:t>.</w:t>
      </w:r>
      <w:r>
        <w:rPr>
          <w:rFonts w:ascii="Times New Roman" w:hAnsi="Times New Roman" w:eastAsia="Times New Roman" w:cs="Times New Roman"/>
        </w:rPr>
        <w:t xml:space="preserve"> Essa incerteza é ampliada pela escassez de estudos que investiguem o </w:t>
      </w:r>
      <w:r>
        <w:rPr>
          <w:rFonts w:ascii="Times New Roman" w:hAnsi="Times New Roman" w:eastAsia="Times New Roman" w:cs="Times New Roman"/>
          <w:i/>
          <w:iCs/>
        </w:rPr>
        <w:t>HS</w:t>
      </w:r>
      <w:r>
        <w:rPr>
          <w:rFonts w:ascii="Times New Roman" w:hAnsi="Times New Roman" w:eastAsia="Times New Roman" w:cs="Times New Roman"/>
        </w:rPr>
        <w:t xml:space="preserve"> em modalidades além da ginástica artística, nas quais se observa estratégias de equilíbrio eficazes mesmo em alinhamentos distintos.</w:t>
      </w:r>
      <w:r>
        <w:rPr>
          <w:rFonts w:hint="default" w:ascii="Times New Roman" w:hAnsi="Times New Roman" w:eastAsia="Times New Roman" w:cs="Times New Roman"/>
          <w:lang w:val="pt-BR"/>
        </w:rPr>
        <w:t xml:space="preserve"> </w:t>
      </w:r>
      <w:r>
        <w:rPr>
          <w:rFonts w:ascii="Times New Roman" w:hAnsi="Times New Roman" w:eastAsia="Times New Roman" w:cs="Times New Roman"/>
        </w:rPr>
        <w:t>Nesse contexto, a cadeia cinética invertida opera sob papéis funcionais distintos: enquanto os punhos atuam no solo como efetores dinâmicos de alta frequência (</w:t>
      </w:r>
      <w:r>
        <w:rPr>
          <w:rFonts w:hint="default" w:ascii="Times New Roman" w:hAnsi="Times New Roman" w:eastAsia="Times New Roman" w:cs="Times New Roman"/>
          <w:i/>
          <w:iCs/>
        </w:rPr>
        <w:t>wrist strategy</w:t>
      </w:r>
      <w:r>
        <w:rPr>
          <w:rFonts w:hint="default" w:ascii="Times New Roman" w:hAnsi="Times New Roman" w:eastAsia="Times New Roman" w:cs="Times New Roman"/>
        </w:rPr>
        <w:t>, análoga ao tornozelo na postura ereta)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{"citationID":"MANojoAF","properties":{"unsorted":false,"formattedCitation":"[2],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[2], [3], [7]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ombros e quadril definem o empilhamento articular do tronco (</w:t>
      </w:r>
      <w:r>
        <w:rPr>
          <w:rFonts w:hint="default" w:ascii="Times New Roman" w:hAnsi="Times New Roman" w:eastAsia="Times New Roman" w:cs="Times New Roman"/>
          <w:i/>
          <w:iCs/>
        </w:rPr>
        <w:t>joint stacking</w:t>
      </w:r>
      <w:r>
        <w:rPr>
          <w:rFonts w:hint="default" w:ascii="Times New Roman" w:hAnsi="Times New Roman" w:eastAsia="Times New Roman" w:cs="Times New Roman"/>
        </w:rPr>
        <w:t>), onde restrições de mobilidade exigem compensações na curvatura lombar</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{"citationID":"T3WYhzbW","properties":{"unsorted":false,"formattedCitation":"[1], [14]","plainCitation":"[1], [14]","noteIndex":0},"citationItems":[{"id":337,"uris":["http://zotero.org/users/17274952/items/89GK6CG5"],"itemData":{"id":337,"type":"article-journal","abstract":"Background/Objectives: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 [14]</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Paralelamente, na extremidade oposta, a flexão plantar ativa (</w:t>
      </w:r>
      <w:r>
        <w:rPr>
          <w:rFonts w:hint="default" w:ascii="Times New Roman" w:hAnsi="Times New Roman" w:eastAsia="Times New Roman" w:cs="Times New Roman"/>
          <w:lang w:val="pt-BR"/>
        </w:rPr>
        <w:t>“</w:t>
      </w:r>
      <w:r>
        <w:rPr>
          <w:rFonts w:hint="default" w:ascii="Times New Roman" w:hAnsi="Times New Roman" w:eastAsia="Times New Roman" w:cs="Times New Roman"/>
        </w:rPr>
        <w:t>ponta de pé</w:t>
      </w:r>
      <w:r>
        <w:rPr>
          <w:rFonts w:hint="default" w:ascii="Times New Roman" w:hAnsi="Times New Roman" w:eastAsia="Times New Roman" w:cs="Times New Roman"/>
          <w:lang w:val="pt-BR"/>
        </w:rPr>
        <w:t>”</w:t>
      </w:r>
      <w:r>
        <w:rPr>
          <w:rFonts w:hint="default" w:ascii="Times New Roman" w:hAnsi="Times New Roman" w:eastAsia="Times New Roman" w:cs="Times New Roman"/>
        </w:rPr>
        <w:t>) promove irradiação motora e coativação nos membros inferiores, convertendo o corpo em um pêndulo rígido de haste única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single-link</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{"citationID":"hGLfcr0G","properties":{"unsorted":false,"formattedCitation":"[28],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[28], [31]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tornozelos neutros ou relaxados (comuns no </w:t>
      </w:r>
      <w:r>
        <w:rPr>
          <w:rFonts w:hint="default" w:ascii="Times New Roman" w:hAnsi="Times New Roman" w:eastAsia="Times New Roman" w:cs="Times New Roman"/>
          <w:i/>
          <w:iCs/>
        </w:rPr>
        <w:t>CrossFit</w:t>
      </w:r>
      <w:r>
        <w:rPr>
          <w:rFonts w:hint="default" w:ascii="Times New Roman" w:hAnsi="Times New Roman" w:eastAsia="Times New Roman" w:cs="Times New Roman"/>
          <w:i/>
          <w:iCs/>
          <w:lang w:val="pt-BR"/>
        </w:rPr>
        <w:t xml:space="preserve"> </w:t>
      </w:r>
      <w:r>
        <w:rPr>
          <w:rFonts w:hint="default" w:ascii="Times New Roman" w:hAnsi="Times New Roman" w:eastAsia="Times New Roman" w:cs="Times New Roman"/>
          <w:i w:val="0"/>
          <w:iCs w:val="0"/>
          <w:lang w:val="pt-BR"/>
        </w:rPr>
        <w:t>e Calistenia</w:t>
      </w:r>
      <w:r>
        <w:rPr>
          <w:rFonts w:hint="default" w:ascii="Times New Roman" w:hAnsi="Times New Roman" w:eastAsia="Times New Roman" w:cs="Times New Roman"/>
        </w:rPr>
        <w:t>) induzem um comportamento multiarticulad</w:t>
      </w:r>
      <w:r>
        <w:rPr>
          <w:rFonts w:hint="default" w:ascii="Times New Roman" w:hAnsi="Times New Roman" w:eastAsia="Times New Roman" w:cs="Times New Roman"/>
          <w:lang w:val="pt-BR"/>
        </w:rPr>
        <w:t>o (</w:t>
      </w:r>
      <w:r>
        <w:rPr>
          <w:rFonts w:hint="default" w:ascii="Times New Roman" w:hAnsi="Times New Roman" w:eastAsia="Times New Roman" w:cs="Times New Roman"/>
          <w:i/>
          <w:iCs/>
          <w:lang w:val="pt-BR"/>
        </w:rPr>
        <w:t>multi-link)</w:t>
      </w:r>
      <w:r>
        <w:rPr>
          <w:rFonts w:hint="default" w:ascii="Times New Roman" w:hAnsi="Times New Roman" w:eastAsia="Times New Roman" w:cs="Times New Roman"/>
        </w:rPr>
        <w:t xml:space="preserve">, </w:t>
      </w:r>
      <w:r>
        <w:rPr>
          <w:rFonts w:hint="default" w:ascii="Times New Roman" w:hAnsi="Times New Roman" w:eastAsia="Times New Roman" w:cs="Times New Roman"/>
          <w:lang w:val="pt-BR"/>
        </w:rPr>
        <w:t>g</w:t>
      </w:r>
      <w:r>
        <w:rPr>
          <w:rFonts w:hint="default" w:ascii="Times New Roman" w:hAnsi="Times New Roman" w:eastAsia="Times New Roman" w:cs="Times New Roman"/>
        </w:rPr>
        <w:t>erando oscilações inerciais distais que podem sobrecarregar os mecanismos de controle postural na base. Avaliar essas configurações segmentares esclarecerá se a verticalidade estrita e a rigidez distal são imperativas ou se estratégias adaptativas sustentam estabilidade equivalente entre modalidades.</w:t>
      </w:r>
    </w:p>
    <w:p w14:paraId="18EE1F6D">
      <w:pPr>
        <w:spacing w:line="360" w:lineRule="auto"/>
        <w:ind w:firstLine="426"/>
        <w:rPr>
          <w:rFonts w:ascii="Times New Roman" w:hAnsi="Times New Roman" w:eastAsia="Times New Roman" w:cs="Times New Roman"/>
        </w:rPr>
      </w:pPr>
      <w:r>
        <w:rPr>
          <w:rFonts w:ascii="Times New Roman" w:hAnsi="Times New Roman" w:cs="Times New Roman"/>
        </w:rPr>
        <w:t xml:space="preserve">No </w:t>
      </w:r>
      <w:r>
        <w:rPr>
          <w:rFonts w:ascii="Times New Roman" w:hAnsi="Times New Roman" w:cs="Times New Roman"/>
          <w:i/>
          <w:iCs/>
        </w:rPr>
        <w:t>HS</w:t>
      </w:r>
      <w:r>
        <w:rPr>
          <w:rFonts w:ascii="Times New Roman" w:hAnsi="Times New Roman" w:cs="Times New Roman"/>
        </w:rPr>
        <w:t xml:space="preserve">, o tempo máximo de sustentação tem sido utilizado como parâmetro de desempenho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{"citationID":"DjmdKVKH","properties":{"formattedCitation":"[2], [20], [22], [27]","plainCitation":"[2], [20], [22], [27]","noteIndex":0},"citationItems":[{"id":327,"uris":["http://zotero.org/users/17274952/items/7HMEIQK4"],"itemData":{"id":327,"type":"article-journal","abstract":"Despite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lang w:val="pt-BR"/>
        </w:rPr>
        <w:t>[2], [20], [22], [27]</w:t>
      </w:r>
      <w:r>
        <w:rPr>
          <w:rFonts w:ascii="Times New Roman" w:hAnsi="Times New Roman" w:cs="Times New Roman"/>
        </w:rPr>
        <w:fldChar w:fldCharType="end"/>
      </w:r>
      <w:r>
        <w:rPr>
          <w:rFonts w:ascii="Times New Roman" w:hAnsi="Times New Roman" w:cs="Times New Roman"/>
        </w:rPr>
        <w:t xml:space="preserve">. Enquanto que no </w:t>
      </w:r>
      <w:r>
        <w:rPr>
          <w:rFonts w:ascii="Times New Roman" w:hAnsi="Times New Roman" w:cs="Times New Roman"/>
          <w:i/>
          <w:iCs/>
        </w:rPr>
        <w:t>HSW</w:t>
      </w:r>
      <w:r>
        <w:rPr>
          <w:rFonts w:ascii="Times New Roman" w:hAnsi="Times New Roman" w:cs="Times New Roman"/>
        </w:rPr>
        <w:t>, os poucos estudos publicados até o momento concentraram-se em aspectos de desempenho a partir de parâmetros iniciais do deslocamento e de controle motor, como as</w:t>
      </w:r>
      <w:r>
        <w:rPr>
          <w:rFonts w:ascii="Times New Roman" w:hAnsi="Times New Roman" w:cs="Times New Roman"/>
          <w:b/>
          <w:bCs/>
        </w:rPr>
        <w:t xml:space="preserve"> </w:t>
      </w:r>
      <w:r>
        <w:rPr>
          <w:rStyle w:val="8"/>
          <w:rFonts w:ascii="Times New Roman" w:hAnsi="Times New Roman" w:cs="Times New Roman"/>
          <w:b w:val="0"/>
          <w:bCs w:val="0"/>
        </w:rPr>
        <w:t>forças de reação ao solo, coordenação intersegmentar e APAs no momento da saída</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{"citationID":"a4K8YdQy","properties":{"formattedCitation":"[23]","plainCitation":"[23]","noteIndex":0},"citationItems":[{"id":344,"uris":["http://zotero.org/users/17274952/items/IA4SHZ82"],"itemData":{"id":344,"type":"article-journal","abstract":"Background: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t xml:space="preserve">, os efeitos de cargas adicionais sobre APAs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{"citationID":"hx7Pj605","properties":{"formattedCitation":"[24]","plainCitation":"[24]","noteIndex":0},"citationItems":[{"id":341,"uris":["http://zotero.org/users/17274952/items/3CGH6KGH"],"itemData":{"id":341,"type":"article-journal","abstract":"Anticipatory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t xml:space="preserve"> e comparações de coordenação com a marcha bípede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{"citationID":"xceGd1LY","properties":{"formattedCitation":"[25]","plainCitation":"[25]","noteIndex":0},"citationItems":[{"id":342,"uris":["http://zotero.org/users/17274952/items/25HVULTT"],"itemData":{"id":342,"type":"article-journal","abstract":"Handwalking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t>. Sendo assim, avaliar também variáveis espaço-temporais, como distância percorrida, tempo de execução e velocidade média, poderiam oferecer uma uma visão mais integrada e completa dos padrões de deslocamento</w:t>
      </w:r>
      <w:r>
        <w:rPr>
          <w:rFonts w:ascii="Times New Roman" w:hAnsi="Times New Roman" w:eastAsia="Times New Roman" w:cs="Times New Roman"/>
        </w:rPr>
        <w:t xml:space="preserve">. </w:t>
      </w:r>
      <w:r>
        <w:rPr>
          <w:rFonts w:ascii="Times New Roman" w:hAnsi="Times New Roman" w:cs="Times New Roman"/>
        </w:rPr>
        <w:t xml:space="preserve"> </w:t>
      </w:r>
      <w:r>
        <w:rPr>
          <w:rFonts w:ascii="Times New Roman" w:hAnsi="Times New Roman" w:eastAsia="Times New Roman" w:cs="Times New Roman"/>
        </w:rPr>
        <w:t xml:space="preserve">Verificou-se que </w:t>
      </w:r>
      <w:r>
        <w:rPr>
          <w:rFonts w:ascii="Times New Roman" w:hAnsi="Times New Roman" w:eastAsia="Times New Roman" w:cs="Times New Roman"/>
          <w:i/>
          <w:iCs/>
        </w:rPr>
        <w:t>HSW</w:t>
      </w:r>
      <w:r>
        <w:rPr>
          <w:rFonts w:ascii="Times New Roman" w:hAnsi="Times New Roman" w:eastAsia="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{"citationID":"H3D9CMAC","properties":{"formattedCitation":"[25]","plainCitation":"[25]","noteIndex":0},"citationItems":[{"id":342,"uris":["http://zotero.org/users/17274952/items/25HVULTT"],"itemData":{"id":342,"type":"article-journal","abstract":"Handwalking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[25]</w:t>
      </w:r>
      <w:r>
        <w:rPr>
          <w:rFonts w:ascii="Times New Roman" w:hAnsi="Times New Roman" w:eastAsia="Times New Roman" w:cs="Times New Roman"/>
        </w:rPr>
        <w:fldChar w:fldCharType="end"/>
      </w:r>
      <w:r>
        <w:rPr>
          <w:rFonts w:ascii="Times New Roman" w:hAnsi="Times New Roman" w:eastAsia="Times New Roman" w:cs="Times New Roman"/>
        </w:rPr>
        <w:t xml:space="preserve">. Além disso, a cadência, comprimento médio das passadas, tempo de contato das mãos com o solo, tempo em duplo suporte 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ascii="Times New Roman" w:hAnsi="Times New Roman" w:eastAsia="Times New Roman" w:cs="Times New Roman"/>
          <w:i/>
          <w:iCs/>
        </w:rPr>
        <w:t>HSW</w:t>
      </w:r>
      <w:r>
        <w:rPr>
          <w:rFonts w:ascii="Times New Roman" w:hAnsi="Times New Roman" w:eastAsia="Times New Roman" w:cs="Times New Roman"/>
        </w:rPr>
        <w:t xml:space="preserve"> ao passo que passadas mais curtas e rápidas podem indicar estratégias voltadas à propulsão e velocidade. Nesse contexto, o tempo máximo de sustentação no </w:t>
      </w:r>
      <w:r>
        <w:rPr>
          <w:rFonts w:ascii="Times New Roman" w:hAnsi="Times New Roman" w:eastAsia="Times New Roman" w:cs="Times New Roman"/>
          <w:i/>
          <w:iCs/>
        </w:rPr>
        <w:t>HS</w:t>
      </w:r>
      <w:r>
        <w:rPr>
          <w:rFonts w:ascii="Times New Roman" w:hAnsi="Times New Roman" w:eastAsia="Times New Roman" w:cs="Times New Roman"/>
        </w:rPr>
        <w:t xml:space="preserve"> poderia influenciar também nos parâmetros espaço-temporais do </w:t>
      </w:r>
      <w:r>
        <w:rPr>
          <w:rFonts w:ascii="Times New Roman" w:hAnsi="Times New Roman" w:eastAsia="Times New Roman" w:cs="Times New Roman"/>
          <w:i/>
          <w:iCs/>
        </w:rPr>
        <w:t>HSW</w:t>
      </w:r>
      <w:r>
        <w:rPr>
          <w:rFonts w:ascii="Times New Roman" w:hAnsi="Times New Roman" w:eastAsia="Times New Roman" w:cs="Times New Roman"/>
        </w:rPr>
        <w:t>, sugerindo uma possível transferência de habilidades entre as condições estática e dinâmica.</w:t>
      </w:r>
    </w:p>
    <w:p w14:paraId="023853DF">
      <w:pPr>
        <w:spacing w:line="360" w:lineRule="auto"/>
        <w:ind w:firstLine="426"/>
        <w:rPr>
          <w:rFonts w:ascii="Times New Roman" w:hAnsi="Times New Roman" w:cs="Times New Roman"/>
        </w:rPr>
      </w:pPr>
      <w:r>
        <w:rPr>
          <w:rFonts w:ascii="Times New Roman" w:hAnsi="Times New Roman" w:cs="Times New Roman"/>
        </w:rPr>
        <w:t xml:space="preserve">O tempo de prática na modalidade em que o </w:t>
      </w:r>
      <w:r>
        <w:rPr>
          <w:rFonts w:ascii="Times New Roman" w:hAnsi="Times New Roman" w:cs="Times New Roman"/>
          <w:i/>
          <w:iCs/>
        </w:rPr>
        <w:t>HS</w:t>
      </w:r>
      <w:r>
        <w:rPr>
          <w:rFonts w:ascii="Times New Roman" w:hAnsi="Times New Roman" w:cs="Times New Roman"/>
        </w:rPr>
        <w:t xml:space="preserve"> é treinado parece exercer papel importante na estabilidade e no controle postural. </w:t>
      </w:r>
      <w:r>
        <w:rPr>
          <w:rFonts w:ascii="Times New Roman" w:hAnsi="Times New Roman" w:eastAsia="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{"citationID":"aD1c6zGB","properties":{"formattedCitation":"[22]","plainCitation":"[22]","noteIndex":0},"citationItems":[{"id":335,"uris":["http://zotero.org/users/17274952/items/3VJT24K4"],"itemData":{"id":335,"type":"article-journal","abstract":"Background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[22]</w:t>
      </w:r>
      <w:r>
        <w:rPr>
          <w:rFonts w:ascii="Times New Roman" w:hAnsi="Times New Roman" w:eastAsia="Times New Roman" w:cs="Times New Roman"/>
        </w:rPr>
        <w:fldChar w:fldCharType="end"/>
      </w:r>
      <w:r>
        <w:rPr>
          <w:rFonts w:ascii="Times New Roman" w:hAnsi="Times New Roman" w:eastAsia="Times New Roman" w:cs="Times New Roman"/>
        </w:rPr>
        <w:t xml:space="preserve">. No contexto do </w:t>
      </w:r>
      <w:r>
        <w:rPr>
          <w:rFonts w:ascii="Times New Roman" w:hAnsi="Times New Roman" w:eastAsia="Times New Roman" w:cs="Times New Roman"/>
          <w:i/>
          <w:iCs/>
        </w:rPr>
        <w:t>HS</w:t>
      </w:r>
      <w:r>
        <w:rPr>
          <w:rFonts w:ascii="Times New Roman" w:hAnsi="Times New Roman" w:eastAsia="Times New Roman" w:cs="Times New Roman"/>
        </w:rPr>
        <w:t xml:space="preserve"> e do </w:t>
      </w:r>
      <w:r>
        <w:rPr>
          <w:rFonts w:ascii="Times New Roman" w:hAnsi="Times New Roman" w:eastAsia="Times New Roman" w:cs="Times New Roman"/>
          <w:i/>
          <w:iCs/>
        </w:rPr>
        <w:t>HSW</w:t>
      </w:r>
      <w:r>
        <w:rPr>
          <w:rFonts w:ascii="Times New Roman" w:hAnsi="Times New Roman" w:eastAsia="Times New Roman" w:cs="Times New Roman"/>
        </w:rPr>
        <w:t xml:space="preserve">, maior tempo de prática tende a refletir não apenas em maior resistência de sustentação e controle postural estático, mas também em proficiência no deslocamento em inversão. </w:t>
      </w:r>
      <w:r>
        <w:rPr>
          <w:rFonts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{"citationID":"q8q8Ieeo","properties":{"formattedCitation":"[36], [37]","plainCitation":"[36], [37]","noteIndex":0},"citationItems":[{"id":318,"uris":["http://zotero.org/users/17274952/items/VBUIJ4XH"],"itemData":{"id":318,"type":"article-journal","abstract":"Certain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stance","author":[{"family":"Abrahamová","given":"D"},{"family":"Hlavačka","given":"F"}],"issued":{"date-parts":[["2008"]]}}},{"id":317,"uris":["http://zotero.org/users/17274952/items/PNSQRZAW"],"itemData":{"id":317,"type":"article-journal","container-title":"The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lang w:val="pt-BR"/>
        </w:rPr>
        <w:t>[36], [37]</w:t>
      </w:r>
      <w:r>
        <w:rPr>
          <w:rFonts w:ascii="Times New Roman" w:hAnsi="Times New Roman" w:cs="Times New Roman"/>
        </w:rPr>
        <w:fldChar w:fldCharType="end"/>
      </w:r>
      <w:r>
        <w:rPr>
          <w:rFonts w:ascii="Times New Roman" w:hAnsi="Times New Roman" w:eastAsia="Times New Roman" w:cs="Times New Roman"/>
        </w:rPr>
        <w:t xml:space="preserve">. </w:t>
      </w:r>
      <w:r>
        <w:rPr>
          <w:rFonts w:ascii="Times New Roman" w:hAnsi="Times New Roman" w:cs="Times New Roman"/>
        </w:rPr>
        <w:t xml:space="preserve">Embora a idade cronológica naturalmente poderia influenciar a capacidade de equilíbrio invertido, a proficiência no </w:t>
      </w:r>
      <w:r>
        <w:rPr>
          <w:rFonts w:ascii="Times New Roman" w:hAnsi="Times New Roman" w:cs="Times New Roman"/>
          <w:i/>
          <w:iCs/>
        </w:rPr>
        <w:t>HS</w:t>
      </w:r>
      <w:r>
        <w:rPr>
          <w:rFonts w:ascii="Times New Roman" w:hAnsi="Times New Roman" w:cs="Times New Roman"/>
        </w:rPr>
        <w:t xml:space="preserve"> pode ser menos limitada por esses fatores biológicos.  Isso porque o </w:t>
      </w:r>
      <w:r>
        <w:rPr>
          <w:rFonts w:ascii="Times New Roman" w:hAnsi="Times New Roman" w:cs="Times New Roman"/>
          <w:i/>
          <w:iCs/>
        </w:rPr>
        <w:t>HS</w:t>
      </w:r>
      <w:r>
        <w:rPr>
          <w:rFonts w:ascii="Times New Roman" w:hAnsi="Times New Roman" w:cs="Times New Roman"/>
        </w:rPr>
        <w:t xml:space="preserve"> é uma habilidade motora complexa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{"citationID":"kKMlxHTD","properties":{"formattedCitation":"[5], [13]","plainCitation":"[5], [13]","noteIndex":0},"citationItems":[{"id":51,"uris":["http://zotero.org/users/17274952/items/6I25TH2Q"],"itemData":{"id":51,"type":"article-journal","abstract":"The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[5], [13]</w:t>
      </w:r>
      <w:r>
        <w:rPr>
          <w:rFonts w:ascii="Times New Roman" w:hAnsi="Times New Roman" w:cs="Times New Roman"/>
        </w:rPr>
        <w:fldChar w:fldCharType="end"/>
      </w:r>
      <w:r>
        <w:rPr>
          <w:rFonts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{"citationID":"XZ3F2iYt","properties":{"formattedCitation":"[3], [6], [7], [10]","plainCitation":"[3], [6], [7], [10]","noteIndex":0},"citationItems":[{"id":336,"uris":["http://zotero.org/users/17274952/items/P82NI7IB"],"itemData":{"id":336,"type":"article-journal","abstract":"KERWIN,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[3], [6], [7], [10]</w:t>
      </w:r>
      <w:r>
        <w:rPr>
          <w:rFonts w:ascii="Times New Roman" w:hAnsi="Times New Roman" w:cs="Times New Roman"/>
        </w:rPr>
        <w:fldChar w:fldCharType="end"/>
      </w:r>
      <w:r>
        <w:rPr>
          <w:rFonts w:ascii="Times New Roman" w:hAnsi="Times New Roman" w:cs="Times New Roman"/>
        </w:rPr>
        <w:t xml:space="preserve">, que podem compensar os declínios fisiológicos associados à idade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{"citationID":"9STHEf6U","properties":{"formattedCitation":"[38], [39]","plainCitation":"[38], [39]","noteIndex":0},"citationItems":[{"id":306,"uris":["http://zotero.org/users/17274952/items/7J2ECZB3"],"itemData":{"id":306,"type":"article-journal","container-title":"Psychological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T."},{"family":"Tesch-Römer","given":"Clemens"}],"issued":{"date-parts":[["1993",7]]}}},{"id":305,"uris":["http://zotero.org/users/17274952/items/BEZRHGAH"],"itemData":{"id":305,"type":"article-journal","container-title":"Neuroscience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lang w:val="pt-BR"/>
        </w:rPr>
        <w:t>[38], [39]</w:t>
      </w:r>
      <w:r>
        <w:rPr>
          <w:rFonts w:ascii="Times New Roman" w:hAnsi="Times New Roman" w:cs="Times New Roman"/>
        </w:rPr>
        <w:fldChar w:fldCharType="end"/>
      </w:r>
      <w:r>
        <w:rPr>
          <w:rFonts w:ascii="Times New Roman" w:hAnsi="Times New Roman" w:cs="Times New Roman"/>
        </w:rPr>
        <w:t>. Dessa forma, a experiência específica poderia se sobrepor à idade cronológica para a definição do nível de maestria nessa tarefa.</w:t>
      </w:r>
    </w:p>
    <w:p w14:paraId="45F63920">
      <w:pPr>
        <w:spacing w:line="360" w:lineRule="auto"/>
        <w:ind w:firstLine="426"/>
        <w:rPr>
          <w:rFonts w:ascii="Times New Roman" w:hAnsi="Times New Roman" w:eastAsia="Times New Roman" w:cs="Times New Roman"/>
        </w:rPr>
      </w:pPr>
      <w:bookmarkStart w:id="2" w:name="_heading=h.3d7ijnhyh4lu"/>
      <w:bookmarkEnd w:id="2"/>
      <w:r>
        <w:rPr>
          <w:rFonts w:ascii="Times New Roman" w:hAnsi="Times New Roman" w:cs="Times New Roman"/>
          <w:color w:val="0F1115"/>
        </w:rPr>
        <w:t xml:space="preserve">O estudo proposto pretende integrar diferentes variáveis do desempenho no </w:t>
      </w:r>
      <w:r>
        <w:rPr>
          <w:rFonts w:ascii="Times New Roman" w:hAnsi="Times New Roman" w:cs="Times New Roman"/>
          <w:i/>
          <w:iCs/>
          <w:color w:val="0F1115"/>
        </w:rPr>
        <w:t>HS</w:t>
      </w:r>
      <w:r>
        <w:rPr>
          <w:rFonts w:ascii="Times New Roman" w:hAnsi="Times New Roman" w:cs="Times New Roman"/>
          <w:color w:val="0F1115"/>
        </w:rPr>
        <w:t xml:space="preserve"> e </w:t>
      </w:r>
      <w:r>
        <w:rPr>
          <w:rFonts w:ascii="Times New Roman" w:hAnsi="Times New Roman" w:cs="Times New Roman"/>
          <w:i/>
          <w:iCs/>
          <w:color w:val="0F1115"/>
        </w:rPr>
        <w:t>HSW</w:t>
      </w:r>
      <w:r>
        <w:rPr>
          <w:rFonts w:ascii="Times New Roman" w:hAnsi="Times New Roman" w:cs="Times New Roman"/>
          <w:color w:val="0F1115"/>
        </w:rPr>
        <w:t>, considerando essas variáveis de força, controle postural, antropometria e alinhamento articular como potenciais preditores. Assim</w:t>
      </w:r>
      <w:r>
        <w:rPr>
          <w:rFonts w:ascii="Times New Roman" w:hAnsi="Times New Roman" w:eastAsia="Times New Roman" w:cs="Times New Roman"/>
        </w:rPr>
        <w:t>, pretende-se compreender, por meio de uma análise espaço-temporal integrada, como diferentes combinações de força muscular, alinhamento articular, controle postural e características individuais, sua antropometria e experiência prévia, se manifestam no desempenho em posição invertida.</w:t>
      </w:r>
    </w:p>
    <w:p w14:paraId="11FA536D">
      <w:pPr>
        <w:spacing w:line="360" w:lineRule="auto"/>
        <w:ind w:firstLine="720"/>
        <w:rPr>
          <w:rFonts w:ascii="Times New Roman" w:hAnsi="Times New Roman" w:eastAsia="Times New Roman" w:cs="Times New Roman"/>
        </w:rPr>
      </w:pPr>
      <w:r>
        <w:rPr>
          <w:rFonts w:ascii="Times New Roman" w:hAnsi="Times New Roman" w:eastAsia="Times New Roman" w:cs="Times New Roman"/>
        </w:rPr>
        <w:t xml:space="preserve">No </w:t>
      </w:r>
      <w:r>
        <w:rPr>
          <w:rFonts w:ascii="Times New Roman" w:hAnsi="Times New Roman" w:eastAsia="Times New Roman" w:cs="Times New Roman"/>
          <w:i/>
          <w:iCs/>
        </w:rPr>
        <w:t>HS</w:t>
      </w:r>
      <w:r>
        <w:rPr>
          <w:rFonts w:ascii="Times New Roman" w:hAnsi="Times New Roman" w:eastAsia="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r>
        <w:rPr>
          <w:rFonts w:ascii="Times New Roman" w:hAnsi="Times New Roman" w:eastAsia="Times New Roman" w:cs="Times New Roman"/>
          <w:i/>
          <w:iCs/>
        </w:rPr>
        <w:t>HSW</w:t>
      </w:r>
      <w:r>
        <w:rPr>
          <w:rFonts w:ascii="Times New Roman" w:hAnsi="Times New Roman" w:eastAsia="Times New Roman" w:cs="Times New Roman"/>
        </w:rPr>
        <w:t xml:space="preserve">, o desempenho tende a refletir a consistência das passadas e o controle postural, sendo indicados por métricas espaço-temporais como distância percorrida, tempo total, velocidade média, comprimento e cadência das passadas e tempo em duplo suporte Tal como no </w:t>
      </w:r>
      <w:r>
        <w:rPr>
          <w:rFonts w:ascii="Times New Roman" w:hAnsi="Times New Roman" w:eastAsia="Times New Roman" w:cs="Times New Roman"/>
          <w:i/>
          <w:iCs/>
        </w:rPr>
        <w:t>HS</w:t>
      </w:r>
      <w:r>
        <w:rPr>
          <w:rFonts w:ascii="Times New Roman" w:hAnsi="Times New Roman" w:eastAsia="Times New Roman" w:cs="Times New Roman"/>
        </w:rPr>
        <w:t>, força máxima e resistência dos membros superiores e fatores antropométricos devem influenciar o desempenho dinâmico. A prática prévia e a idade também podem modular essas relações.</w:t>
      </w:r>
    </w:p>
    <w:p w14:paraId="4B5F3C10">
      <w:pPr>
        <w:spacing w:after="240" w:line="360" w:lineRule="auto"/>
        <w:ind w:firstLine="426"/>
        <w:rPr>
          <w:rFonts w:ascii="Times New Roman" w:hAnsi="Times New Roman" w:eastAsia="Times New Roman" w:cs="Times New Roman"/>
        </w:rPr>
      </w:pPr>
      <w:r>
        <w:rPr>
          <w:rFonts w:ascii="Times New Roman" w:hAnsi="Times New Roman" w:eastAsia="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ascii="Times New Roman" w:hAnsi="Times New Roman" w:eastAsia="Times New Roman" w:cs="Times New Roman"/>
          <w:i/>
          <w:iCs/>
        </w:rPr>
        <w:t>HS</w:t>
      </w:r>
      <w:r>
        <w:rPr>
          <w:rFonts w:ascii="Times New Roman" w:hAnsi="Times New Roman" w:eastAsia="Times New Roman" w:cs="Times New Roman"/>
        </w:rPr>
        <w:t xml:space="preserve"> e no </w:t>
      </w:r>
      <w:r>
        <w:rPr>
          <w:rFonts w:ascii="Times New Roman" w:hAnsi="Times New Roman" w:eastAsia="Times New Roman" w:cs="Times New Roman"/>
          <w:i/>
          <w:iCs/>
        </w:rPr>
        <w:t>HSW</w:t>
      </w:r>
      <w:r>
        <w:rPr>
          <w:rFonts w:ascii="Times New Roman" w:hAnsi="Times New Roman" w:eastAsia="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pPr>
        <w:spacing w:line="360" w:lineRule="auto"/>
        <w:rPr>
          <w:rFonts w:ascii="Times New Roman" w:hAnsi="Times New Roman" w:eastAsia="Times New Roman" w:cs="Times New Roman"/>
        </w:rPr>
      </w:pPr>
      <w:r>
        <w:rPr>
          <w:rFonts w:ascii="Times New Roman" w:hAnsi="Times New Roman" w:eastAsia="Times New Roman" w:cs="Times New Roman"/>
        </w:rPr>
        <w:t>2    OBJETIVO GERAL</w:t>
      </w:r>
    </w:p>
    <w:p w14:paraId="4E56C355">
      <w:pPr>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Investigar os fatores preditores do desempenho no </w:t>
      </w:r>
      <w:r>
        <w:rPr>
          <w:rFonts w:ascii="Times New Roman" w:hAnsi="Times New Roman" w:eastAsia="Times New Roman" w:cs="Times New Roman"/>
          <w:i/>
          <w:iCs/>
        </w:rPr>
        <w:t>HS</w:t>
      </w:r>
      <w:r>
        <w:rPr>
          <w:rFonts w:ascii="Times New Roman" w:hAnsi="Times New Roman" w:eastAsia="Times New Roman" w:cs="Times New Roman"/>
        </w:rPr>
        <w:t xml:space="preserve"> e </w:t>
      </w:r>
      <w:r>
        <w:rPr>
          <w:rFonts w:ascii="Times New Roman" w:hAnsi="Times New Roman" w:eastAsia="Times New Roman" w:cs="Times New Roman"/>
          <w:i/>
          <w:iCs/>
        </w:rPr>
        <w:t>HSW</w:t>
      </w:r>
      <w:r>
        <w:rPr>
          <w:rFonts w:ascii="Times New Roman" w:hAnsi="Times New Roman" w:eastAsia="Times New Roman" w:cs="Times New Roman"/>
        </w:rPr>
        <w:t xml:space="preserve"> em praticantes de diferentes modalidades, integrando variáveis de força, controle postural, cinemática articular, antropometria, perfil de experiência prática e idade.</w:t>
      </w:r>
    </w:p>
    <w:p w14:paraId="6DC8CE3F">
      <w:pPr>
        <w:spacing w:line="360" w:lineRule="auto"/>
        <w:rPr>
          <w:rFonts w:ascii="Times New Roman" w:hAnsi="Times New Roman" w:eastAsia="Times New Roman" w:cs="Times New Roman"/>
        </w:rPr>
      </w:pPr>
      <w:r>
        <w:rPr>
          <w:rFonts w:ascii="Times New Roman" w:hAnsi="Times New Roman" w:eastAsia="Times New Roman" w:cs="Times New Roman"/>
        </w:rPr>
        <w:t>2.1 Objetivos Específicos</w:t>
      </w:r>
    </w:p>
    <w:p w14:paraId="4B9D3BA0">
      <w:pPr>
        <w:pStyle w:val="10"/>
        <w:spacing w:after="0" w:line="360" w:lineRule="auto"/>
        <w:rPr>
          <w:rFonts w:ascii="Times New Roman" w:hAnsi="Times New Roman" w:eastAsia="Times New Roman" w:cs="Times New Roman"/>
        </w:rPr>
      </w:pPr>
      <w:r>
        <w:rPr>
          <w:rFonts w:ascii="Times New Roman" w:hAnsi="Times New Roman" w:eastAsia="Times New Roman" w:cs="Times New Roman"/>
        </w:rPr>
        <w:t>a) Averiguar a contribuição relativa das variáveis de força (força máxima relativa no </w:t>
      </w:r>
      <w:r>
        <w:rPr>
          <w:rFonts w:ascii="Times New Roman" w:hAnsi="Times New Roman" w:eastAsia="Times New Roman" w:cs="Times New Roman"/>
          <w:i/>
          <w:iCs/>
        </w:rPr>
        <w:t>SP</w:t>
      </w:r>
      <w:r>
        <w:rPr>
          <w:rFonts w:ascii="Times New Roman" w:hAnsi="Times New Roman" w:eastAsia="Times New Roman" w:cs="Times New Roman"/>
        </w:rPr>
        <w:t xml:space="preserve">, força de flexores de punho e dedos, e resistência muscular em posição invertida) para o tempo de sustentação no </w:t>
      </w:r>
      <w:r>
        <w:rPr>
          <w:rFonts w:ascii="Times New Roman" w:hAnsi="Times New Roman" w:eastAsia="Times New Roman" w:cs="Times New Roman"/>
          <w:i/>
          <w:iCs/>
        </w:rPr>
        <w:t>HS</w:t>
      </w:r>
      <w:r>
        <w:rPr>
          <w:rFonts w:ascii="Times New Roman" w:hAnsi="Times New Roman" w:eastAsia="Times New Roman" w:cs="Times New Roman"/>
        </w:rPr>
        <w:t xml:space="preserve"> e para a mediana da distância percorrida no </w:t>
      </w:r>
      <w:r>
        <w:rPr>
          <w:rFonts w:ascii="Times New Roman" w:hAnsi="Times New Roman" w:eastAsia="Times New Roman" w:cs="Times New Roman"/>
          <w:i/>
          <w:iCs/>
        </w:rPr>
        <w:t>HSW</w:t>
      </w:r>
      <w:r>
        <w:rPr>
          <w:rFonts w:ascii="Times New Roman" w:hAnsi="Times New Roman" w:eastAsia="Times New Roman" w:cs="Times New Roman"/>
        </w:rPr>
        <w:t>.</w:t>
      </w:r>
    </w:p>
    <w:p w14:paraId="6A0542F6">
      <w:pPr>
        <w:pStyle w:val="10"/>
        <w:spacing w:after="0" w:line="360" w:lineRule="auto"/>
        <w:rPr>
          <w:rFonts w:ascii="Times New Roman" w:hAnsi="Times New Roman" w:eastAsia="Times New Roman" w:cs="Times New Roman"/>
        </w:rPr>
      </w:pPr>
      <w:r>
        <w:rPr>
          <w:rFonts w:ascii="Times New Roman" w:hAnsi="Times New Roman" w:eastAsia="Times New Roman" w:cs="Times New Roman"/>
        </w:rPr>
        <w:t xml:space="preserve">b) Avaliar a relação entre parâmetros de controle postural (distância média entre CoM e CoP, velocidade do CoP e ApEn) para o tempo de sustentação no </w:t>
      </w:r>
      <w:r>
        <w:rPr>
          <w:rFonts w:ascii="Times New Roman" w:hAnsi="Times New Roman" w:eastAsia="Times New Roman" w:cs="Times New Roman"/>
          <w:i/>
          <w:iCs/>
        </w:rPr>
        <w:t>HS</w:t>
      </w:r>
      <w:r>
        <w:rPr>
          <w:rFonts w:ascii="Times New Roman" w:hAnsi="Times New Roman" w:eastAsia="Times New Roman" w:cs="Times New Roman"/>
        </w:rPr>
        <w:t>.</w:t>
      </w:r>
    </w:p>
    <w:p w14:paraId="66E6CF66">
      <w:pPr>
        <w:pStyle w:val="10"/>
        <w:spacing w:after="0" w:line="360" w:lineRule="auto"/>
        <w:rPr>
          <w:rFonts w:ascii="Times New Roman" w:hAnsi="Times New Roman" w:eastAsia="Times New Roman" w:cs="Times New Roman"/>
        </w:rPr>
      </w:pPr>
      <w:r>
        <w:rPr>
          <w:rFonts w:ascii="Times New Roman" w:hAnsi="Times New Roman" w:eastAsia="Times New Roman" w:cs="Times New Roman"/>
        </w:rPr>
        <w:t xml:space="preserve">c) Analisar a influência de variáveis antropométricas (comprimento de membros, altura do CoM e composição corporal) sobre a estabilidade estática </w:t>
      </w:r>
      <w:r>
        <w:rPr>
          <w:rFonts w:ascii="Times New Roman" w:hAnsi="Times New Roman" w:eastAsia="Times New Roman" w:cs="Times New Roman"/>
          <w:i/>
          <w:iCs/>
        </w:rPr>
        <w:t>HS</w:t>
      </w:r>
      <w:r>
        <w:rPr>
          <w:rFonts w:ascii="Times New Roman" w:hAnsi="Times New Roman" w:eastAsia="Times New Roman" w:cs="Times New Roman"/>
        </w:rPr>
        <w:t xml:space="preserve"> e a eficiência do deslocamento no </w:t>
      </w:r>
      <w:r>
        <w:rPr>
          <w:rFonts w:ascii="Times New Roman" w:hAnsi="Times New Roman" w:eastAsia="Times New Roman" w:cs="Times New Roman"/>
          <w:i/>
          <w:iCs/>
        </w:rPr>
        <w:t>HSW</w:t>
      </w:r>
      <w:r>
        <w:rPr>
          <w:rFonts w:ascii="Times New Roman" w:hAnsi="Times New Roman" w:eastAsia="Times New Roman" w:cs="Times New Roman"/>
        </w:rPr>
        <w:t>.</w:t>
      </w:r>
    </w:p>
    <w:p w14:paraId="3FAF7BCF">
      <w:pPr>
        <w:pStyle w:val="10"/>
        <w:spacing w:after="0" w:line="360" w:lineRule="auto"/>
        <w:rPr>
          <w:rFonts w:ascii="Times New Roman" w:hAnsi="Times New Roman" w:eastAsia="Times New Roman" w:cs="Times New Roman"/>
        </w:rPr>
      </w:pPr>
      <w:r>
        <w:rPr>
          <w:rFonts w:ascii="Times New Roman" w:hAnsi="Times New Roman" w:eastAsia="Times New Roman" w:cs="Times New Roman"/>
        </w:rPr>
        <w:t>d) Comparar os padrões cinemáticos atrativos dos ângulos articulares, através de um índice de verticalidade entre ombros e quadril, grau de extensão cervical,</w:t>
      </w:r>
      <w:r>
        <w:rPr>
          <w:rFonts w:hint="default" w:ascii="Times New Roman" w:hAnsi="Times New Roman" w:eastAsia="Times New Roman" w:cs="Times New Roman"/>
          <w:lang w:val="pt-BR"/>
        </w:rPr>
        <w:t xml:space="preserve"> </w:t>
      </w:r>
      <w:r>
        <w:rPr>
          <w:rFonts w:ascii="Times New Roman" w:hAnsi="Times New Roman" w:eastAsia="Times New Roman" w:cs="Times New Roman"/>
        </w:rPr>
        <w:t>ângulo de flexão plantar do tornozelo</w:t>
      </w:r>
      <w:r>
        <w:rPr>
          <w:rFonts w:hint="default" w:ascii="Times New Roman" w:hAnsi="Times New Roman" w:eastAsia="Times New Roman" w:cs="Times New Roman"/>
          <w:lang w:val="pt-BR"/>
        </w:rPr>
        <w:t>,</w:t>
      </w:r>
      <w:bookmarkStart w:id="5" w:name="_GoBack"/>
      <w:bookmarkEnd w:id="5"/>
      <w:r>
        <w:rPr>
          <w:rFonts w:ascii="Times New Roman" w:hAnsi="Times New Roman" w:eastAsia="Times New Roman" w:cs="Times New Roman"/>
        </w:rPr>
        <w:t xml:space="preserve"> largura da base de apoio e orientação angular das mãos, adotados por praticantes de diferentes níveis de proficiência e modalidades durante a execução do </w:t>
      </w:r>
      <w:r>
        <w:rPr>
          <w:rFonts w:ascii="Times New Roman" w:hAnsi="Times New Roman" w:eastAsia="Times New Roman" w:cs="Times New Roman"/>
          <w:i/>
          <w:iCs/>
        </w:rPr>
        <w:t>HS</w:t>
      </w:r>
      <w:r>
        <w:rPr>
          <w:rFonts w:ascii="Times New Roman" w:hAnsi="Times New Roman" w:eastAsia="Times New Roman" w:cs="Times New Roman"/>
        </w:rPr>
        <w:t xml:space="preserve"> e do </w:t>
      </w:r>
      <w:r>
        <w:rPr>
          <w:rFonts w:ascii="Times New Roman" w:hAnsi="Times New Roman" w:eastAsia="Times New Roman" w:cs="Times New Roman"/>
          <w:i/>
          <w:iCs/>
        </w:rPr>
        <w:t>HSW</w:t>
      </w:r>
      <w:r>
        <w:rPr>
          <w:rFonts w:ascii="Times New Roman" w:hAnsi="Times New Roman" w:eastAsia="Times New Roman" w:cs="Times New Roman"/>
        </w:rPr>
        <w:t>.</w:t>
      </w:r>
    </w:p>
    <w:p w14:paraId="4A2D826D">
      <w:pPr>
        <w:pStyle w:val="10"/>
        <w:spacing w:after="0" w:line="360" w:lineRule="auto"/>
        <w:rPr>
          <w:rFonts w:ascii="Times New Roman" w:hAnsi="Times New Roman" w:eastAsia="Times New Roman" w:cs="Times New Roman"/>
        </w:rPr>
      </w:pPr>
      <w:r>
        <w:rPr>
          <w:rFonts w:ascii="Times New Roman" w:hAnsi="Times New Roman" w:eastAsia="Times New Roman" w:cs="Times New Roman"/>
        </w:rPr>
        <w:t xml:space="preserve">e) Determinar a associação entre o tempo de prática específica e a idade cronológica com o desempenho no </w:t>
      </w:r>
      <w:r>
        <w:rPr>
          <w:rFonts w:ascii="Times New Roman" w:hAnsi="Times New Roman" w:eastAsia="Times New Roman" w:cs="Times New Roman"/>
          <w:i/>
          <w:iCs/>
        </w:rPr>
        <w:t>HS</w:t>
      </w:r>
      <w:r>
        <w:rPr>
          <w:rFonts w:ascii="Times New Roman" w:hAnsi="Times New Roman" w:eastAsia="Times New Roman" w:cs="Times New Roman"/>
        </w:rPr>
        <w:t xml:space="preserve"> e </w:t>
      </w:r>
      <w:r>
        <w:rPr>
          <w:rFonts w:ascii="Times New Roman" w:hAnsi="Times New Roman" w:eastAsia="Times New Roman" w:cs="Times New Roman"/>
          <w:i/>
          <w:iCs/>
        </w:rPr>
        <w:t>HSW</w:t>
      </w:r>
      <w:r>
        <w:rPr>
          <w:rFonts w:ascii="Times New Roman" w:hAnsi="Times New Roman" w:eastAsia="Times New Roman" w:cs="Times New Roman"/>
        </w:rPr>
        <w:t>, testando a hipótese de que a experiência prática tem um peso preditivo maior que a idade.</w:t>
      </w:r>
    </w:p>
    <w:p w14:paraId="4EF15B59">
      <w:pPr>
        <w:pStyle w:val="10"/>
        <w:spacing w:after="0" w:line="360" w:lineRule="auto"/>
        <w:rPr>
          <w:rFonts w:ascii="Times New Roman" w:hAnsi="Times New Roman" w:eastAsia="Times New Roman" w:cs="Times New Roman"/>
        </w:rPr>
      </w:pPr>
      <w:r>
        <w:rPr>
          <w:rFonts w:ascii="Times New Roman" w:hAnsi="Times New Roman" w:eastAsia="Times New Roman" w:cs="Times New Roman"/>
        </w:rPr>
        <w:t xml:space="preserve">f) Identificar os como os parâmetros espaço-temporais: comprimento médio, cadência e variabilidades espacial e temporal das passadas, influenciam no desempenho do </w:t>
      </w:r>
      <w:r>
        <w:rPr>
          <w:rFonts w:ascii="Times New Roman" w:hAnsi="Times New Roman" w:eastAsia="Times New Roman" w:cs="Times New Roman"/>
          <w:i/>
          <w:iCs/>
        </w:rPr>
        <w:t xml:space="preserve">HSW. </w:t>
      </w:r>
      <w:r>
        <w:rPr>
          <w:rFonts w:ascii="Times New Roman" w:hAnsi="Times New Roman" w:eastAsia="Times New Roman" w:cs="Times New Roman"/>
        </w:rPr>
        <w:t>Bem como descrever as estratégias de locomoção adotados por praticantes de diferentes modalidades através dos parâmetros: velocidade média, tempo de contato da mãos no solo e tempo em duplo suporte.</w:t>
      </w:r>
    </w:p>
    <w:p w14:paraId="1C4A57AD">
      <w:pPr>
        <w:pStyle w:val="10"/>
        <w:spacing w:line="360" w:lineRule="auto"/>
        <w:rPr>
          <w:rFonts w:ascii="Times New Roman" w:hAnsi="Times New Roman" w:eastAsia="Times New Roman" w:cs="Times New Roman"/>
        </w:rPr>
      </w:pPr>
      <w:r>
        <w:rPr>
          <w:rFonts w:ascii="Times New Roman" w:hAnsi="Times New Roman" w:eastAsia="Times New Roman" w:cs="Times New Roman"/>
        </w:rPr>
        <w:t xml:space="preserve">g) Verificar a existência de uma possível transferência de habilidades entre o </w:t>
      </w:r>
      <w:r>
        <w:rPr>
          <w:rFonts w:ascii="Times New Roman" w:hAnsi="Times New Roman" w:eastAsia="Times New Roman" w:cs="Times New Roman"/>
          <w:i/>
          <w:iCs/>
        </w:rPr>
        <w:t>HS</w:t>
      </w:r>
      <w:r>
        <w:rPr>
          <w:rFonts w:ascii="Times New Roman" w:hAnsi="Times New Roman" w:eastAsia="Times New Roman" w:cs="Times New Roman"/>
        </w:rPr>
        <w:t xml:space="preserve"> e o </w:t>
      </w:r>
      <w:r>
        <w:rPr>
          <w:rFonts w:ascii="Times New Roman" w:hAnsi="Times New Roman" w:eastAsia="Times New Roman" w:cs="Times New Roman"/>
          <w:i/>
          <w:iCs/>
        </w:rPr>
        <w:t>HSW</w:t>
      </w:r>
      <w:r>
        <w:rPr>
          <w:rFonts w:ascii="Times New Roman" w:hAnsi="Times New Roman" w:eastAsia="Times New Roman" w:cs="Times New Roman"/>
        </w:rPr>
        <w:t xml:space="preserve">, correlacionando o tempo máximo de sustentação e a entropia (ApEn) no </w:t>
      </w:r>
      <w:r>
        <w:rPr>
          <w:rFonts w:ascii="Times New Roman" w:hAnsi="Times New Roman" w:eastAsia="Times New Roman" w:cs="Times New Roman"/>
          <w:i/>
          <w:iCs/>
        </w:rPr>
        <w:t>HS</w:t>
      </w:r>
      <w:r>
        <w:rPr>
          <w:rFonts w:ascii="Times New Roman" w:hAnsi="Times New Roman" w:eastAsia="Times New Roman" w:cs="Times New Roman"/>
        </w:rPr>
        <w:t xml:space="preserve"> com a mediana da distância percorrida no </w:t>
      </w:r>
      <w:r>
        <w:rPr>
          <w:rFonts w:ascii="Times New Roman" w:hAnsi="Times New Roman" w:eastAsia="Times New Roman" w:cs="Times New Roman"/>
          <w:i/>
          <w:iCs/>
        </w:rPr>
        <w:t>HSW</w:t>
      </w:r>
      <w:r>
        <w:rPr>
          <w:rFonts w:ascii="Times New Roman" w:hAnsi="Times New Roman" w:eastAsia="Times New Roman" w:cs="Times New Roman"/>
        </w:rPr>
        <w:t>.</w:t>
      </w:r>
    </w:p>
    <w:p w14:paraId="3688E4AB">
      <w:pPr>
        <w:pStyle w:val="2"/>
        <w:spacing w:before="0" w:after="140" w:line="360" w:lineRule="auto"/>
        <w:rPr>
          <w:rFonts w:ascii="Times New Roman" w:hAnsi="Times New Roman" w:eastAsia="Times New Roman" w:cs="Times New Roman"/>
        </w:rPr>
      </w:pPr>
      <w:r>
        <w:rPr>
          <w:rFonts w:ascii="Times New Roman" w:hAnsi="Times New Roman" w:eastAsia="Times New Roman" w:cs="Times New Roman"/>
        </w:rPr>
        <w:t>3    MÉTODO</w:t>
      </w:r>
    </w:p>
    <w:p w14:paraId="3CB949C4">
      <w:pPr>
        <w:spacing w:line="360" w:lineRule="auto"/>
        <w:rPr>
          <w:rFonts w:ascii="Times New Roman" w:hAnsi="Times New Roman" w:eastAsia="Times New Roman" w:cs="Times New Roman"/>
        </w:rPr>
      </w:pPr>
      <w:r>
        <w:rPr>
          <w:rFonts w:ascii="Times New Roman" w:hAnsi="Times New Roman" w:eastAsia="Times New Roman" w:cs="Times New Roman"/>
        </w:rPr>
        <w:t>3.1 Delineamento experimental</w:t>
      </w:r>
    </w:p>
    <w:p w14:paraId="47F7B48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sz w:val="24"/>
          <w:szCs w:val="24"/>
          <w:lang w:val="pt-BR" w:eastAsia="pt-BR" w:bidi="ar-SA"/>
        </w:rPr>
        <w:t>Trata-se de um estudo observacional, transversal e analítico. O protocolo experimental foi estruturado para investigar os fatores determinantes e preditores do desempenho estático (</w:t>
      </w:r>
      <w:r>
        <w:rPr>
          <w:rFonts w:hint="default" w:ascii="Times New Roman" w:hAnsi="Times New Roman" w:eastAsia="Times New Roman" w:cs="Times New Roman"/>
          <w:i/>
          <w:iCs/>
          <w:sz w:val="24"/>
          <w:szCs w:val="24"/>
          <w:lang w:val="pt-BR" w:eastAsia="pt-BR" w:bidi="ar-SA"/>
        </w:rPr>
        <w:t>HS</w:t>
      </w:r>
      <w:r>
        <w:rPr>
          <w:rFonts w:hint="default" w:ascii="Times New Roman" w:hAnsi="Times New Roman" w:eastAsia="Times New Roman" w:cs="Times New Roman"/>
          <w:sz w:val="24"/>
          <w:szCs w:val="24"/>
          <w:lang w:val="pt-BR" w:eastAsia="pt-BR" w:bidi="ar-SA"/>
        </w:rPr>
        <w:t>) e dinâmico (</w:t>
      </w:r>
      <w:r>
        <w:rPr>
          <w:rFonts w:hint="default" w:ascii="Times New Roman" w:hAnsi="Times New Roman" w:eastAsia="Times New Roman" w:cs="Times New Roman"/>
          <w:i/>
          <w:iCs/>
          <w:sz w:val="24"/>
          <w:szCs w:val="24"/>
          <w:lang w:val="pt-BR" w:eastAsia="pt-BR" w:bidi="ar-SA"/>
        </w:rPr>
        <w:t>HSW</w:t>
      </w:r>
      <w:r>
        <w:rPr>
          <w:rFonts w:hint="default" w:ascii="Times New Roman" w:hAnsi="Times New Roman" w:eastAsia="Times New Roman" w:cs="Times New Roman"/>
          <w:sz w:val="24"/>
          <w:szCs w:val="24"/>
          <w:lang w:val="pt-BR" w:eastAsia="pt-BR" w:bidi="ar-SA"/>
        </w:rPr>
        <w:t xml:space="preserve">), integrando variáveis de capacidade física (força máxima relativa, simetria e resistência muscular isométrica), controle postural estabilométrico, alinhamento cinemático tridimensional, características antropométricas, perfil de prática e idade. </w:t>
      </w:r>
    </w:p>
    <w:p w14:paraId="2B04372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ascii="Times New Roman" w:hAnsi="Times New Roman" w:eastAsia="Times New Roman" w:cs="Times New Roman"/>
        </w:rPr>
      </w:pPr>
      <w:r>
        <w:rPr>
          <w:rFonts w:ascii="Times New Roman" w:hAnsi="Times New Roman" w:eastAsia="Times New Roman" w:cs="Times New Roman"/>
        </w:rPr>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contemplará as avaliações força isométrica distal bilateral (força de preensão manual e pico de torque dos flexores de punho</w:t>
      </w:r>
      <w:r>
        <w:rPr>
          <w:rFonts w:hint="default" w:ascii="Times New Roman" w:hAnsi="Times New Roman" w:eastAsia="Times New Roman" w:cs="Times New Roman"/>
          <w:lang w:val="pt-BR"/>
        </w:rPr>
        <w:t>)</w:t>
      </w:r>
      <w:r>
        <w:rPr>
          <w:rFonts w:ascii="Times New Roman" w:hAnsi="Times New Roman" w:eastAsia="Times New Roman" w:cs="Times New Roman"/>
        </w:rPr>
        <w:t>, teste de resistência em posição invertida (</w:t>
      </w:r>
      <w:r>
        <w:rPr>
          <w:rFonts w:ascii="Times New Roman" w:hAnsi="Times New Roman" w:eastAsia="Times New Roman" w:cs="Times New Roman"/>
          <w:i/>
          <w:iCs/>
        </w:rPr>
        <w:t>wall</w:t>
      </w:r>
      <w:r>
        <w:rPr>
          <w:rFonts w:ascii="Times New Roman" w:hAnsi="Times New Roman" w:eastAsia="Times New Roman" w:cs="Times New Roman"/>
        </w:rPr>
        <w:t>-</w:t>
      </w:r>
      <w:r>
        <w:rPr>
          <w:rFonts w:ascii="Times New Roman" w:hAnsi="Times New Roman" w:eastAsia="Times New Roman" w:cs="Times New Roman"/>
          <w:i/>
          <w:iCs/>
        </w:rPr>
        <w:t>supported</w:t>
      </w:r>
      <w:r>
        <w:rPr>
          <w:rFonts w:ascii="Times New Roman" w:hAnsi="Times New Roman" w:eastAsia="Times New Roman" w:cs="Times New Roman"/>
        </w:rPr>
        <w:t xml:space="preserve"> </w:t>
      </w:r>
      <w:r>
        <w:rPr>
          <w:rFonts w:ascii="Times New Roman" w:hAnsi="Times New Roman" w:eastAsia="Times New Roman" w:cs="Times New Roman"/>
          <w:i/>
          <w:iCs/>
        </w:rPr>
        <w:t>HS</w:t>
      </w:r>
      <w:r>
        <w:rPr>
          <w:rFonts w:ascii="Times New Roman" w:hAnsi="Times New Roman" w:eastAsia="Times New Roman" w:cs="Times New Roman"/>
        </w:rPr>
        <w:t xml:space="preserve">) e teste de uma repetição máxima (1-RM) no </w:t>
      </w:r>
      <w:r>
        <w:rPr>
          <w:rFonts w:ascii="Times New Roman" w:hAnsi="Times New Roman" w:eastAsia="Times New Roman" w:cs="Times New Roman"/>
          <w:i/>
          <w:iCs/>
        </w:rPr>
        <w:t>SP</w:t>
      </w:r>
      <w:r>
        <w:rPr>
          <w:rFonts w:ascii="Times New Roman" w:hAnsi="Times New Roman" w:eastAsia="Times New Roman" w:cs="Times New Roman"/>
        </w:rPr>
        <w:t xml:space="preserve">, além da avaliação da composição corporal por um equipamento de bioimpedância elétrica tetrapolar.  A segunda sessão ocorrerá no Laboratório de Biomecânica e Controle Motor (LaBioCoM) e incluirá a avaliação da execução do </w:t>
      </w:r>
      <w:r>
        <w:rPr>
          <w:rFonts w:ascii="Times New Roman" w:hAnsi="Times New Roman" w:eastAsia="Times New Roman" w:cs="Times New Roman"/>
          <w:i/>
          <w:iCs/>
        </w:rPr>
        <w:t>HS</w:t>
      </w:r>
      <w:r>
        <w:rPr>
          <w:rFonts w:ascii="Times New Roman" w:hAnsi="Times New Roman" w:eastAsia="Times New Roman" w:cs="Times New Roman"/>
        </w:rPr>
        <w:t xml:space="preserve"> e do </w:t>
      </w:r>
      <w:r>
        <w:rPr>
          <w:rFonts w:ascii="Times New Roman" w:hAnsi="Times New Roman" w:eastAsia="Times New Roman" w:cs="Times New Roman"/>
          <w:i/>
          <w:iCs/>
        </w:rPr>
        <w:t>HSW</w:t>
      </w:r>
      <w:r>
        <w:rPr>
          <w:rFonts w:ascii="Times New Roman" w:hAnsi="Times New Roman" w:eastAsia="Times New Roman" w:cs="Times New Roman"/>
        </w:rPr>
        <w:t xml:space="preserve"> por meio de sistema de captura de movimento (Vicon</w:t>
      </w:r>
      <w:r>
        <w:rPr>
          <w:rFonts w:ascii="Times New Roman" w:hAnsi="Times New Roman" w:eastAsia="Times New Roman" w:cs="Times New Roman"/>
          <w:color w:val="0C3C60"/>
        </w:rPr>
        <w:t>®</w:t>
      </w:r>
      <w:r>
        <w:rPr>
          <w:rFonts w:ascii="Times New Roman" w:hAnsi="Times New Roman" w:eastAsia="Times New Roman" w:cs="Times New Roman"/>
        </w:rPr>
        <w:t>, Oxford, Reino Unido) para aquisição de dados cinemáticos: ângulos articulares (punhos, ombros, quadril e cabeça), base de apoio (distância entre mãos), altura do centro de massa (CoM) e comprimentos dos membros; e determinar parâmetros espaço-temporais, incluindo distância percorrida, tempo de execução, velocidade média, comprimento médio das passadas, cadência, tempo de contato das mãos com o solo e variabilidade entre passadas; e de plataforma de força (Bertec®, Columbus, OH, USA) para quantificação de parâmetros estabilométricos, como variabilidade do</w:t>
      </w:r>
      <w:r>
        <w:rPr>
          <w:rFonts w:hint="default" w:cs="Times New Roman"/>
          <w:lang w:val="pt-BR"/>
        </w:rPr>
        <w:t xml:space="preserve"> </w:t>
      </w:r>
      <w:r>
        <w:rPr>
          <w:rFonts w:ascii="Times New Roman" w:hAnsi="Times New Roman" w:eastAsia="Times New Roman" w:cs="Times New Roman"/>
        </w:rPr>
        <w:t>CoP</w:t>
      </w:r>
      <w:r>
        <w:rPr>
          <w:rFonts w:hint="default" w:cs="Times New Roman"/>
          <w:lang w:val="pt-BR"/>
        </w:rPr>
        <w:t xml:space="preserve">, </w:t>
      </w:r>
      <w:r>
        <w:rPr>
          <w:rFonts w:ascii="Times New Roman" w:hAnsi="Times New Roman" w:cs="Times New Roman"/>
        </w:rPr>
        <w:t>distância CoP-CoM</w:t>
      </w:r>
      <w:r>
        <w:rPr>
          <w:rFonts w:hint="default" w:cs="Times New Roman"/>
          <w:lang w:val="pt-BR"/>
        </w:rPr>
        <w:t xml:space="preserve"> e ApEn</w:t>
      </w:r>
      <w:r>
        <w:rPr>
          <w:rFonts w:ascii="Times New Roman" w:hAnsi="Times New Roman" w:eastAsia="Times New Roman" w:cs="Times New Roman"/>
        </w:rPr>
        <w:t xml:space="preserve">. Para garantir a validade das medidas de força, em que os efeitos da fadiga neuromuscular são detrimentais, a coleta de dados sempre começará com a sessão das avaliações de força [34]. A sessão de avaliação do desempenho no </w:t>
      </w:r>
      <w:r>
        <w:rPr>
          <w:rFonts w:ascii="Times New Roman" w:hAnsi="Times New Roman" w:eastAsia="Times New Roman" w:cs="Times New Roman"/>
          <w:i/>
          <w:iCs/>
        </w:rPr>
        <w:t>HS</w:t>
      </w:r>
      <w:r>
        <w:rPr>
          <w:rFonts w:ascii="Times New Roman" w:hAnsi="Times New Roman" w:eastAsia="Times New Roman" w:cs="Times New Roman"/>
        </w:rPr>
        <w:t xml:space="preserve"> e </w:t>
      </w:r>
      <w:r>
        <w:rPr>
          <w:rFonts w:ascii="Times New Roman" w:hAnsi="Times New Roman" w:eastAsia="Times New Roman" w:cs="Times New Roman"/>
          <w:i/>
          <w:iCs/>
        </w:rPr>
        <w:t>HSW</w:t>
      </w:r>
      <w:r>
        <w:rPr>
          <w:rFonts w:ascii="Times New Roman" w:hAnsi="Times New Roman" w:eastAsia="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pPr>
        <w:spacing w:line="360" w:lineRule="auto"/>
        <w:ind w:firstLine="426"/>
        <w:rPr>
          <w:rFonts w:ascii="Times New Roman" w:hAnsi="Times New Roman" w:cs="Times New Roman"/>
        </w:rPr>
      </w:pPr>
      <w:r>
        <w:rPr>
          <w:rFonts w:ascii="Times New Roman" w:hAnsi="Times New Roman" w:eastAsia="Times New Roman" w:cs="Times New Roman"/>
        </w:rPr>
        <w:t xml:space="preserve">O desempenho no </w:t>
      </w:r>
      <w:r>
        <w:rPr>
          <w:rFonts w:ascii="Times New Roman" w:hAnsi="Times New Roman" w:eastAsia="Times New Roman" w:cs="Times New Roman"/>
          <w:i/>
          <w:iCs/>
        </w:rPr>
        <w:t>HS</w:t>
      </w:r>
      <w:r>
        <w:rPr>
          <w:rFonts w:ascii="Times New Roman" w:hAnsi="Times New Roman" w:eastAsia="Times New Roman" w:cs="Times New Roman"/>
        </w:rPr>
        <w:t xml:space="preserve"> será definido pelo tempo máximo de sustentação (s), que associado</w:t>
      </w:r>
      <w:r>
        <w:rPr>
          <w:rFonts w:ascii="Times New Roman" w:hAnsi="Times New Roman" w:cs="Times New Roman"/>
          <w:shd w:val="clear" w:color="auto" w:fill="8DFF00"/>
        </w:rPr>
        <w:t xml:space="preserve"> </w:t>
      </w:r>
      <w:r>
        <w:rPr>
          <w:rFonts w:ascii="Times New Roman" w:hAnsi="Times New Roman" w:eastAsia="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Pr>
          <w:rFonts w:ascii="Times New Roman" w:hAnsi="Times New Roman" w:eastAsia="Times New Roman" w:cs="Times New Roman"/>
          <w:i/>
          <w:iCs/>
        </w:rPr>
        <w:t>HSW</w:t>
      </w:r>
      <w:r>
        <w:rPr>
          <w:rFonts w:ascii="Times New Roman" w:hAnsi="Times New Roman" w:eastAsia="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{"citationID":"jJ5oUpwe","properties":{"formattedCitation":"[29]","plainCitation":"[29]","noteIndex":0},"citationItems":[{"id":323,"uris":["http://zotero.org/users/17274952/items/JY2NY8BU"],"itemData":{"id":323,"type":"book","call-number":"612.76","edition":"4th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lang w:val="pt-BR"/>
        </w:rPr>
        <w:t>[29]</w:t>
      </w:r>
      <w:r>
        <w:rPr>
          <w:rFonts w:ascii="Times New Roman" w:hAnsi="Times New Roman" w:eastAsia="Times New Roman" w:cs="Times New Roman"/>
        </w:rPr>
        <w:fldChar w:fldCharType="end"/>
      </w:r>
      <w:r>
        <w:rPr>
          <w:rFonts w:ascii="Times New Roman" w:hAnsi="Times New Roman" w:eastAsia="Times New Roman" w:cs="Times New Roman"/>
        </w:rPr>
        <w:t xml:space="preserve">. Todos os parâmetros avaliados poderão comparar estratégias de estabilidade e caracterizar os perfis de cada modalidade. As variáveis coletadas, métodos de medição e justificativa que serão correlacionados ao nível de desempenho do </w:t>
      </w:r>
      <w:r>
        <w:rPr>
          <w:rFonts w:ascii="Times New Roman" w:hAnsi="Times New Roman" w:eastAsia="Times New Roman" w:cs="Times New Roman"/>
          <w:i/>
          <w:iCs/>
        </w:rPr>
        <w:t>HS</w:t>
      </w:r>
      <w:r>
        <w:rPr>
          <w:rFonts w:ascii="Times New Roman" w:hAnsi="Times New Roman" w:eastAsia="Times New Roman" w:cs="Times New Roman"/>
        </w:rPr>
        <w:t xml:space="preserve"> estão apresentadas no Quadro 1 </w:t>
      </w:r>
      <w:bookmarkStart w:id="3" w:name="docs-internal-guid-8216d3de-7fff-2599-8c"/>
      <w:bookmarkEnd w:id="3"/>
      <w:r>
        <w:rPr>
          <w:rFonts w:ascii="Times New Roman" w:hAnsi="Times New Roman" w:eastAsia="Times New Roman" w:cs="Times New Roman"/>
        </w:rPr>
        <w:t xml:space="preserve">e as correlacionadas ao nível de desempenho do </w:t>
      </w:r>
      <w:r>
        <w:rPr>
          <w:rFonts w:ascii="Times New Roman" w:hAnsi="Times New Roman" w:eastAsia="Times New Roman" w:cs="Times New Roman"/>
          <w:i/>
          <w:iCs/>
        </w:rPr>
        <w:t>HSW</w:t>
      </w:r>
      <w:r>
        <w:rPr>
          <w:rFonts w:ascii="Times New Roman" w:hAnsi="Times New Roman" w:eastAsia="Times New Roman" w:cs="Times New Roman"/>
        </w:rPr>
        <w:t xml:space="preserve"> no Quadro 2.</w:t>
      </w:r>
      <w:bookmarkStart w:id="4" w:name="_heading=h.3d7ijnhyh4lu_Copia_1"/>
      <w:bookmarkEnd w:id="4"/>
    </w:p>
    <w:p w14:paraId="188BD1DF">
      <w:pPr>
        <w:spacing w:line="360" w:lineRule="auto"/>
        <w:ind w:firstLine="426"/>
        <w:rPr>
          <w:rFonts w:ascii="Times New Roman" w:hAnsi="Times New Roman" w:eastAsia="Times New Roman" w:cs="Times New Roman"/>
        </w:rPr>
      </w:pPr>
      <w:r>
        <w:rPr>
          <w:rFonts w:ascii="Times New Roman" w:hAnsi="Times New Roman" w:eastAsia="Times New Roman" w:cs="Times New Roman"/>
        </w:rPr>
        <w:t xml:space="preserve">QUADRO 1 – Variáveis relacionadas ao desempenho no </w:t>
      </w:r>
      <w:r>
        <w:rPr>
          <w:rFonts w:ascii="Times New Roman" w:hAnsi="Times New Roman" w:eastAsia="Times New Roman" w:cs="Times New Roman"/>
          <w:i/>
          <w:iCs/>
        </w:rPr>
        <w:t>HS</w:t>
      </w:r>
      <w:r>
        <w:rPr>
          <w:rFonts w:ascii="Times New Roman" w:hAnsi="Times New Roman" w:eastAsia="Times New Roman" w:cs="Times New Roman"/>
        </w:rPr>
        <w:t>.</w:t>
      </w:r>
    </w:p>
    <w:tbl>
      <w:tblPr>
        <w:tblStyle w:val="7"/>
        <w:tblW w:w="11718" w:type="dxa"/>
        <w:jc w:val="center"/>
        <w:tblLayout w:type="fixed"/>
        <w:tblCellMar>
          <w:top w:w="0" w:type="dxa"/>
          <w:left w:w="108" w:type="dxa"/>
          <w:bottom w:w="0" w:type="dxa"/>
          <w:right w:w="108" w:type="dxa"/>
        </w:tblCellMar>
      </w:tblPr>
      <w:tblGrid>
        <w:gridCol w:w="2992"/>
        <w:gridCol w:w="2532"/>
        <w:gridCol w:w="2532"/>
        <w:gridCol w:w="3662"/>
      </w:tblGrid>
      <w:tr w14:paraId="08901776">
        <w:tblPrEx>
          <w:tblCellMar>
            <w:top w:w="0" w:type="dxa"/>
            <w:left w:w="108" w:type="dxa"/>
            <w:bottom w:w="0" w:type="dxa"/>
            <w:right w:w="108" w:type="dxa"/>
          </w:tblCellMar>
        </w:tblPrEx>
        <w:trPr>
          <w:tblHeader/>
          <w:jc w:val="center"/>
        </w:trPr>
        <w:tc>
          <w:tcPr>
            <w:tcW w:w="29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FF26FC">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Variável</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6AE53D">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877C9F">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Método de Medição</w:t>
            </w:r>
          </w:p>
        </w:tc>
        <w:tc>
          <w:tcPr>
            <w:tcW w:w="366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C4A8E3">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Justificativa</w:t>
            </w:r>
          </w:p>
        </w:tc>
      </w:tr>
      <w:tr w14:paraId="5B65BD3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AE0BB3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Tempo médio de sustentação</w:t>
            </w:r>
            <w:r>
              <w:rPr>
                <w:rFonts w:hint="default" w:ascii="Times New Roman" w:hAnsi="Times New Roman" w:eastAsia="Times New Roman" w:cs="Times New Roman"/>
                <w:lang w:val="pt-BR"/>
              </w:rPr>
              <w:t xml:space="preserve">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374F73B">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3A7C2E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9079A0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43ACE8A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manutenção do equilíbrio.</w:t>
            </w:r>
          </w:p>
        </w:tc>
      </w:tr>
      <w:tr w14:paraId="5F430EE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1459FE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Autonomia de Estabilização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EF9428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Binária (Sucesso / Falha)</w:t>
            </w:r>
          </w:p>
        </w:tc>
        <w:tc>
          <w:tcPr>
            <w:tcW w:w="2532" w:type="dxa"/>
            <w:tcBorders>
              <w:top w:val="single" w:color="000000" w:sz="4" w:space="0"/>
              <w:left w:val="single" w:color="000000" w:sz="4" w:space="0"/>
              <w:bottom w:val="single" w:color="000000" w:sz="4" w:space="0"/>
              <w:right w:val="single" w:color="000000" w:sz="4" w:space="0"/>
            </w:tcBorders>
            <w:vAlign w:val="center"/>
          </w:tcPr>
          <w:p w14:paraId="1D8A451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D8ABFC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5AC258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Times New Roman" w:cs="Times New Roman"/>
                <w:sz w:val="24"/>
                <w:szCs w:val="24"/>
                <w:lang w:val="en-US" w:eastAsia="zh-CN" w:bidi="ar-SA"/>
              </w:rPr>
              <w:t>Avalia o êxito na entrada autônoma e estabilização livre por ≥</w:t>
            </w:r>
            <w:r>
              <w:rPr>
                <w:rFonts w:hint="default" w:ascii="Times New Roman" w:hAnsi="Times New Roman" w:eastAsia="Times New Roman" w:cs="Times New Roman"/>
                <w:sz w:val="24"/>
                <w:szCs w:val="24"/>
                <w:lang w:val="pt-BR" w:eastAsia="zh-CN" w:bidi="ar-SA"/>
              </w:rPr>
              <w:t>3</w:t>
            </w:r>
            <w:r>
              <w:rPr>
                <w:rFonts w:hint="default" w:ascii="Times New Roman" w:hAnsi="Times New Roman" w:eastAsia="Times New Roman" w:cs="Times New Roman"/>
                <w:sz w:val="24"/>
                <w:szCs w:val="24"/>
                <w:lang w:val="en-US" w:eastAsia="zh-CN" w:bidi="ar-SA"/>
              </w:rPr>
              <w:t xml:space="preserve">s. </w:t>
            </w:r>
          </w:p>
        </w:tc>
      </w:tr>
      <w:tr w14:paraId="0F04AB69">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9188E1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32" w:type="dxa"/>
            <w:tcBorders>
              <w:top w:val="single" w:color="000000" w:sz="4" w:space="0"/>
              <w:left w:val="single" w:color="000000" w:sz="4" w:space="0"/>
              <w:bottom w:val="single" w:color="000000" w:sz="4" w:space="0"/>
              <w:right w:val="single" w:color="000000" w:sz="4" w:space="0"/>
            </w:tcBorders>
            <w:vAlign w:val="center"/>
          </w:tcPr>
          <w:p w14:paraId="54BD82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6E10018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716F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4692F66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Eficiência do alinhamento angular segmentar 3D absoluto entre ombro e quadril.</w:t>
            </w:r>
          </w:p>
        </w:tc>
      </w:tr>
      <w:tr w14:paraId="666E8B9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23E0E0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32" w:type="dxa"/>
            <w:tcBorders>
              <w:top w:val="single" w:color="000000" w:sz="4" w:space="0"/>
              <w:left w:val="single" w:color="000000" w:sz="4" w:space="0"/>
              <w:bottom w:val="single" w:color="000000" w:sz="4" w:space="0"/>
              <w:right w:val="single" w:color="000000" w:sz="4" w:space="0"/>
            </w:tcBorders>
            <w:vAlign w:val="center"/>
          </w:tcPr>
          <w:p w14:paraId="73C5241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28B0DAA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6CCF3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313385CA">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ans-serif" w:cs="Times New Roman"/>
                <w:kern w:val="0"/>
                <w:sz w:val="24"/>
                <w:szCs w:val="24"/>
                <w:lang w:val="en-US" w:eastAsia="zh-CN" w:bidi="ar"/>
              </w:rPr>
              <w:t>Influência da orientação da cabeça no feedback visual e organização postural.</w:t>
            </w:r>
            <w:r>
              <w:rPr>
                <w:rFonts w:hint="default" w:ascii="Times New Roman" w:hAnsi="Times New Roman" w:eastAsia="SimSun" w:cs="Times New Roman"/>
                <w:kern w:val="0"/>
                <w:sz w:val="24"/>
                <w:szCs w:val="24"/>
                <w:lang w:val="en-US" w:eastAsia="zh-CN" w:bidi="ar"/>
              </w:rPr>
              <w:t xml:space="preserve"> </w:t>
            </w:r>
          </w:p>
        </w:tc>
      </w:tr>
      <w:tr w14:paraId="2D777F44">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73F03A4">
            <w:pPr>
              <w:rPr>
                <w:rFonts w:hint="default" w:ascii="Times New Roman" w:hAnsi="Times New Roman" w:cs="Times New Roman"/>
                <w:lang w:val="pt-BR"/>
              </w:rPr>
            </w:pPr>
            <w:r>
              <w:rPr>
                <w:rFonts w:hint="default" w:ascii="Times New Roman" w:hAnsi="Times New Roman" w:cs="Times New Roman"/>
              </w:rPr>
              <w:t xml:space="preserve">Flexão Plantar do Tornozelo </w:t>
            </w:r>
          </w:p>
        </w:tc>
        <w:tc>
          <w:tcPr>
            <w:tcW w:w="2532" w:type="dxa"/>
            <w:tcBorders>
              <w:top w:val="single" w:color="000000" w:sz="4" w:space="0"/>
              <w:left w:val="single" w:color="000000" w:sz="4" w:space="0"/>
              <w:bottom w:val="single" w:color="000000" w:sz="4" w:space="0"/>
              <w:right w:val="single" w:color="000000" w:sz="4" w:space="0"/>
            </w:tcBorders>
            <w:vAlign w:val="center"/>
          </w:tcPr>
          <w:p w14:paraId="5868CB16">
            <w:pPr>
              <w:rPr>
                <w:rFonts w:hint="default" w:ascii="Times New Roman" w:hAnsi="Times New Roman" w:cs="Times New Roman"/>
                <w:lang w:val="pt-BR"/>
              </w:rPr>
            </w:pPr>
            <w:r>
              <w:rPr>
                <w:rFonts w:hint="default" w:ascii="Times New Roman" w:hAnsi="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41E533FB">
            <w:pPr>
              <w:rPr>
                <w:rFonts w:hint="default" w:ascii="Times New Roman" w:hAnsi="Times New Roman" w:cs="Times New Roman"/>
              </w:rPr>
            </w:pPr>
            <w:r>
              <w:rPr>
                <w:rFonts w:hint="default" w:ascii="Times New Roman" w:hAnsi="Times New Roman" w:cs="Times New Roman"/>
              </w:rPr>
              <w:t xml:space="preserve">Captura de Movimento </w:t>
            </w:r>
          </w:p>
          <w:p w14:paraId="26CE6D70">
            <w:pPr>
              <w:rPr>
                <w:rFonts w:hint="default" w:ascii="Times New Roman" w:hAnsi="Times New Roman" w:cs="Times New Roman"/>
              </w:rPr>
            </w:pPr>
            <w:r>
              <w:rPr>
                <w:rFonts w:hint="default" w:ascii="Times New Roman" w:hAnsi="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5C8D7A68">
            <w:pPr>
              <w:rPr>
                <w:rFonts w:hint="default" w:ascii="Times New Roman" w:hAnsi="Times New Roman" w:cs="Times New Roman"/>
                <w:lang w:val="pt-BR" w:eastAsia="zh-CN"/>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E59BBC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1309FA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Base de apoio</w:t>
            </w:r>
          </w:p>
        </w:tc>
        <w:tc>
          <w:tcPr>
            <w:tcW w:w="2532" w:type="dxa"/>
            <w:tcBorders>
              <w:top w:val="single" w:color="000000" w:sz="4" w:space="0"/>
              <w:left w:val="single" w:color="000000" w:sz="4" w:space="0"/>
              <w:bottom w:val="single" w:color="000000" w:sz="4" w:space="0"/>
              <w:right w:val="single" w:color="000000" w:sz="4" w:space="0"/>
            </w:tcBorders>
            <w:vAlign w:val="center"/>
          </w:tcPr>
          <w:p w14:paraId="215C7C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0168BE1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50CFE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9445ABB">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linear entre as articulações dos punhos na base.</w:t>
            </w:r>
          </w:p>
        </w:tc>
      </w:tr>
      <w:tr w14:paraId="0E9DA64D">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A222E5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32" w:type="dxa"/>
            <w:tcBorders>
              <w:top w:val="single" w:color="000000" w:sz="4" w:space="0"/>
              <w:left w:val="single" w:color="000000" w:sz="4" w:space="0"/>
              <w:bottom w:val="single" w:color="000000" w:sz="4" w:space="0"/>
              <w:right w:val="single" w:color="000000" w:sz="4" w:space="0"/>
            </w:tcBorders>
            <w:vAlign w:val="center"/>
          </w:tcPr>
          <w:p w14:paraId="53E00FE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Graus (°)</w:t>
            </w:r>
          </w:p>
        </w:tc>
        <w:tc>
          <w:tcPr>
            <w:tcW w:w="2532" w:type="dxa"/>
            <w:tcBorders>
              <w:top w:val="single" w:color="000000" w:sz="4" w:space="0"/>
              <w:left w:val="single" w:color="000000" w:sz="4" w:space="0"/>
              <w:bottom w:val="single" w:color="000000" w:sz="4" w:space="0"/>
              <w:right w:val="single" w:color="000000" w:sz="4" w:space="0"/>
            </w:tcBorders>
            <w:vAlign w:val="center"/>
          </w:tcPr>
          <w:p w14:paraId="2D431B7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C57F19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34DC9DC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 de rotação externa das mãos sobre o solo como estratégia compensatória.</w:t>
            </w:r>
          </w:p>
        </w:tc>
      </w:tr>
      <w:tr w14:paraId="2CA5C87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7CF4A6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Velocidade do CoP</w:t>
            </w:r>
          </w:p>
        </w:tc>
        <w:tc>
          <w:tcPr>
            <w:tcW w:w="2532" w:type="dxa"/>
            <w:tcBorders>
              <w:top w:val="single" w:color="000000" w:sz="4" w:space="0"/>
              <w:left w:val="single" w:color="000000" w:sz="4" w:space="0"/>
              <w:bottom w:val="single" w:color="000000" w:sz="4" w:space="0"/>
              <w:right w:val="single" w:color="000000" w:sz="4" w:space="0"/>
            </w:tcBorders>
            <w:vAlign w:val="center"/>
          </w:tcPr>
          <w:p w14:paraId="0F04989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mm/s</w:t>
            </w:r>
          </w:p>
        </w:tc>
        <w:tc>
          <w:tcPr>
            <w:tcW w:w="2532" w:type="dxa"/>
            <w:tcBorders>
              <w:top w:val="single" w:color="000000" w:sz="4" w:space="0"/>
              <w:left w:val="single" w:color="000000" w:sz="4" w:space="0"/>
              <w:bottom w:val="single" w:color="000000" w:sz="4" w:space="0"/>
              <w:right w:val="single" w:color="000000" w:sz="4" w:space="0"/>
            </w:tcBorders>
            <w:vAlign w:val="center"/>
          </w:tcPr>
          <w:p w14:paraId="7665DE0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3D02B9F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Expressa a frequência e a rapidez do esforço neuromuscular corretivo.</w:t>
            </w:r>
          </w:p>
        </w:tc>
      </w:tr>
      <w:tr w14:paraId="5022C843">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20D3F0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Entropia Aproximada (</w:t>
            </w:r>
            <w:r>
              <w:rPr>
                <w:rFonts w:hint="default" w:ascii="Times New Roman" w:hAnsi="Times New Roman" w:eastAsia="Times New Roman" w:cs="Times New Roman"/>
              </w:rPr>
              <w:t>ApEn</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1D4030F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137D7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4651EDF6">
            <w:pPr>
              <w:spacing w:line="360" w:lineRule="auto"/>
              <w:jc w:val="left"/>
              <w:rPr>
                <w:rFonts w:hint="default" w:ascii="Times New Roman" w:hAnsi="Times New Roman" w:cs="Times New Roman"/>
              </w:rPr>
            </w:pPr>
            <w:r>
              <w:rPr>
                <w:rFonts w:hint="default" w:ascii="Times New Roman" w:hAnsi="Times New Roman" w:eastAsia="SimSun" w:cs="Times New Roman"/>
                <w:sz w:val="24"/>
                <w:szCs w:val="24"/>
              </w:rPr>
              <w:t>Mensura a regularidade, complexidade e automaticidade do controle postural.</w:t>
            </w:r>
          </w:p>
        </w:tc>
      </w:tr>
      <w:tr w14:paraId="19E6843A">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CB981D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Distância média entre CoP-CoM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70817CB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663F49E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3B7C2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 + 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7BAC3E7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Quantifica o erro real de equilíbrio (braço de momento do torque gravitacional).</w:t>
            </w:r>
          </w:p>
        </w:tc>
      </w:tr>
      <w:tr w14:paraId="32BA1A80">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F1F3A3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Pico de torque</w:t>
            </w:r>
            <w:r>
              <w:rPr>
                <w:rFonts w:hint="default" w:ascii="Times New Roman" w:hAnsi="Times New Roman" w:eastAsia="Times New Roman" w:cs="Times New Roman"/>
              </w:rPr>
              <w:t xml:space="preserve"> flexores de punhos</w:t>
            </w:r>
            <w:r>
              <w:rPr>
                <w:rFonts w:hint="default" w:ascii="Times New Roman" w:hAnsi="Times New Roman" w:eastAsia="Times New Roman" w:cs="Times New Roman"/>
                <w:lang w:val="pt-BR"/>
              </w:rPr>
              <w:t xml:space="preserve"> (FFP)</w:t>
            </w:r>
          </w:p>
        </w:tc>
        <w:tc>
          <w:tcPr>
            <w:tcW w:w="2532" w:type="dxa"/>
            <w:tcBorders>
              <w:top w:val="single" w:color="000000" w:sz="4" w:space="0"/>
              <w:left w:val="single" w:color="000000" w:sz="4" w:space="0"/>
              <w:bottom w:val="single" w:color="000000" w:sz="4" w:space="0"/>
              <w:right w:val="single" w:color="000000" w:sz="4" w:space="0"/>
            </w:tcBorders>
            <w:vAlign w:val="center"/>
          </w:tcPr>
          <w:p w14:paraId="1F4E18B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N·m/kg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C08BC5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662" w:type="dxa"/>
            <w:tcBorders>
              <w:top w:val="single" w:color="000000" w:sz="4" w:space="0"/>
              <w:left w:val="single" w:color="000000" w:sz="4" w:space="0"/>
              <w:bottom w:val="single" w:color="000000" w:sz="4" w:space="0"/>
              <w:right w:val="single" w:color="000000" w:sz="4" w:space="0"/>
            </w:tcBorders>
            <w:vAlign w:val="center"/>
          </w:tcPr>
          <w:p w14:paraId="362E8BE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de torque no ângulo funcional de teste (70° extensão).</w:t>
            </w:r>
          </w:p>
        </w:tc>
      </w:tr>
      <w:tr w14:paraId="1F601C1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897647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Força de preensão manual (FPM)</w:t>
            </w:r>
          </w:p>
        </w:tc>
        <w:tc>
          <w:tcPr>
            <w:tcW w:w="2532" w:type="dxa"/>
            <w:tcBorders>
              <w:top w:val="single" w:color="000000" w:sz="4" w:space="0"/>
              <w:left w:val="single" w:color="000000" w:sz="4" w:space="0"/>
              <w:bottom w:val="single" w:color="000000" w:sz="4" w:space="0"/>
              <w:right w:val="single" w:color="000000" w:sz="4" w:space="0"/>
            </w:tcBorders>
            <w:vAlign w:val="center"/>
          </w:tcPr>
          <w:p w14:paraId="6FBD6DD2">
            <w:pPr>
              <w:spacing w:line="360" w:lineRule="auto"/>
              <w:jc w:val="left"/>
              <w:rPr>
                <w:rFonts w:hint="default" w:ascii="Times New Roman" w:hAnsi="Times New Roman" w:eastAsia="Times New Roman" w:cs="Times New Roman"/>
              </w:rPr>
            </w:pPr>
            <w:r>
              <w:rPr>
                <w:rFonts w:ascii="SimSun" w:hAnsi="SimSun" w:eastAsia="SimSun" w:cs="SimSun"/>
                <w:sz w:val="24"/>
                <w:szCs w:val="24"/>
              </w:rPr>
              <w:t>kgf/kg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2F5D30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Dinamômetro Hidráulico (Saehan® SH5001)</w:t>
            </w:r>
          </w:p>
        </w:tc>
        <w:tc>
          <w:tcPr>
            <w:tcW w:w="3662" w:type="dxa"/>
            <w:tcBorders>
              <w:top w:val="single" w:color="000000" w:sz="4" w:space="0"/>
              <w:left w:val="single" w:color="000000" w:sz="4" w:space="0"/>
              <w:bottom w:val="single" w:color="000000" w:sz="4" w:space="0"/>
              <w:right w:val="single" w:color="000000" w:sz="4" w:space="0"/>
            </w:tcBorders>
            <w:vAlign w:val="center"/>
          </w:tcPr>
          <w:p w14:paraId="3BAE0E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da força digital para microajustes de pressão.</w:t>
            </w:r>
          </w:p>
        </w:tc>
      </w:tr>
      <w:tr w14:paraId="69BCD1F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52288FA">
            <w:pPr>
              <w:spacing w:line="360" w:lineRule="auto"/>
              <w:jc w:val="left"/>
              <w:rPr>
                <w:rFonts w:hint="default" w:ascii="Times New Roman" w:hAnsi="Times New Roman" w:eastAsia="Times New Roman" w:cs="Times New Roman"/>
                <w:i/>
                <w:iCs/>
                <w:lang w:val="pt-BR"/>
              </w:rPr>
            </w:pPr>
            <w:r>
              <w:rPr>
                <w:rFonts w:hint="default" w:ascii="Times New Roman" w:hAnsi="Times New Roman" w:eastAsia="Times New Roman" w:cs="Times New Roman"/>
              </w:rPr>
              <w:t>Força máxima relativa à massa corporal no shoulder press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SP</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280ED5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Kg/Kg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8EDCAD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Teste de 1-RM</w:t>
            </w:r>
          </w:p>
        </w:tc>
        <w:tc>
          <w:tcPr>
            <w:tcW w:w="3662" w:type="dxa"/>
            <w:tcBorders>
              <w:top w:val="single" w:color="000000" w:sz="4" w:space="0"/>
              <w:left w:val="single" w:color="000000" w:sz="4" w:space="0"/>
              <w:bottom w:val="single" w:color="000000" w:sz="4" w:space="0"/>
              <w:right w:val="single" w:color="000000" w:sz="4" w:space="0"/>
            </w:tcBorders>
            <w:vAlign w:val="center"/>
          </w:tcPr>
          <w:p w14:paraId="358C7DA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Capacidade relativa de suporte e estabilidade articular do complexo do ombro.</w:t>
            </w:r>
          </w:p>
        </w:tc>
      </w:tr>
      <w:tr w14:paraId="7192C65B">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BD1002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Resistência em posição invertida (</w:t>
            </w:r>
            <w:r>
              <w:rPr>
                <w:rFonts w:hint="default" w:ascii="Times New Roman" w:hAnsi="Times New Roman" w:eastAsia="Times New Roman" w:cs="Times New Roman"/>
                <w:i/>
                <w:iCs/>
              </w:rPr>
              <w:t>wall-supported HS</w:t>
            </w:r>
            <w:r>
              <w:rPr>
                <w:rFonts w:hint="default" w:ascii="Times New Roman" w:hAnsi="Times New Roman" w:eastAsia="Times New Roman" w:cs="Times New Roman"/>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09441101">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6C007E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662" w:type="dxa"/>
            <w:tcBorders>
              <w:top w:val="single" w:color="000000" w:sz="4" w:space="0"/>
              <w:left w:val="single" w:color="000000" w:sz="4" w:space="0"/>
              <w:bottom w:val="single" w:color="000000" w:sz="4" w:space="0"/>
              <w:right w:val="single" w:color="000000" w:sz="4" w:space="0"/>
            </w:tcBorders>
            <w:vAlign w:val="center"/>
          </w:tcPr>
          <w:p w14:paraId="69FB87B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isométrica dos membros superiores em suporte vertical.</w:t>
            </w:r>
          </w:p>
        </w:tc>
      </w:tr>
      <w:tr w14:paraId="4D39B1C7">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6D07E7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2237380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2790097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BC83EE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2C22C70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Determina a altura do pêndulo invertido e a instabilidade mecânica intrínseca.</w:t>
            </w:r>
          </w:p>
        </w:tc>
      </w:tr>
      <w:tr w14:paraId="6AD48F0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9660A84">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Comprimentos dos Membros</w:t>
            </w:r>
            <w:r>
              <w:rPr>
                <w:rFonts w:hint="default" w:ascii="Times New Roman" w:hAnsi="Times New Roman" w:eastAsia="Times New Roman" w:cs="Times New Roman"/>
                <w:lang w:val="pt-BR"/>
              </w:rPr>
              <w:t xml:space="preserve"> Superiores</w:t>
            </w:r>
          </w:p>
        </w:tc>
        <w:tc>
          <w:tcPr>
            <w:tcW w:w="2532" w:type="dxa"/>
            <w:tcBorders>
              <w:top w:val="single" w:color="000000" w:sz="4" w:space="0"/>
              <w:left w:val="single" w:color="000000" w:sz="4" w:space="0"/>
              <w:bottom w:val="single" w:color="000000" w:sz="4" w:space="0"/>
              <w:right w:val="single" w:color="000000" w:sz="4" w:space="0"/>
            </w:tcBorders>
            <w:vAlign w:val="center"/>
          </w:tcPr>
          <w:p w14:paraId="7393A9E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1AAE41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01393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0BFC584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Efeito do braço de alavanca anatômico na magnitude dos torques corretores.</w:t>
            </w:r>
          </w:p>
        </w:tc>
      </w:tr>
      <w:tr w14:paraId="3CF3178E">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7813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32" w:type="dxa"/>
            <w:tcBorders>
              <w:top w:val="single" w:color="000000" w:sz="4" w:space="0"/>
              <w:left w:val="single" w:color="000000" w:sz="4" w:space="0"/>
              <w:bottom w:val="single" w:color="000000" w:sz="4" w:space="0"/>
              <w:right w:val="single" w:color="000000" w:sz="4" w:space="0"/>
            </w:tcBorders>
            <w:vAlign w:val="center"/>
          </w:tcPr>
          <w:p w14:paraId="1FB609E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2AC208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662" w:type="dxa"/>
            <w:tcBorders>
              <w:top w:val="single" w:color="000000" w:sz="4" w:space="0"/>
              <w:left w:val="single" w:color="000000" w:sz="4" w:space="0"/>
              <w:bottom w:val="single" w:color="000000" w:sz="4" w:space="0"/>
              <w:right w:val="single" w:color="000000" w:sz="4" w:space="0"/>
            </w:tcBorders>
            <w:vAlign w:val="center"/>
          </w:tcPr>
          <w:p w14:paraId="1069912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Impacto da adiposidade (massa inerte) e massa magra na capacidade de sustentação.</w:t>
            </w:r>
          </w:p>
        </w:tc>
      </w:tr>
      <w:tr w14:paraId="2D5EC2E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3004A0F">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32" w:type="dxa"/>
            <w:tcBorders>
              <w:top w:val="single" w:color="000000" w:sz="4" w:space="0"/>
              <w:left w:val="single" w:color="000000" w:sz="4" w:space="0"/>
              <w:bottom w:val="single" w:color="000000" w:sz="4" w:space="0"/>
              <w:right w:val="single" w:color="000000" w:sz="4" w:space="0"/>
            </w:tcBorders>
            <w:vAlign w:val="center"/>
          </w:tcPr>
          <w:p w14:paraId="4E95CFF4">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D25C32B">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6CBD186B">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41CB342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1029603">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32" w:type="dxa"/>
            <w:tcBorders>
              <w:top w:val="single" w:color="000000" w:sz="4" w:space="0"/>
              <w:left w:val="single" w:color="000000" w:sz="4" w:space="0"/>
              <w:bottom w:val="single" w:color="000000" w:sz="4" w:space="0"/>
              <w:right w:val="single" w:color="000000" w:sz="4" w:space="0"/>
            </w:tcBorders>
            <w:vAlign w:val="center"/>
          </w:tcPr>
          <w:p w14:paraId="037B820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Anos</w:t>
            </w:r>
          </w:p>
        </w:tc>
        <w:tc>
          <w:tcPr>
            <w:tcW w:w="2532" w:type="dxa"/>
            <w:tcBorders>
              <w:top w:val="single" w:color="000000" w:sz="4" w:space="0"/>
              <w:left w:val="single" w:color="000000" w:sz="4" w:space="0"/>
              <w:bottom w:val="single" w:color="000000" w:sz="4" w:space="0"/>
              <w:right w:val="single" w:color="000000" w:sz="4" w:space="0"/>
            </w:tcBorders>
            <w:vAlign w:val="center"/>
          </w:tcPr>
          <w:p w14:paraId="4DAE384E">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10AC96E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613C078A">
      <w:pPr>
        <w:spacing w:line="360" w:lineRule="auto"/>
        <w:ind w:firstLine="708"/>
        <w:rPr>
          <w:rFonts w:ascii="Times New Roman" w:hAnsi="Times New Roman" w:eastAsia="Times New Roman" w:cs="Times New Roman"/>
        </w:rPr>
      </w:pPr>
      <w:r>
        <w:rPr>
          <w:rFonts w:ascii="Times New Roman" w:hAnsi="Times New Roman" w:eastAsia="Times New Roman" w:cs="Times New Roman"/>
        </w:rPr>
        <w:t>Fonte: Elaborado pelo autor (2025).</w:t>
      </w:r>
    </w:p>
    <w:p w14:paraId="5C2A99B7">
      <w:pPr>
        <w:spacing w:line="360" w:lineRule="auto"/>
        <w:rPr>
          <w:rFonts w:ascii="Times New Roman" w:hAnsi="Times New Roman" w:eastAsia="Times New Roman" w:cs="Times New Roman"/>
        </w:rPr>
      </w:pPr>
      <w:r>
        <w:rPr>
          <w:rFonts w:ascii="Times New Roman" w:hAnsi="Times New Roman" w:eastAsia="Times New Roman" w:cs="Times New Roman"/>
        </w:rPr>
        <w:t xml:space="preserve">QUADRO 2 – Variáveis relacionadas ao desempenho no </w:t>
      </w:r>
      <w:r>
        <w:rPr>
          <w:rFonts w:ascii="Times New Roman" w:hAnsi="Times New Roman" w:eastAsia="Times New Roman" w:cs="Times New Roman"/>
          <w:i/>
          <w:iCs/>
        </w:rPr>
        <w:t>HSW</w:t>
      </w:r>
      <w:r>
        <w:rPr>
          <w:rFonts w:ascii="Times New Roman" w:hAnsi="Times New Roman" w:eastAsia="Times New Roman" w:cs="Times New Roman"/>
        </w:rPr>
        <w:t>.</w:t>
      </w:r>
    </w:p>
    <w:tbl>
      <w:tblPr>
        <w:tblStyle w:val="7"/>
        <w:tblpPr w:leftFromText="180" w:rightFromText="180" w:vertAnchor="text" w:horzAnchor="page" w:tblpX="367" w:tblpY="425"/>
        <w:tblOverlap w:val="never"/>
        <w:tblW w:w="11634" w:type="dxa"/>
        <w:tblInd w:w="0" w:type="dxa"/>
        <w:tblLayout w:type="fixed"/>
        <w:tblCellMar>
          <w:top w:w="0" w:type="dxa"/>
          <w:left w:w="108" w:type="dxa"/>
          <w:bottom w:w="0" w:type="dxa"/>
          <w:right w:w="108" w:type="dxa"/>
        </w:tblCellMar>
      </w:tblPr>
      <w:tblGrid>
        <w:gridCol w:w="2970"/>
        <w:gridCol w:w="2552"/>
        <w:gridCol w:w="2552"/>
        <w:gridCol w:w="3560"/>
      </w:tblGrid>
      <w:tr w14:paraId="72B9A940">
        <w:tblPrEx>
          <w:tblCellMar>
            <w:top w:w="0" w:type="dxa"/>
            <w:left w:w="108" w:type="dxa"/>
            <w:bottom w:w="0" w:type="dxa"/>
            <w:right w:w="108" w:type="dxa"/>
          </w:tblCellMar>
        </w:tblPrEx>
        <w:trPr>
          <w:tblHeader/>
        </w:trPr>
        <w:tc>
          <w:tcPr>
            <w:tcW w:w="297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57D745">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Variável</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6C7E5E">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EA7171">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Método de Medição</w:t>
            </w:r>
          </w:p>
        </w:tc>
        <w:tc>
          <w:tcPr>
            <w:tcW w:w="356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0EF429">
            <w:pPr>
              <w:spacing w:line="360" w:lineRule="auto"/>
              <w:jc w:val="left"/>
              <w:rPr>
                <w:rFonts w:ascii="Times New Roman" w:hAnsi="Times New Roman" w:eastAsia="Times New Roman" w:cs="Times New Roman"/>
                <w:b/>
                <w:bCs/>
              </w:rPr>
            </w:pPr>
            <w:r>
              <w:rPr>
                <w:rFonts w:ascii="Times New Roman" w:hAnsi="Times New Roman" w:eastAsia="Times New Roman" w:cs="Times New Roman"/>
                <w:b/>
                <w:bCs/>
              </w:rPr>
              <w:t>Justificativa</w:t>
            </w:r>
          </w:p>
        </w:tc>
      </w:tr>
      <w:tr w14:paraId="5C8EBA1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79EECB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 xml:space="preserve">Mediana da </w:t>
            </w:r>
            <w:r>
              <w:rPr>
                <w:rFonts w:hint="default" w:ascii="Times New Roman" w:hAnsi="Times New Roman" w:eastAsia="Times New Roman" w:cs="Times New Roman"/>
              </w:rPr>
              <w:t xml:space="preserve">Distância </w:t>
            </w:r>
            <w:r>
              <w:rPr>
                <w:rFonts w:hint="default" w:ascii="Times New Roman" w:hAnsi="Times New Roman" w:eastAsia="Times New Roman" w:cs="Times New Roman"/>
                <w:lang w:val="pt-BR"/>
              </w:rPr>
              <w:t>P</w:t>
            </w:r>
            <w:r>
              <w:rPr>
                <w:rFonts w:hint="default" w:ascii="Times New Roman" w:hAnsi="Times New Roman" w:eastAsia="Times New Roman" w:cs="Times New Roman"/>
              </w:rPr>
              <w:t>ercorrida</w:t>
            </w:r>
            <w:r>
              <w:rPr>
                <w:rFonts w:hint="default" w:ascii="Times New Roman" w:hAnsi="Times New Roman" w:eastAsia="Times New Roman" w:cs="Times New Roman"/>
                <w:lang w:val="pt-BR"/>
              </w:rPr>
              <w:t xml:space="preserve"> (desfecho)</w:t>
            </w:r>
          </w:p>
        </w:tc>
        <w:tc>
          <w:tcPr>
            <w:tcW w:w="2552" w:type="dxa"/>
            <w:tcBorders>
              <w:top w:val="single" w:color="000000" w:sz="4" w:space="0"/>
              <w:left w:val="single" w:color="000000" w:sz="4" w:space="0"/>
              <w:bottom w:val="single" w:color="000000" w:sz="4" w:space="0"/>
              <w:right w:val="single" w:color="000000" w:sz="4" w:space="0"/>
            </w:tcBorders>
            <w:vAlign w:val="center"/>
          </w:tcPr>
          <w:p w14:paraId="553973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Metros (m)</w:t>
            </w:r>
          </w:p>
        </w:tc>
        <w:tc>
          <w:tcPr>
            <w:tcW w:w="2552" w:type="dxa"/>
            <w:tcBorders>
              <w:top w:val="single" w:color="000000" w:sz="4" w:space="0"/>
              <w:left w:val="single" w:color="000000" w:sz="4" w:space="0"/>
              <w:bottom w:val="single" w:color="000000" w:sz="4" w:space="0"/>
              <w:right w:val="single" w:color="000000" w:sz="4" w:space="0"/>
            </w:tcBorders>
            <w:vAlign w:val="center"/>
          </w:tcPr>
          <w:p w14:paraId="06EC1B0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D66AC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7ECB692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manter a posição invertida em deslocamento contínuo.</w:t>
            </w:r>
          </w:p>
        </w:tc>
      </w:tr>
      <w:tr w14:paraId="6DF308A5">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69E274B">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Tempo médio de sustentação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0D4A792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1C563D2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3374603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29B615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capacidade de equilíbrio estático para a locomoção dinâmica.</w:t>
            </w:r>
          </w:p>
        </w:tc>
      </w:tr>
      <w:tr w14:paraId="3A84A8E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76A34D">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ApEn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6A4BDC88">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D63BDF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560" w:type="dxa"/>
            <w:tcBorders>
              <w:top w:val="single" w:color="000000" w:sz="4" w:space="0"/>
              <w:left w:val="single" w:color="000000" w:sz="4" w:space="0"/>
              <w:bottom w:val="single" w:color="000000" w:sz="4" w:space="0"/>
              <w:right w:val="single" w:color="000000" w:sz="4" w:space="0"/>
            </w:tcBorders>
            <w:vAlign w:val="center"/>
          </w:tcPr>
          <w:p w14:paraId="067B129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qualidade de controle postural estático para a dinâmica.</w:t>
            </w:r>
          </w:p>
        </w:tc>
      </w:tr>
      <w:tr w14:paraId="70A4382C">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F9F964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Comprimento médio das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A2A220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DE33A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8560B9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808B2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Identifica o padrão de locomoção, distinguindo estratégias de propulsão ou estabilidade.</w:t>
            </w:r>
          </w:p>
        </w:tc>
      </w:tr>
      <w:tr w14:paraId="3886BF8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0BF5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Cadência </w:t>
            </w:r>
          </w:p>
        </w:tc>
        <w:tc>
          <w:tcPr>
            <w:tcW w:w="2552" w:type="dxa"/>
            <w:tcBorders>
              <w:top w:val="single" w:color="000000" w:sz="4" w:space="0"/>
              <w:left w:val="single" w:color="000000" w:sz="4" w:space="0"/>
              <w:bottom w:val="single" w:color="000000" w:sz="4" w:space="0"/>
              <w:right w:val="single" w:color="000000" w:sz="4" w:space="0"/>
            </w:tcBorders>
            <w:vAlign w:val="center"/>
          </w:tcPr>
          <w:p w14:paraId="7253AD45">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Passadas / segundo</w:t>
            </w:r>
          </w:p>
        </w:tc>
        <w:tc>
          <w:tcPr>
            <w:tcW w:w="2552" w:type="dxa"/>
            <w:tcBorders>
              <w:top w:val="single" w:color="000000" w:sz="4" w:space="0"/>
              <w:left w:val="single" w:color="000000" w:sz="4" w:space="0"/>
              <w:bottom w:val="single" w:color="000000" w:sz="4" w:space="0"/>
              <w:right w:val="single" w:color="000000" w:sz="4" w:space="0"/>
            </w:tcBorders>
            <w:vAlign w:val="center"/>
          </w:tcPr>
          <w:p w14:paraId="292C892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0E1C98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0FE581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Avalia a frequência dos apoios e sua relação com eficiência ou fadiga.</w:t>
            </w:r>
          </w:p>
        </w:tc>
      </w:tr>
      <w:tr w14:paraId="3C1C36B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1D7EE5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E</w:t>
            </w:r>
            <w:r>
              <w:rPr>
                <w:rFonts w:hint="default" w:ascii="Times New Roman" w:hAnsi="Times New Roman" w:eastAsia="Times New Roman" w:cs="Times New Roman"/>
              </w:rPr>
              <w:t xml:space="preserve">spacial entre </w:t>
            </w:r>
            <w:r>
              <w:rPr>
                <w:rFonts w:hint="default" w:ascii="Times New Roman" w:hAnsi="Times New Roman" w:eastAsia="Times New Roman" w:cs="Times New Roman"/>
                <w:lang w:val="pt-BR"/>
              </w:rPr>
              <w:t>P</w:t>
            </w:r>
            <w:r>
              <w:rPr>
                <w:rFonts w:hint="default" w:ascii="Times New Roman" w:hAnsi="Times New Roman" w:eastAsia="Times New Roman" w:cs="Times New Roman"/>
              </w:rPr>
              <w:t>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85ABD0C">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EE9515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63DE86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6AE7079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comprimento das passadas (consistência motora)</w:t>
            </w:r>
          </w:p>
        </w:tc>
      </w:tr>
      <w:tr w14:paraId="2D8EF073">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50E38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T</w:t>
            </w:r>
            <w:r>
              <w:rPr>
                <w:rFonts w:hint="default" w:ascii="Times New Roman" w:hAnsi="Times New Roman" w:eastAsia="Times New Roman" w:cs="Times New Roman"/>
              </w:rPr>
              <w:t>emporal  entre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AD809E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71EDEE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D368F7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1296ED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tempo entre passadas (ritmicidade motora)</w:t>
            </w:r>
          </w:p>
        </w:tc>
      </w:tr>
      <w:tr w14:paraId="1423362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AFE99A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52" w:type="dxa"/>
            <w:tcBorders>
              <w:top w:val="single" w:color="000000" w:sz="4" w:space="0"/>
              <w:left w:val="single" w:color="000000" w:sz="4" w:space="0"/>
              <w:bottom w:val="single" w:color="000000" w:sz="4" w:space="0"/>
              <w:right w:val="single" w:color="000000" w:sz="4" w:space="0"/>
            </w:tcBorders>
            <w:vAlign w:val="center"/>
          </w:tcPr>
          <w:p w14:paraId="380DF4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3E735FC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459713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659F54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Alinhamento angular tridimensional médio durante o deslocamento.</w:t>
            </w:r>
          </w:p>
        </w:tc>
      </w:tr>
      <w:tr w14:paraId="0CD9A39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01CAF8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27568">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E2F5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91FF67E">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B916295">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Influência da cabeça na visibilidade e na inclinação de progressão.</w:t>
            </w:r>
          </w:p>
        </w:tc>
      </w:tr>
      <w:tr w14:paraId="1A98BC3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5438F">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Flexão Plantar do Tornozelo </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CB787">
            <w:pPr>
              <w:rPr>
                <w:rFonts w:hint="default" w:ascii="Times New Roman" w:hAnsi="Times New Roman" w:eastAsia="Arial" w:cs="Times New Roman"/>
                <w:sz w:val="24"/>
                <w:szCs w:val="24"/>
                <w:lang w:val="pt-BR" w:eastAsia="pt-BR" w:bidi="ar-SA"/>
              </w:rPr>
            </w:pPr>
            <w:r>
              <w:rPr>
                <w:rFonts w:hint="default" w:ascii="Times New Roman" w:hAnsi="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DE94A">
            <w:pPr>
              <w:rPr>
                <w:rFonts w:hint="default" w:ascii="Times New Roman" w:hAnsi="Times New Roman" w:cs="Times New Roman"/>
              </w:rPr>
            </w:pPr>
            <w:r>
              <w:rPr>
                <w:rFonts w:hint="default" w:ascii="Times New Roman" w:hAnsi="Times New Roman" w:cs="Times New Roman"/>
              </w:rPr>
              <w:t xml:space="preserve">Captura de Movimento </w:t>
            </w:r>
          </w:p>
          <w:p w14:paraId="3CC5A01D">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(Vicon®) </w:t>
            </w:r>
          </w:p>
        </w:tc>
        <w:tc>
          <w:tcPr>
            <w:tcW w:w="3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56440">
            <w:pPr>
              <w:rPr>
                <w:rFonts w:hint="default" w:ascii="Times New Roman" w:hAnsi="Times New Roman" w:eastAsia="Arial" w:cs="Times New Roman"/>
                <w:sz w:val="24"/>
                <w:szCs w:val="24"/>
                <w:lang w:val="pt-BR" w:eastAsia="zh-CN" w:bidi="ar-SA"/>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D0F4E66">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5E23B9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 xml:space="preserve">Base de </w:t>
            </w:r>
            <w:r>
              <w:rPr>
                <w:rFonts w:hint="default" w:ascii="Times New Roman" w:hAnsi="Times New Roman" w:eastAsia="Times New Roman" w:cs="Times New Roman"/>
                <w:lang w:val="pt-BR"/>
              </w:rPr>
              <w:t>A</w:t>
            </w:r>
            <w:r>
              <w:rPr>
                <w:rFonts w:hint="default" w:ascii="Times New Roman" w:hAnsi="Times New Roman" w:eastAsia="Times New Roman" w:cs="Times New Roman"/>
              </w:rPr>
              <w:t xml:space="preserve">poio </w:t>
            </w:r>
          </w:p>
        </w:tc>
        <w:tc>
          <w:tcPr>
            <w:tcW w:w="2552" w:type="dxa"/>
            <w:tcBorders>
              <w:top w:val="single" w:color="000000" w:sz="4" w:space="0"/>
              <w:left w:val="single" w:color="000000" w:sz="4" w:space="0"/>
              <w:bottom w:val="single" w:color="000000" w:sz="4" w:space="0"/>
              <w:right w:val="single" w:color="000000" w:sz="4" w:space="0"/>
            </w:tcBorders>
            <w:vAlign w:val="center"/>
          </w:tcPr>
          <w:p w14:paraId="6BD8567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63FD7AF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81050B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4F4593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média entre as mãos durante as passadas.</w:t>
            </w:r>
          </w:p>
        </w:tc>
      </w:tr>
      <w:tr w14:paraId="1EB02DF4">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E36AB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52" w:type="dxa"/>
            <w:tcBorders>
              <w:top w:val="single" w:color="000000" w:sz="4" w:space="0"/>
              <w:left w:val="single" w:color="000000" w:sz="4" w:space="0"/>
              <w:bottom w:val="single" w:color="000000" w:sz="4" w:space="0"/>
              <w:right w:val="single" w:color="000000" w:sz="4" w:space="0"/>
            </w:tcBorders>
            <w:vAlign w:val="center"/>
          </w:tcPr>
          <w:p w14:paraId="1F85D0A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5F93A9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281FE7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500D06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Rotação externa das mãos facilitando o avanço do CoM.</w:t>
            </w:r>
          </w:p>
        </w:tc>
      </w:tr>
      <w:tr w14:paraId="7FE5F61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3C8A19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Í</w:t>
            </w:r>
            <w:r>
              <w:rPr>
                <w:rFonts w:hint="default" w:ascii="Times New Roman" w:hAnsi="Times New Roman" w:eastAsia="SimSun" w:cs="Times New Roman"/>
                <w:sz w:val="24"/>
                <w:szCs w:val="24"/>
              </w:rPr>
              <w:t>ndice de Simetria de Membros no punho (LSI_FFP)</w:t>
            </w:r>
          </w:p>
        </w:tc>
        <w:tc>
          <w:tcPr>
            <w:tcW w:w="2552" w:type="dxa"/>
            <w:tcBorders>
              <w:top w:val="single" w:color="000000" w:sz="4" w:space="0"/>
              <w:left w:val="single" w:color="000000" w:sz="4" w:space="0"/>
              <w:bottom w:val="single" w:color="000000" w:sz="4" w:space="0"/>
              <w:right w:val="single" w:color="000000" w:sz="4" w:space="0"/>
            </w:tcBorders>
            <w:vAlign w:val="center"/>
          </w:tcPr>
          <w:p w14:paraId="1D6E2E3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440F69E3">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560" w:type="dxa"/>
            <w:tcBorders>
              <w:top w:val="single" w:color="000000" w:sz="4" w:space="0"/>
              <w:left w:val="single" w:color="000000" w:sz="4" w:space="0"/>
              <w:bottom w:val="single" w:color="000000" w:sz="4" w:space="0"/>
              <w:right w:val="single" w:color="000000" w:sz="4" w:space="0"/>
            </w:tcBorders>
            <w:vAlign w:val="center"/>
          </w:tcPr>
          <w:p w14:paraId="2073A9C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Relação do pico de torque da mão dominante x não dominante</w:t>
            </w:r>
          </w:p>
        </w:tc>
      </w:tr>
      <w:tr w14:paraId="7DF76432">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4C325DE">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Força máxima relativa à massa corporal no </w:t>
            </w:r>
            <w:r>
              <w:rPr>
                <w:rFonts w:hint="default" w:ascii="Times New Roman" w:hAnsi="Times New Roman" w:eastAsia="Times New Roman" w:cs="Times New Roman"/>
                <w:i/>
                <w:iCs/>
                <w:lang w:val="pt-BR"/>
              </w:rPr>
              <w:t>SP</w:t>
            </w:r>
          </w:p>
        </w:tc>
        <w:tc>
          <w:tcPr>
            <w:tcW w:w="2552" w:type="dxa"/>
            <w:tcBorders>
              <w:top w:val="single" w:color="000000" w:sz="4" w:space="0"/>
              <w:left w:val="single" w:color="000000" w:sz="4" w:space="0"/>
              <w:bottom w:val="single" w:color="000000" w:sz="4" w:space="0"/>
              <w:right w:val="single" w:color="000000" w:sz="4" w:space="0"/>
            </w:tcBorders>
            <w:vAlign w:val="center"/>
          </w:tcPr>
          <w:p w14:paraId="1FEE211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p>
        </w:tc>
        <w:tc>
          <w:tcPr>
            <w:tcW w:w="2552" w:type="dxa"/>
            <w:tcBorders>
              <w:top w:val="single" w:color="000000" w:sz="4" w:space="0"/>
              <w:left w:val="single" w:color="000000" w:sz="4" w:space="0"/>
              <w:bottom w:val="single" w:color="000000" w:sz="4" w:space="0"/>
              <w:right w:val="single" w:color="000000" w:sz="4" w:space="0"/>
            </w:tcBorders>
            <w:vAlign w:val="center"/>
          </w:tcPr>
          <w:p w14:paraId="0D90A08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Teste de 1-RM </w:t>
            </w:r>
          </w:p>
        </w:tc>
        <w:tc>
          <w:tcPr>
            <w:tcW w:w="3560" w:type="dxa"/>
            <w:tcBorders>
              <w:top w:val="single" w:color="000000" w:sz="4" w:space="0"/>
              <w:left w:val="single" w:color="000000" w:sz="4" w:space="0"/>
              <w:bottom w:val="single" w:color="000000" w:sz="4" w:space="0"/>
              <w:right w:val="single" w:color="000000" w:sz="4" w:space="0"/>
            </w:tcBorders>
            <w:vAlign w:val="center"/>
          </w:tcPr>
          <w:p w14:paraId="006A02B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sans-serif" w:cs="Times New Roman"/>
                <w:kern w:val="0"/>
                <w:sz w:val="24"/>
                <w:szCs w:val="24"/>
                <w:lang w:val="en-US" w:eastAsia="zh-CN" w:bidi="ar"/>
              </w:rPr>
              <w:t>Capacidade de suportar o impacto dinâmico e transferir carga a cada ciclo.</w:t>
            </w:r>
            <w:r>
              <w:rPr>
                <w:rFonts w:hint="default" w:ascii="Times New Roman" w:hAnsi="Times New Roman" w:eastAsia="SimSun" w:cs="Times New Roman"/>
                <w:kern w:val="0"/>
                <w:sz w:val="24"/>
                <w:szCs w:val="24"/>
                <w:lang w:val="en-US" w:eastAsia="zh-CN" w:bidi="ar"/>
              </w:rPr>
              <w:t xml:space="preserve"> </w:t>
            </w:r>
          </w:p>
        </w:tc>
      </w:tr>
      <w:tr w14:paraId="61F3D36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6CBCF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Resistência em posição invertida (wall-supported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7C7D184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23D3C5F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560" w:type="dxa"/>
            <w:tcBorders>
              <w:top w:val="single" w:color="000000" w:sz="4" w:space="0"/>
              <w:left w:val="single" w:color="000000" w:sz="4" w:space="0"/>
              <w:bottom w:val="single" w:color="000000" w:sz="4" w:space="0"/>
              <w:right w:val="single" w:color="000000" w:sz="4" w:space="0"/>
            </w:tcBorders>
            <w:vAlign w:val="center"/>
          </w:tcPr>
          <w:p w14:paraId="0E5EB28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de suporte durante a marcha prolongada.</w:t>
            </w:r>
          </w:p>
        </w:tc>
      </w:tr>
      <w:tr w14:paraId="2941409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20252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52" w:type="dxa"/>
            <w:tcBorders>
              <w:top w:val="single" w:color="000000" w:sz="4" w:space="0"/>
              <w:left w:val="single" w:color="000000" w:sz="4" w:space="0"/>
              <w:bottom w:val="single" w:color="000000" w:sz="4" w:space="0"/>
              <w:right w:val="single" w:color="000000" w:sz="4" w:space="0"/>
            </w:tcBorders>
            <w:vAlign w:val="center"/>
          </w:tcPr>
          <w:p w14:paraId="04B6A09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0E1D9C5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1045D9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3F869650">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Instabilidade do centro de gravidade durante o deslocamento invertido.</w:t>
            </w:r>
          </w:p>
        </w:tc>
      </w:tr>
      <w:tr w14:paraId="40F25F3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757F6A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Comprimento dos </w:t>
            </w:r>
            <w:r>
              <w:rPr>
                <w:rFonts w:hint="default" w:ascii="Times New Roman" w:hAnsi="Times New Roman" w:eastAsia="Times New Roman" w:cs="Times New Roman"/>
                <w:lang w:val="pt-BR"/>
              </w:rPr>
              <w:t>M</w:t>
            </w:r>
            <w:r>
              <w:rPr>
                <w:rFonts w:hint="default" w:ascii="Times New Roman" w:hAnsi="Times New Roman" w:eastAsia="Times New Roman" w:cs="Times New Roman"/>
              </w:rPr>
              <w:t>embros</w:t>
            </w:r>
            <w:r>
              <w:rPr>
                <w:rFonts w:hint="default" w:ascii="Times New Roman" w:hAnsi="Times New Roman" w:eastAsia="Times New Roman" w:cs="Times New Roman"/>
                <w:lang w:val="pt-BR"/>
              </w:rPr>
              <w:t xml:space="preserve"> Superiores</w:t>
            </w:r>
          </w:p>
        </w:tc>
        <w:tc>
          <w:tcPr>
            <w:tcW w:w="2552" w:type="dxa"/>
            <w:tcBorders>
              <w:top w:val="single" w:color="000000" w:sz="4" w:space="0"/>
              <w:left w:val="single" w:color="000000" w:sz="4" w:space="0"/>
              <w:bottom w:val="single" w:color="000000" w:sz="4" w:space="0"/>
              <w:right w:val="single" w:color="000000" w:sz="4" w:space="0"/>
            </w:tcBorders>
            <w:vAlign w:val="center"/>
          </w:tcPr>
          <w:p w14:paraId="0A2B703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49DA8E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F64752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4BEF934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do comprimento da alavanca na amplitude das passadas.</w:t>
            </w:r>
          </w:p>
        </w:tc>
      </w:tr>
      <w:tr w14:paraId="69ED7CA1">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D3B98F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52" w:type="dxa"/>
            <w:tcBorders>
              <w:top w:val="single" w:color="000000" w:sz="4" w:space="0"/>
              <w:left w:val="single" w:color="000000" w:sz="4" w:space="0"/>
              <w:bottom w:val="single" w:color="000000" w:sz="4" w:space="0"/>
              <w:right w:val="single" w:color="000000" w:sz="4" w:space="0"/>
            </w:tcBorders>
            <w:vAlign w:val="center"/>
          </w:tcPr>
          <w:p w14:paraId="6070818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52" w:type="dxa"/>
            <w:tcBorders>
              <w:top w:val="single" w:color="000000" w:sz="4" w:space="0"/>
              <w:left w:val="single" w:color="000000" w:sz="4" w:space="0"/>
              <w:bottom w:val="single" w:color="000000" w:sz="4" w:space="0"/>
              <w:right w:val="single" w:color="000000" w:sz="4" w:space="0"/>
            </w:tcBorders>
            <w:vAlign w:val="center"/>
          </w:tcPr>
          <w:p w14:paraId="62675F31">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560" w:type="dxa"/>
            <w:tcBorders>
              <w:top w:val="single" w:color="000000" w:sz="4" w:space="0"/>
              <w:left w:val="single" w:color="000000" w:sz="4" w:space="0"/>
              <w:bottom w:val="single" w:color="000000" w:sz="4" w:space="0"/>
              <w:right w:val="single" w:color="000000" w:sz="4" w:space="0"/>
            </w:tcBorders>
            <w:vAlign w:val="center"/>
          </w:tcPr>
          <w:p w14:paraId="32BBCE7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da massa inerte e muscular ativa na eficiência locomotora</w:t>
            </w:r>
          </w:p>
        </w:tc>
      </w:tr>
      <w:tr w14:paraId="2B12CB8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039362C1">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52" w:type="dxa"/>
            <w:tcBorders>
              <w:top w:val="single" w:color="000000" w:sz="4" w:space="0"/>
              <w:left w:val="single" w:color="000000" w:sz="4" w:space="0"/>
              <w:bottom w:val="single" w:color="000000" w:sz="4" w:space="0"/>
              <w:right w:val="single" w:color="000000" w:sz="4" w:space="0"/>
            </w:tcBorders>
            <w:vAlign w:val="center"/>
          </w:tcPr>
          <w:p w14:paraId="0C29B919">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DFBF8C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468302E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63A4CFF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D21917D">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52" w:type="dxa"/>
            <w:tcBorders>
              <w:top w:val="single" w:color="000000" w:sz="4" w:space="0"/>
              <w:left w:val="single" w:color="000000" w:sz="4" w:space="0"/>
              <w:bottom w:val="single" w:color="000000" w:sz="4" w:space="0"/>
              <w:right w:val="single" w:color="000000" w:sz="4" w:space="0"/>
            </w:tcBorders>
            <w:vAlign w:val="center"/>
          </w:tcPr>
          <w:p w14:paraId="416E4E2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Anos</w:t>
            </w:r>
          </w:p>
        </w:tc>
        <w:tc>
          <w:tcPr>
            <w:tcW w:w="2552" w:type="dxa"/>
            <w:tcBorders>
              <w:top w:val="single" w:color="000000" w:sz="4" w:space="0"/>
              <w:left w:val="single" w:color="000000" w:sz="4" w:space="0"/>
              <w:bottom w:val="single" w:color="000000" w:sz="4" w:space="0"/>
              <w:right w:val="single" w:color="000000" w:sz="4" w:space="0"/>
            </w:tcBorders>
            <w:vAlign w:val="center"/>
          </w:tcPr>
          <w:p w14:paraId="3B02B38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5F34FF8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0B17E18D">
      <w:pPr>
        <w:spacing w:line="360" w:lineRule="auto"/>
        <w:ind w:firstLine="708"/>
        <w:rPr>
          <w:rFonts w:ascii="Times New Roman" w:hAnsi="Times New Roman" w:eastAsia="Times New Roman" w:cs="Times New Roman"/>
        </w:rPr>
      </w:pPr>
      <w:r>
        <w:rPr>
          <w:rFonts w:hint="default" w:ascii="Times New Roman" w:hAnsi="Times New Roman" w:eastAsia="Times New Roman" w:cs="Times New Roman"/>
        </w:rPr>
        <w:t>Fonte: Elaborado pelo autor (2025).</w:t>
      </w:r>
    </w:p>
    <w:p w14:paraId="2E34A555">
      <w:pPr>
        <w:spacing w:line="360" w:lineRule="auto"/>
        <w:rPr>
          <w:rFonts w:ascii="Times New Roman" w:hAnsi="Times New Roman" w:eastAsia="Times New Roman" w:cs="Times New Roman"/>
        </w:rPr>
      </w:pPr>
      <w:r>
        <w:rPr>
          <w:rFonts w:ascii="Times New Roman" w:hAnsi="Times New Roman" w:eastAsia="Times New Roman" w:cs="Times New Roman"/>
        </w:rPr>
        <w:t>3.2 Participantes</w:t>
      </w:r>
    </w:p>
    <w:p w14:paraId="34B76FD1">
      <w:pPr>
        <w:spacing w:line="360" w:lineRule="auto"/>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 xml:space="preserve">Serão recrutados adultos, de ambos os sexos, com idade mínima de 18 anos, fisicamente ativos, praticantes regulares de uma modalidade que inclua o treinamento do </w:t>
      </w:r>
      <w:r>
        <w:rPr>
          <w:rFonts w:ascii="Times New Roman" w:hAnsi="Times New Roman" w:eastAsia="Times New Roman" w:cs="Times New Roman"/>
          <w:i/>
        </w:rPr>
        <w:t>handstand</w:t>
      </w:r>
      <w:r>
        <w:rPr>
          <w:rFonts w:ascii="Times New Roman" w:hAnsi="Times New Roman" w:eastAsia="Times New Roman" w:cs="Times New Roman"/>
        </w:rPr>
        <w:t xml:space="preserve"> há pelo menos </w:t>
      </w:r>
      <w:r>
        <w:rPr>
          <w:rFonts w:hint="default" w:ascii="Times New Roman" w:hAnsi="Times New Roman" w:eastAsia="Times New Roman" w:cs="Times New Roman"/>
          <w:lang w:val="pt-BR"/>
        </w:rPr>
        <w:t>3</w:t>
      </w:r>
      <w:r>
        <w:rPr>
          <w:rFonts w:ascii="Times New Roman" w:hAnsi="Times New Roman" w:eastAsia="Times New Roman" w:cs="Times New Roman"/>
        </w:rPr>
        <w:t xml:space="preserve"> meses. Deverão ser capazes de manter o equilíbrio livre no </w:t>
      </w:r>
      <w:r>
        <w:rPr>
          <w:rFonts w:ascii="Times New Roman" w:hAnsi="Times New Roman" w:eastAsia="Times New Roman" w:cs="Times New Roman"/>
          <w:i/>
          <w:iCs/>
        </w:rPr>
        <w:t>HS</w:t>
      </w:r>
      <w:r>
        <w:rPr>
          <w:rFonts w:ascii="Times New Roman" w:hAnsi="Times New Roman" w:eastAsia="Times New Roman" w:cs="Times New Roman"/>
        </w:rPr>
        <w:t xml:space="preserve"> por pelo menos 3 segundos e/ou conseguir realizar três passadas no </w:t>
      </w:r>
      <w:r>
        <w:rPr>
          <w:rFonts w:ascii="Times New Roman" w:hAnsi="Times New Roman" w:eastAsia="Times New Roman" w:cs="Times New Roman"/>
          <w:i/>
          <w:iCs/>
        </w:rPr>
        <w:t>HSW</w:t>
      </w:r>
      <w:r>
        <w:rPr>
          <w:rFonts w:ascii="Times New Roman" w:hAnsi="Times New Roman" w:eastAsia="Times New Roman" w:cs="Times New Roman"/>
          <w:i/>
        </w:rPr>
        <w:t xml:space="preserve">, </w:t>
      </w:r>
      <w:r>
        <w:rPr>
          <w:rFonts w:ascii="Times New Roman" w:hAnsi="Times New Roman" w:eastAsia="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r>
        <w:rPr>
          <w:rFonts w:ascii="Times New Roman" w:hAnsi="Times New Roman" w:eastAsia="Times New Roman" w:cs="Times New Roman"/>
          <w:i/>
        </w:rPr>
        <w:t>instagram</w:t>
      </w:r>
      <w:r>
        <w:rPr>
          <w:rFonts w:ascii="Times New Roman" w:hAnsi="Times New Roman" w:eastAsia="Times New Roman" w:cs="Times New Roman"/>
        </w:rPr>
        <w:t xml:space="preserve"> e </w:t>
      </w:r>
      <w:r>
        <w:rPr>
          <w:rFonts w:ascii="Times New Roman" w:hAnsi="Times New Roman" w:eastAsia="Times New Roman" w:cs="Times New Roman"/>
          <w:i/>
        </w:rPr>
        <w:t>facebook</w:t>
      </w:r>
      <w:r>
        <w:rPr>
          <w:rFonts w:ascii="Times New Roman" w:hAnsi="Times New Roman" w:eastAsia="Times New Roman" w:cs="Times New Roman"/>
        </w:rPr>
        <w:t xml:space="preserve">, e aplicativo de mensagem </w:t>
      </w:r>
      <w:r>
        <w:rPr>
          <w:rFonts w:ascii="Times New Roman" w:hAnsi="Times New Roman" w:eastAsia="Times New Roman" w:cs="Times New Roman"/>
          <w:i/>
        </w:rPr>
        <w:t xml:space="preserve">whatsapp, </w:t>
      </w:r>
      <w:r>
        <w:rPr>
          <w:rFonts w:ascii="Times New Roman" w:hAnsi="Times New Roman" w:eastAsia="Times New Roman" w:cs="Times New Roman"/>
        </w:rPr>
        <w:t>além de busca ativa por participantes</w:t>
      </w:r>
      <w:r>
        <w:rPr>
          <w:rFonts w:ascii="Times New Roman" w:hAnsi="Times New Roman" w:eastAsia="Times New Roman" w:cs="Times New Roman"/>
          <w:i/>
        </w:rPr>
        <w:t xml:space="preserve"> </w:t>
      </w:r>
      <w:r>
        <w:rPr>
          <w:rFonts w:ascii="Times New Roman" w:hAnsi="Times New Roman" w:eastAsia="Times New Roman" w:cs="Times New Roman"/>
        </w:rPr>
        <w:t xml:space="preserve">junto a academias de ginástica, </w:t>
      </w:r>
      <w:r>
        <w:rPr>
          <w:rFonts w:ascii="Times New Roman" w:hAnsi="Times New Roman" w:eastAsia="Times New Roman" w:cs="Times New Roman"/>
          <w:i/>
          <w:iCs/>
        </w:rPr>
        <w:t>boxes</w:t>
      </w:r>
      <w:r>
        <w:rPr>
          <w:rFonts w:ascii="Times New Roman" w:hAnsi="Times New Roman" w:eastAsia="Times New Roman" w:cs="Times New Roman"/>
        </w:rPr>
        <w:t xml:space="preserve"> de </w:t>
      </w:r>
      <w:r>
        <w:rPr>
          <w:rFonts w:ascii="Times New Roman" w:hAnsi="Times New Roman" w:eastAsia="Times New Roman" w:cs="Times New Roman"/>
          <w:i/>
        </w:rPr>
        <w:t>CrossFit</w:t>
      </w:r>
      <w:r>
        <w:rPr>
          <w:rFonts w:ascii="Times New Roman" w:hAnsi="Times New Roman" w:eastAsia="Times New Roman" w:cs="Times New Roman"/>
        </w:rPr>
        <w:t>®, estúdios de dança, centros de treinamento circenses e grupos de calistenia da região.</w:t>
      </w:r>
    </w:p>
    <w:p w14:paraId="7C4978C4">
      <w:pPr>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Cada voluntário preencherá um formulário online padronizado na plataforma </w:t>
      </w:r>
      <w:r>
        <w:rPr>
          <w:rFonts w:ascii="Times New Roman" w:hAnsi="Times New Roman" w:eastAsia="Times New Roman" w:cs="Times New Roman"/>
          <w:i/>
          <w:iCs/>
        </w:rPr>
        <w:t>Google Forms</w:t>
      </w:r>
      <w:r>
        <w:rPr>
          <w:rFonts w:ascii="Times New Roman" w:hAnsi="Times New Roman" w:eastAsia="Times New Roman" w:cs="Times New Roman"/>
        </w:rPr>
        <w:t xml:space="preserve">, estruturado </w:t>
      </w:r>
      <w:r>
        <w:rPr>
          <w:rFonts w:hint="default" w:ascii="Times New Roman" w:hAnsi="Times New Roman" w:eastAsia="Times New Roman" w:cs="Times New Roman"/>
          <w:lang w:val="pt-BR"/>
        </w:rPr>
        <w:t>em</w:t>
      </w:r>
      <w:r>
        <w:rPr>
          <w:rFonts w:ascii="Times New Roman" w:hAnsi="Times New Roman" w:eastAsia="Times New Roman" w:cs="Times New Roman"/>
        </w:rPr>
        <w:t>:</w:t>
      </w:r>
      <w:r>
        <w:rPr>
          <w:rFonts w:hint="default" w:ascii="Times New Roman" w:hAnsi="Times New Roman" w:eastAsia="Times New Roman" w:cs="Times New Roman"/>
        </w:rPr>
        <w:t> dados sociodemográficos e de contato (idade, sexo, telefone e e-mail)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triagem de segurança em saúde por meio do Questionário de Prontidão para Atividade Física (PAR-Q), garantindo a aptidão cardiovascular e osteomuscular para os testes de esforço físico máximo</w:t>
      </w:r>
      <w:r>
        <w:rPr>
          <w:rFonts w:hint="default" w:ascii="Times New Roman" w:hAnsi="Times New Roman" w:eastAsia="Times New Roman" w:cs="Times New Roman"/>
          <w:lang w:val="pt-BR"/>
        </w:rPr>
        <w:t>,</w:t>
      </w:r>
      <w:r>
        <w:rPr>
          <w:rFonts w:hint="default" w:ascii="Times New Roman" w:hAnsi="Times New Roman" w:eastAsia="Times New Roman" w:cs="Times New Roman"/>
        </w:rPr>
        <w:t> histórico de lesões musculoesqueléticas nos membros superiores nos últimos 12 meses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modalidades praticadas</w:t>
      </w:r>
      <w:r>
        <w:rPr>
          <w:rFonts w:hint="default" w:ascii="Times New Roman" w:hAnsi="Times New Roman" w:eastAsia="Times New Roman" w:cs="Times New Roman"/>
          <w:lang w:val="pt-BR"/>
        </w:rPr>
        <w:t xml:space="preserve"> que tenha </w:t>
      </w:r>
      <w:r>
        <w:rPr>
          <w:rFonts w:hint="default" w:ascii="Times New Roman" w:hAnsi="Times New Roman" w:eastAsia="Times New Roman" w:cs="Times New Roman"/>
          <w:i/>
          <w:iCs/>
          <w:lang w:val="pt-BR"/>
        </w:rPr>
        <w:t xml:space="preserve">HS </w:t>
      </w:r>
      <w:r>
        <w:rPr>
          <w:rFonts w:hint="default" w:ascii="Times New Roman" w:hAnsi="Times New Roman" w:eastAsia="Times New Roman" w:cs="Times New Roman"/>
          <w:i w:val="0"/>
          <w:iCs w:val="0"/>
          <w:lang w:val="pt-BR"/>
        </w:rPr>
        <w:t>como habilidade</w:t>
      </w:r>
      <w:r>
        <w:rPr>
          <w:rFonts w:hint="default" w:ascii="Times New Roman" w:hAnsi="Times New Roman" w:eastAsia="Times New Roman" w:cs="Times New Roman"/>
        </w:rPr>
        <w:t xml:space="preserve"> (permitindo seleção única ou múltipla entre Calistenia, CrossFit®, Ginástica Artística, Circo, Dança,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Movement culture</w:t>
      </w:r>
      <w:r>
        <w:rPr>
          <w:rFonts w:hint="default" w:ascii="Times New Roman" w:hAnsi="Times New Roman" w:eastAsia="Times New Roman" w:cs="Times New Roman"/>
          <w:i w:val="0"/>
          <w:iCs w:val="0"/>
          <w:lang w:val="pt-BR"/>
        </w:rPr>
        <w:t xml:space="preserve">, Prática isolada da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xml:space="preserve"> e Outras)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e histórico de treinamento no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mensurado pelo tempo de prática acumulada (em meses) e pelo volume semanal médio dedicado especificamente ao treinamento da postura invertida (horas por semana). A partir dessas informações, será calculado o Volume de Prática Acumulada (horas totais estimadas) como métrica de exposição motora real.</w:t>
      </w:r>
      <w:r>
        <w:rPr>
          <w:rFonts w:ascii="Times New Roman" w:hAnsi="Times New Roman" w:eastAsia="Times New Roman" w:cs="Times New Roman"/>
        </w:rPr>
        <w:t xml:space="preserve">). Todos os participantes elegíveis assinarão um termo de consentimento livre e esclarecido, aprovado pelo Comitê de Ética em Pesquisa da Escola de Educação Física e Esporte de Ribeirão Preto antes de iniciar os testes. </w:t>
      </w:r>
    </w:p>
    <w:p w14:paraId="507F55D2">
      <w:pPr>
        <w:pStyle w:val="11"/>
        <w:spacing w:before="0" w:beforeAutospacing="0" w:after="0" w:afterAutospacing="0" w:line="360" w:lineRule="auto"/>
        <w:jc w:val="both"/>
        <w:rPr>
          <w:rFonts w:hint="default" w:ascii="Times New Roman" w:hAnsi="Times New Roman" w:cs="Times New Roman"/>
        </w:rPr>
      </w:pPr>
      <w:r>
        <w:t>3.</w:t>
      </w:r>
      <w:r>
        <w:rPr>
          <w:rFonts w:hint="default"/>
          <w:lang w:val="pt-BR"/>
        </w:rPr>
        <w:t>3</w:t>
      </w:r>
      <w:r>
        <w:t xml:space="preserve"> </w:t>
      </w:r>
      <w:r>
        <w:rPr>
          <w:rFonts w:hint="default" w:ascii="Times New Roman" w:hAnsi="Times New Roman" w:eastAsia="SimSun" w:cs="Times New Roman"/>
          <w:sz w:val="24"/>
          <w:szCs w:val="24"/>
        </w:rPr>
        <w:t>Dimensionamento e Poder Amostral</w:t>
      </w:r>
    </w:p>
    <w:p w14:paraId="29336C30">
      <w:pPr>
        <w:pStyle w:val="11"/>
        <w:spacing w:before="0" w:beforeAutospacing="0" w:after="0" w:afterAutospacing="0" w:line="360" w:lineRule="auto"/>
        <w:ind w:firstLine="360"/>
        <w:jc w:val="both"/>
      </w:pPr>
      <w:r>
        <w:t xml:space="preserve">O dimensionamento amostral foi calculado a priori por meio do software G*Power (versão 3.1.9.7) </w:t>
      </w:r>
      <w:r>
        <w:fldChar w:fldCharType="begin"/>
      </w:r>
      <w:r>
        <w:rPr>
          <w:lang w:val="pt-BR"/>
        </w:rPr>
        <w:instrText xml:space="preserve"> ADDIN ZOTERO_ITEM CSL_CITATION {"citationID":"oPZR8SSe","properties":{"unsorted":false,"formattedCitation":"[40], [41]","plainCitation":"[40], [41]","noteIndex":0},"citationItems":[{"id":316,"uris":["http://zotero.org/users/17274952/items/K4E2624D"],"itemData":{"id":316,"type":"article-journal","container-title":"Behavior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fldChar w:fldCharType="separate"/>
      </w:r>
      <w:r>
        <w:rPr>
          <w:lang w:val="pt-BR"/>
        </w:rPr>
        <w:t>[40], [41]</w:t>
      </w:r>
      <w:r>
        <w:fldChar w:fldCharType="end"/>
      </w:r>
      <w:r>
        <w:t xml:space="preserve">, fundamentando-se nos delineamentos de regressão linear múltipla e regressão logística binária propostos: </w:t>
      </w:r>
    </w:p>
    <w:p w14:paraId="0EF7C61C">
      <w:pPr>
        <w:pStyle w:val="11"/>
        <w:numPr>
          <w:ilvl w:val="0"/>
          <w:numId w:val="2"/>
        </w:numPr>
        <w:spacing w:line="360" w:lineRule="auto"/>
        <w:jc w:val="both"/>
      </w:pPr>
      <w:r>
        <w:rPr>
          <w:u w:val="single"/>
        </w:rPr>
        <w:t xml:space="preserve">Modelos Temáticos de Regressão Linear Múltipla: </w:t>
      </w:r>
      <w:r>
        <w:t>Para as análises organizadas por domínios, considerando o modelo linear fixo de desvio do R² em relação a zero (</w:t>
      </w:r>
      <w:r>
        <w:rPr>
          <w:i/>
          <w:iCs/>
        </w:rPr>
        <w:t>Linear</w:t>
      </w:r>
      <w:r>
        <w:t xml:space="preserve"> </w:t>
      </w:r>
      <w:r>
        <w:rPr>
          <w:i/>
          <w:iCs/>
        </w:rPr>
        <w:t>multiple</w:t>
      </w:r>
      <w:r>
        <w:t xml:space="preserve"> </w:t>
      </w:r>
      <w:r>
        <w:rPr>
          <w:i/>
          <w:iCs/>
        </w:rPr>
        <w:t>regression</w:t>
      </w:r>
      <w:r>
        <w:t xml:space="preserve">: </w:t>
      </w:r>
      <w:r>
        <w:rPr>
          <w:i/>
          <w:iCs/>
        </w:rPr>
        <w:t>Fixed</w:t>
      </w:r>
      <w:r>
        <w:t xml:space="preserve"> </w:t>
      </w:r>
      <w:r>
        <w:rPr>
          <w:i/>
          <w:iCs/>
        </w:rPr>
        <w:t>model</w:t>
      </w:r>
      <w:r>
        <w:t xml:space="preserve">, R² </w:t>
      </w:r>
      <w:r>
        <w:rPr>
          <w:i/>
          <w:iCs/>
        </w:rPr>
        <w:t>deviation</w:t>
      </w:r>
      <w:r>
        <w:t xml:space="preserve"> </w:t>
      </w:r>
      <w:r>
        <w:rPr>
          <w:i/>
          <w:iCs/>
        </w:rPr>
        <w:t>from</w:t>
      </w:r>
      <w:r>
        <w:t xml:space="preserve"> </w:t>
      </w:r>
      <w:r>
        <w:rPr>
          <w:i/>
          <w:iCs/>
        </w:rPr>
        <w:t>zero</w:t>
      </w:r>
      <w:r>
        <w:t xml:space="preserve">), adotou-se um tamanho de efeito moderado (f² = 0,15, correspondente a um R² aproximado de 0,13 sob as convenções de Cohen </w:t>
      </w:r>
      <w:r>
        <w:fldChar w:fldCharType="begin"/>
      </w:r>
      <w:r>
        <w:rPr>
          <w:lang w:val="pt-BR"/>
        </w:rPr>
        <w:instrText xml:space="preserve"> ADDIN ZOTERO_ITEM CSL_CITATION {"citationID":"hrbBWQIg","properties":{"unsorted":false,"formattedCitation":"[42]","plainCitation":"[42]","noteIndex":0},"citationItems":[{"id":314,"uris":["http://zotero.org/users/17274952/items/EBM2FGG5"],"itemData":{"id":314,"type":"book","edition":"2.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fldChar w:fldCharType="separate"/>
      </w:r>
      <w:r>
        <w:rPr>
          <w:lang w:val="pt-BR"/>
        </w:rPr>
        <w:t>[42]</w:t>
      </w:r>
      <w:r>
        <w:fldChar w:fldCharType="end"/>
      </w:r>
      <w:r>
        <w:t xml:space="preserve">), nível de significância de α = 0,05, poder estatístico de (1 - β) = 0,80 e o número máximo de até 4 preditores simultâneos. O cálculo indicou a necessidade de um tamanho amostral mínimo de N = 85 participantes (parâmetro de não-centralidade λ = 12,75; F crítico = 2,486; poder real = 0,805). </w:t>
      </w:r>
    </w:p>
    <w:p w14:paraId="398764AA">
      <w:pPr>
        <w:pStyle w:val="11"/>
        <w:numPr>
          <w:ilvl w:val="0"/>
          <w:numId w:val="2"/>
        </w:numPr>
        <w:spacing w:line="360" w:lineRule="auto"/>
        <w:jc w:val="both"/>
      </w:pPr>
      <w:r>
        <w:rPr>
          <w:u w:val="single"/>
        </w:rPr>
        <w:t xml:space="preserve">Modelo de Regressão Logística Binária (Autonomia no </w:t>
      </w:r>
      <w:r>
        <w:rPr>
          <w:i/>
          <w:iCs/>
          <w:u w:val="single"/>
        </w:rPr>
        <w:t>HS</w:t>
      </w:r>
      <w:r>
        <w:rPr>
          <w:u w:val="single"/>
        </w:rPr>
        <w:t>):</w:t>
      </w:r>
      <w:r>
        <w:t xml:space="preserve"> Para o modelo logístico</w:t>
      </w:r>
      <w:r>
        <w:rPr>
          <w:rFonts w:hint="default"/>
          <w:lang w:val="pt-BR"/>
        </w:rPr>
        <w:t xml:space="preserve"> de autonomia de estabilização</w:t>
      </w:r>
      <w:r>
        <w:t xml:space="preserve"> com 3 preditores (força relativa no SP, tempo de sustentação assistido e tempo de prática), adotou-se um nível de significância de α = 0,05, poder estatístico de (1 - β) = 0,80 e uma razão de chances (</w:t>
      </w:r>
      <w:r>
        <w:rPr>
          <w:i/>
          <w:iCs/>
        </w:rPr>
        <w:t>Odds</w:t>
      </w:r>
      <w:r>
        <w:t xml:space="preserve"> </w:t>
      </w:r>
      <w:r>
        <w:rPr>
          <w:i/>
          <w:iCs/>
        </w:rPr>
        <w:t>Ratio</w:t>
      </w:r>
      <w:r>
        <w:t xml:space="preserve">) mínima esperada de 2,0 para preditores contínuos padronizados </w:t>
      </w:r>
      <w:r>
        <w:fldChar w:fldCharType="begin"/>
      </w:r>
      <w:r>
        <w:rPr>
          <w:lang w:val="pt-BR"/>
        </w:rPr>
        <w:instrText xml:space="preserve"> ADDIN ZOTERO_ITEM CSL_CITATION {"citationID":"emky6ZlS","properties":{"unsorted":false,"formattedCitation":"[41], [43]","plainCitation":"[41], [43]","noteIndex":0},"citationItems":[{"id":315,"uris":["http://zotero.org/users/17274952/items/XHK7HA2Z"],"itemData":{"id":315,"type":"article-journal","container-title":"Behavior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14,"uris":["http://zotero.org/users/17274952/items/FIG95YIC"],"itemData":{"id":14,"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w:instrText>
      </w:r>
      <w:r>
        <w:fldChar w:fldCharType="separate"/>
      </w:r>
      <w:r>
        <w:rPr>
          <w:lang w:val="pt-BR"/>
        </w:rPr>
        <w:t>[41], [43]</w:t>
      </w:r>
      <w:r>
        <w:fldChar w:fldCharType="end"/>
      </w:r>
      <w:r>
        <w:t xml:space="preserve">. O cálculo indicou a necessidade de uma amostra mínima entre 70 e 90 participantes, atendendo adicionalmente ao pressuposto clássico de eventos por variável (EPV maior ou igual a 10 a 15 eventos para cada preditor no modelo) </w:t>
      </w:r>
      <w:r>
        <w:fldChar w:fldCharType="begin"/>
      </w:r>
      <w:r>
        <w:rPr>
          <w:lang w:val="pt-BR"/>
        </w:rPr>
        <w:instrText xml:space="preserve"> ADDIN ZOTERO_ITEM CSL_CITATION {"citationID":"NUGvpRyn","properties":{"unsorted":false,"formattedCitation":"[44]","plainCitation":"[44]","noteIndex":0},"citationItems":[{"id":13,"uris":["http://zotero.org/users/17274952/items/RRLNZB4G"],"itemData":{"id":13,"type":"article-journal","container-title":"Journal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w:instrText>
      </w:r>
      <w:r>
        <w:fldChar w:fldCharType="separate"/>
      </w:r>
      <w:r>
        <w:rPr>
          <w:lang w:val="pt-BR"/>
        </w:rPr>
        <w:t>[44]</w:t>
      </w:r>
      <w:r>
        <w:fldChar w:fldCharType="end"/>
      </w:r>
      <w:r>
        <w:t xml:space="preserve">. </w:t>
      </w:r>
    </w:p>
    <w:p w14:paraId="6310C0E3">
      <w:pPr>
        <w:pStyle w:val="11"/>
        <w:spacing w:line="360" w:lineRule="auto"/>
        <w:ind w:firstLine="360"/>
        <w:jc w:val="both"/>
      </w:pPr>
      <w:r>
        <w:t xml:space="preserve">Para mitigar a inflação da taxa de Erro Tipo I decorrente dos múltiplos modelos testados sem comprometer excessivamente o poder estatístico, será aplicada a correção de </w:t>
      </w:r>
      <w:r>
        <w:rPr>
          <w:i/>
          <w:iCs/>
        </w:rPr>
        <w:t>False Discovery Rate</w:t>
      </w:r>
      <w:r>
        <w:t xml:space="preserve"> (</w:t>
      </w:r>
      <w:r>
        <w:rPr>
          <w:i/>
          <w:iCs/>
        </w:rPr>
        <w:t>FDR</w:t>
      </w:r>
      <w:r>
        <w:t xml:space="preserve">) </w:t>
      </w:r>
      <w:r>
        <w:fldChar w:fldCharType="begin"/>
      </w:r>
      <w:r>
        <w:rPr>
          <w:lang w:val="pt-BR"/>
        </w:rPr>
        <w:instrText xml:space="preserve"> ADDIN ZOTERO_ITEM CSL_CITATION {"citationID":"cLgHBl3x","properties":{"unsorted":false,"formattedCitation":"[45]","plainCitation":"[45]","noteIndex":0},"citationItems":[{"id":313,"uris":["http://zotero.org/users/17274952/items/F5P6TDDP"],"itemData":{"id":313,"type":"article-journal","abstract":"SUMMARY\n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fldChar w:fldCharType="separate"/>
      </w:r>
      <w:r>
        <w:rPr>
          <w:lang w:val="pt-BR"/>
        </w:rPr>
        <w:t>[45]</w:t>
      </w:r>
      <w:r>
        <w:fldChar w:fldCharType="end"/>
      </w:r>
      <w:r>
        <w:t xml:space="preserve">, com taxa de falso-descoberta fixada em Q = 0,05. </w:t>
      </w:r>
    </w:p>
    <w:p w14:paraId="2253C75E">
      <w:pPr>
        <w:pStyle w:val="11"/>
        <w:numPr>
          <w:ilvl w:val="0"/>
          <w:numId w:val="3"/>
        </w:numPr>
        <w:spacing w:before="240" w:line="360" w:lineRule="auto"/>
        <w:ind w:left="709" w:hanging="283"/>
        <w:jc w:val="both"/>
      </w:pPr>
      <w:r>
        <w:rPr>
          <w:u w:val="single"/>
        </w:rPr>
        <w:t>Modelo Final Refinado:</w:t>
      </w:r>
      <w:r>
        <w:t xml:space="preserve"> A partir dos modelos temáticos, os preditores que apresentarem significância estatística após o controle da </w:t>
      </w:r>
      <w:r>
        <w:rPr>
          <w:i/>
          <w:iCs/>
        </w:rPr>
        <w:t>FDR</w:t>
      </w:r>
      <w:r>
        <w:t xml:space="preserve"> e maior relevância prática (maiores coeficientes β padronizados) serão combinados em um modelo de regressão linear múltipla final consolidado para cada desfecho (</w:t>
      </w:r>
      <w:r>
        <w:rPr>
          <w:i/>
          <w:iCs/>
        </w:rPr>
        <w:t xml:space="preserve">HS </w:t>
      </w:r>
      <w:r>
        <w:t xml:space="preserve">e </w:t>
      </w:r>
      <w:r>
        <w:rPr>
          <w:i/>
          <w:iCs/>
        </w:rPr>
        <w:t>HSW</w:t>
      </w:r>
      <w:r>
        <w:t>). Projetando a retenção máxima de variáveis independentes centrais nesse modelo final (f² = 0,15, α= 0,05 e poder = 0,80), o tamanho amostral necessário N = 98 participantes (λ = 14,70; F crítico = 2,199; poder real = 0,804).</w:t>
      </w:r>
    </w:p>
    <w:p w14:paraId="53300BC2">
      <w:pPr>
        <w:pStyle w:val="11"/>
        <w:spacing w:line="360" w:lineRule="auto"/>
        <w:ind w:firstLine="426"/>
        <w:jc w:val="both"/>
      </w:pPr>
      <w:r>
        <w:t>Considerando potenciais perdas amostrais, desistências e a necessidade de preservar alta precisão estatística, o estudo estabeleceu como meta o recrutamento de 100 a 110 participantes. Este tamanho amostral confere um poder estatístico superior a 88% para os modelos temáticos primários (N = 85), garante ampla robustez para a regressão logística</w:t>
      </w:r>
      <w:r>
        <w:rPr>
          <w:rFonts w:hint="default"/>
          <w:lang w:val="pt-BR"/>
        </w:rPr>
        <w:t xml:space="preserve"> </w:t>
      </w:r>
      <w:r>
        <w:t xml:space="preserve"> e assegura uma amostra substancialmente superior à literatura prévia de biomecânica em </w:t>
      </w:r>
      <w:r>
        <w:rPr>
          <w:i/>
          <w:iCs/>
        </w:rPr>
        <w:t>HS</w:t>
      </w:r>
      <w:r>
        <w:t>, caracterizada predominantemente por amostras reduzidas e restritas a populações homogêneas</w:t>
      </w:r>
      <w:r>
        <w:fldChar w:fldCharType="begin"/>
      </w:r>
      <w:r>
        <w:rPr>
          <w:lang w:val="pt-BR"/>
        </w:rPr>
        <w:instrText xml:space="preserve"> ADDIN ZOTERO_ITEM CSL_CITATION {"citationID":"BYixKyMI","properties":{"unsorted":false,"formattedCitation":"[15]","plainCitation":"[15]","noteIndex":0},"citationItems":[{"id":303,"uris":["http://zotero.org/users/17274952/items/GMN3DDXM"],"itemData":{"id":303,"type":"article-journal","abstract":"Purpose: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fldChar w:fldCharType="separate"/>
      </w:r>
      <w:r>
        <w:t>[15]</w:t>
      </w:r>
      <w:r>
        <w:fldChar w:fldCharType="end"/>
      </w:r>
      <w:r>
        <w:t>.</w:t>
      </w:r>
    </w:p>
    <w:p w14:paraId="205AB1AA">
      <w:pPr>
        <w:spacing w:line="360" w:lineRule="auto"/>
        <w:rPr>
          <w:rFonts w:hint="default" w:ascii="Times New Roman" w:hAnsi="Times New Roman" w:eastAsia="Times New Roman" w:cs="Times New Roman"/>
          <w:lang w:val="pt-BR"/>
        </w:rPr>
      </w:pPr>
      <w:r>
        <w:rPr>
          <w:rFonts w:ascii="Times New Roman" w:hAnsi="Times New Roman" w:eastAsia="Times New Roman" w:cs="Times New Roman"/>
        </w:rPr>
        <w:t>3.</w:t>
      </w:r>
      <w:r>
        <w:rPr>
          <w:rFonts w:hint="default" w:ascii="Times New Roman" w:hAnsi="Times New Roman" w:eastAsia="Times New Roman" w:cs="Times New Roman"/>
          <w:lang w:val="pt-BR"/>
        </w:rPr>
        <w:t>4</w:t>
      </w:r>
      <w:r>
        <w:rPr>
          <w:rFonts w:ascii="Times New Roman" w:hAnsi="Times New Roman" w:eastAsia="Times New Roman" w:cs="Times New Roman"/>
        </w:rPr>
        <w:t xml:space="preserve"> Procedimentos</w:t>
      </w:r>
      <w:r>
        <w:rPr>
          <w:rFonts w:hint="default" w:ascii="Times New Roman" w:hAnsi="Times New Roman" w:eastAsia="Times New Roman" w:cs="Times New Roman"/>
          <w:lang w:val="pt-BR"/>
        </w:rPr>
        <w:t xml:space="preserve"> Experimentais</w:t>
      </w:r>
    </w:p>
    <w:p w14:paraId="525E84F3">
      <w:pPr>
        <w:widowControl w:val="0"/>
        <w:spacing w:line="360" w:lineRule="auto"/>
        <w:rPr>
          <w:rFonts w:ascii="Times New Roman" w:hAnsi="Times New Roman" w:eastAsia="Times New Roman" w:cs="Times New Roman"/>
          <w:u w:val="none"/>
        </w:rPr>
      </w:pPr>
      <w:r>
        <w:rPr>
          <w:rFonts w:hint="default" w:ascii="Times New Roman" w:hAnsi="Times New Roman" w:eastAsia="Times New Roman" w:cs="Times New Roman"/>
          <w:u w:val="none"/>
          <w:lang w:val="pt-BR"/>
        </w:rPr>
        <w:t xml:space="preserve">3.4.1 </w:t>
      </w:r>
      <w:r>
        <w:rPr>
          <w:rFonts w:ascii="Times New Roman" w:hAnsi="Times New Roman" w:eastAsia="Times New Roman" w:cs="Times New Roman"/>
          <w:u w:val="none"/>
        </w:rPr>
        <w:t>Sessão 1 - Avaliação de Variáveis de Força e Composição Corporal</w:t>
      </w:r>
    </w:p>
    <w:p w14:paraId="1EC31854">
      <w:pPr>
        <w:pStyle w:val="11"/>
        <w:spacing w:before="0" w:beforeAutospacing="0" w:after="0" w:afterAutospacing="0" w:line="360" w:lineRule="auto"/>
        <w:ind w:firstLine="708"/>
        <w:jc w:val="both"/>
        <w:rPr>
          <w:rFonts w:hint="default"/>
          <w:lang w:val="pt-BR"/>
        </w:rPr>
      </w:pPr>
      <w:r>
        <w:t>A primeira sessão de testes será realizada nas dependências do Laboratório de Cineantropometria e Desempenho Humano (LaCiDH) da EEFERP-USP. A ordem de aplicação dos testes a seguir, foi estruturada segundo as diretrizes da literatura científica para mitigar a interferência cumulativa da fadiga neuromuscular sobre as capacidades de produção de força máxima e preservar a validade interna das medidas</w:t>
      </w:r>
      <w:r>
        <w:rPr>
          <w:rFonts w:hint="default"/>
          <w:lang w:val="pt-BR"/>
        </w:rPr>
        <w:t xml:space="preserve"> </w:t>
      </w:r>
      <w:r>
        <w:rPr>
          <w:rFonts w:hint="default"/>
          <w:lang w:val="pt-BR"/>
        </w:rPr>
        <w:fldChar w:fldCharType="begin"/>
      </w:r>
      <w:r>
        <w:rPr>
          <w:rFonts w:hint="default"/>
          <w:lang w:val="pt-BR"/>
        </w:rPr>
        <w:instrText xml:space="preserve"> ADDIN ZOTERO_ITEM CSL_CITATION {"citationID":"avlK7lu0","properties":{"unsorted":false,"formattedCitation":"[46],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lang w:val="pt-BR"/>
        </w:rPr>
        <w:fldChar w:fldCharType="separate"/>
      </w:r>
      <w:r>
        <w:rPr>
          <w:rFonts w:hint="default"/>
          <w:lang w:val="pt-BR"/>
        </w:rPr>
        <w:t>[46], [47]</w:t>
      </w:r>
      <w:r>
        <w:rPr>
          <w:rFonts w:hint="default"/>
          <w:lang w:val="pt-BR"/>
        </w:rPr>
        <w:fldChar w:fldCharType="end"/>
      </w:r>
      <w:r>
        <w:rPr>
          <w:rFonts w:hint="default"/>
          <w:lang w:val="pt-BR"/>
        </w:rPr>
        <w:t>.</w:t>
      </w:r>
    </w:p>
    <w:p w14:paraId="3C4FDAFE">
      <w:pPr>
        <w:pStyle w:val="11"/>
        <w:spacing w:before="0" w:beforeAutospacing="0" w:after="0" w:afterAutospacing="0" w:line="360" w:lineRule="auto"/>
        <w:jc w:val="both"/>
      </w:pPr>
      <w:r>
        <w:t>a) Composição Corporal por Bioimpedância Elétrica (BIA)</w:t>
      </w:r>
    </w:p>
    <w:p w14:paraId="2796D672">
      <w:pPr>
        <w:pStyle w:val="11"/>
        <w:spacing w:before="0" w:beforeAutospacing="0" w:after="0" w:afterAutospacing="0" w:line="360" w:lineRule="auto"/>
        <w:ind w:firstLine="708" w:firstLineChars="0"/>
        <w:jc w:val="both"/>
      </w:pPr>
      <w:r>
        <w:t>A composição corporal (percentual de gordura corporal, massa livre de gordura e ângulo de fase) será avaliada por meio de um analisador de bioimpedância elétrica tetrapolar (Sanny®, modelo BIA1011AF, American Medical do Brasil, São Bernardo do Campo, SP, Brasil; Reg. ANVISA nº 81540240002). Este método não invasivo e indolor estima a composição corporal através da oposição dos tecidos biológicos (resistência e reatância) à passagem de uma corrente elétrica alternada de baixa intensidade e alta frequência (50 kHz, 800 µA), permitindo a determinação do ângulo de fase e apresentando forte correlação validada com o padrão-ouro de absorciometria de raios-X de dupla energia (DEXA) e equações específicas validadas para a população brasileira</w:t>
      </w:r>
      <w:r>
        <w:rPr>
          <w:rFonts w:hint="default"/>
          <w:lang w:val="pt-BR"/>
        </w:rPr>
        <w:t xml:space="preserve"> </w:t>
      </w:r>
      <w:r>
        <w:rPr>
          <w:rFonts w:hint="default"/>
          <w:lang w:val="pt-BR"/>
        </w:rPr>
        <w:fldChar w:fldCharType="begin"/>
      </w:r>
      <w:r>
        <w:rPr>
          <w:rFonts w:hint="default"/>
          <w:lang w:val="pt-BR"/>
        </w:rPr>
        <w:instrText xml:space="preserve"> ADDIN ZOTERO_ITEM CSL_CITATION {"citationID":"0oN44gWa","properties":{"unsorted":false,"formattedCitation":"[48], [49]","plainCitation":"[48], [49]","noteIndex":0},"citationItems":[{"id":442,"uris":["http://zotero.org/users/17274952/items/RFK7DA44"],"itemData":{"id":442,"type":"article-journal","container-title":"Clinical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analysis?","volume":"23","author":[{"family":"Kyle","given":"U"}],"issued":{"date-parts":[["2004",10]]}}},{"id":443,"uris":["http://zotero.org/users/17274952/items/URWUP22Z"],"itemData":{"id":443,"type":"article-journal","abstract":"This study was conducted to validate the relationship between bioelectrical conductance (ht2/R) and densitometrically determined fat-free mass, and to compare the prediction errors of body fatness derived from the tetrapolar impedance method and skinfold thicknesses, relative to hydrodensitometry. One-hundred and fourteen male and female subjects, aged 18–50 yr, with a wide range of fat-free mass (34–96 kg) and percent body fat (4–41%), participated. For males, densitometrically determined fat-free mass was correlated highly (r = 0.979), with fat-free mass predicted from tetrapolar conductance measures using an equation developed for males in a previous study. For females, the correlation between measured fat-free mass and values predicted from the combined (previous and present male data) equation for men also was strong (r = 0.954). The regression coefficients in the male and female regression equations were not significantly different. Relative to hydrodensitometry, the impedance method had a lower predictive error or standard error of the estimates of estimating body fatness than did a standard anthropometric technique (2.7 vs. 3.9%). Therefore this study establishes the validity and reliability of the tetrapolar impedance method for use in assessment of body composition in healthy humans.","container-title":"Journal of Applied Physiology","DOI":"10.1152/jappl.1986.60.4.1327","ISSN":"8750-7587, 1522-1601","issue":"4","journalAbbreviation":"Journal of Applied Physiology","language":"en","page":"1327-1332","source":"DOI.org (Crossref)","title":"Validation of tetrapolar bioelectrical impedance method to assess human body composition","volume":"60","author":[{"family":"Lukaski","given":"H. C."},{"family":"Bolonchuk","given":"W. W."},{"family":"Hall","given":"C. B."},{"family":"Siders","given":"W. A."}],"issued":{"date-parts":[["1986",4,1]]}}}],"schema":"https://github.com/citation-style-language/schema/raw/master/csl-citation.json"} </w:instrText>
      </w:r>
      <w:r>
        <w:rPr>
          <w:rFonts w:hint="default"/>
          <w:lang w:val="pt-BR"/>
        </w:rPr>
        <w:fldChar w:fldCharType="separate"/>
      </w:r>
      <w:r>
        <w:rPr>
          <w:rFonts w:hint="default"/>
          <w:lang w:val="pt-BR"/>
        </w:rPr>
        <w:t>[48], [49]</w:t>
      </w:r>
      <w:r>
        <w:rPr>
          <w:rFonts w:hint="default"/>
          <w:lang w:val="pt-BR"/>
        </w:rPr>
        <w:fldChar w:fldCharType="end"/>
      </w:r>
      <w:r>
        <w:t xml:space="preserve">. A avaliação será conduzida com o participante em decúbito dorsal sobre uma maca isolada não condutora, com membros superiores abduzidos a 30° em relação ao tronco e membros inferiores afastados a 45° entre si, após um período prévio de repouso passivo de 5 minutos para estabilização e redistribuição homogênea dos fluidos corporais. Serão afixados quatro eletrodos adesivos descartáveis de prata/cloreto de prata (Ag/AgCl) na superfície dorsal da mão e do pé direitos, respeitando a distância padrão de 5 cm entre os eletrodos sensores e injetores, após assepsia local com álcool a 70%. O participante será avaliado antes de qualquer esforço físico, seguindo rigorosamente os protocolos pré-teste padronizados: jejum prévio de 4 horas, ausência de consumo de bebidas alcoólicas ou cafeinadas nas 24 horas antecedentes e esvaziamento vesical imediato antes da medida </w:t>
      </w:r>
      <w:r>
        <w:fldChar w:fldCharType="begin"/>
      </w:r>
      <w:r>
        <w:rPr>
          <w:lang w:val="pt-BR"/>
        </w:rPr>
        <w:instrText xml:space="preserve"> ADDIN ZOTERO_ITEM CSL_CITATION {"citationID":"pl41XISY","properties":{"unsorted":false,"formattedCitation":"[48]","plainCitation":"[48]","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analysis?","volume":"23","author":[{"family":"Kyle","given":"U"}],"issued":{"date-parts":[["2004",10]]}}}],"schema":"https://github.com/citation-style-language/schema/raw/master/csl-citation.json"} </w:instrText>
      </w:r>
      <w:r>
        <w:fldChar w:fldCharType="separate"/>
      </w:r>
      <w:r>
        <w:rPr>
          <w:lang w:val="pt-BR"/>
        </w:rPr>
        <w:t>[48]</w:t>
      </w:r>
      <w:r>
        <w:fldChar w:fldCharType="end"/>
      </w:r>
      <w:r>
        <w:t>.</w:t>
      </w:r>
    </w:p>
    <w:p w14:paraId="014F066F">
      <w:pPr>
        <w:pStyle w:val="11"/>
        <w:spacing w:before="0" w:beforeAutospacing="0" w:after="0" w:afterAutospacing="0" w:line="360" w:lineRule="auto"/>
        <w:jc w:val="both"/>
      </w:pPr>
      <w:r>
        <w:t>b) Avaliação da Força de Preensão Manual (FPM)</w:t>
      </w:r>
    </w:p>
    <w:p w14:paraId="273EA8E8">
      <w:pPr>
        <w:pStyle w:val="11"/>
        <w:spacing w:before="0" w:beforeAutospacing="0" w:after="0" w:afterAutospacing="0" w:line="360" w:lineRule="auto"/>
        <w:ind w:firstLine="360"/>
        <w:jc w:val="both"/>
      </w:pPr>
      <w:r>
        <w:t xml:space="preserve">As avaliações serão feitas bilateralmente (membro dominante e não-dominante) por meio de um dinamômetro hidráulico portátil devidamente calibrado (Saehan Corporation, modelo SH5001, Changwon, Coreia do Sul), equipamento com validade concorrente e reprodutibilidade equivalente ao modelo Jamar® </w:t>
      </w:r>
      <w:r>
        <w:fldChar w:fldCharType="begin"/>
      </w:r>
      <w:r>
        <w:rPr>
          <w:lang w:val="pt-BR"/>
        </w:rPr>
        <w:instrText xml:space="preserve"> ADDIN ZOTERO_ITEM CSL_CITATION {"citationID":"RCHSxARg","properties":{"unsorted":false,"formattedCitation":"[50], [51]","plainCitation":"[50], [51]","noteIndex":0},"citationItems":[{"id":10,"uris":["http://zotero.org/users/17274952/items/2MPKBVK5"],"itemData":{"id":10,"type":"article-journal","abstract":"Abstract\n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strength","volume":"9","author":[{"family":"Mathiowetz","given":"Virgil"}],"issued":{"date-parts":[["2002",8]]}}},{"id":11,"uris":["http://zotero.org/users/17274952/items/PMVQP5WP"],"itemData":{"id":11,"type":"article-journal","abstract":"Existe uma grande variedade de instrumentos utilizados para a avaliação da força de preensão manual. Porém, não existem estudos demonstrando a validade e a confiabilidade da maioria destes instrumentos. O objetivo deste estudo foi avaliar a validade concorrente e a confiabilidade intraexaminador do dinamômetro Saehan hidráulico comparado-o com o dinamômetro Jamar hidráulico. Cem indivíduos sadios (50 homens e 50 mulheres), entre 20 e 50 anos de idade, sem alterações cognitivas, deficiências físicas, disfunções neuromusculares e ortopédicas e história de lesões nos membros superiores, foram testados com os dinamômetros Jamar e Saehan. A validade concorrente entre o dinamômetro Jamar e o dinamômetro Saehan foi excelente para os testes de força de preensão realizados com as mãos direita (r=0,976) e esquerda (r=0,986). A confiabilidade intra-examinador foi excelente tanto para o dinamômetro Jamar (r=0,985 mãos direita e esquerda) quanto para o dinamômetro Saehan (r=0,981 mão direita e r=0,985 mão esquerda). O dinamômetro Saehan é válido, confiável e comparável com o dinamômetro Jamar. Portanto, dados coletados com o dinamômetro Jamar são equivalentes aos dados coletados com o dinamômetro Saehan. Consequentemente, valores de força obtidos por testes com dinamômetro Saehan podem ser comparados com valores de referência de força de preensão que foram obtidos com o dinamômetro Jamar.\n          , \n            There is a great variety of instruments available for evaluating hand grip strength. There is, however, a lack of studies showing the validity and reliability of most of these instruments. The purpose of this study was to examine the concurrent validity and test-retest reliability of the hydraulic Saehan dynamometer using the hydraulic Jamar dynamometer. One hundred healthy subjects (50 men and 50 women), between the ages of 20 and 50 years old, without cognitive impairment, physical disability, neuromuscular or orthopedic dysfunction, and history of upper extremity injuries were tested with the Jamar and Saehan dynamometers. The concurrent validity between the Jamar and the Saehan dynamometers was excellent for both the right hand (r=0.976) and the left hand (r=0.986). Test-retest reliability was excellent for both the Jamar (r=0.985 right and left hands) and the Saehan (r=0.981 right hand and r=0.985 left hand). The Saehan dynamometer is valid, reliable and comparable to the Jamar dynamometer. Therefore, the Jamar and Saehan dynamometers measure handgrip strength equivalently. As a result, strength values obtained with the Saehan dynamometer can be compared with reference values which were collected with the Jamar dynamometer.","container-title":"Fisioterapia e Pesquisa","DOI":"10.1590/S1809-29502011000200013","ISSN":"1809-2950","issue":"2","journalAbbreviation":"Fisioter. Pesqui.","page":"176-181","source":"DOI.org (Crossref)","title":"Medida da força de preensão manual- validade e confiabilidade do dinamômetro saehan","volume":"18","author":[{"family":"Reis","given":"Maurício Moreira"},{"family":"Arantes","given":"Paula Maria Machado"}],"issued":{"date-parts":[["2011",6]]}}}],"schema":"https://github.com/citation-style-language/schema/raw/master/csl-citation.json"} </w:instrText>
      </w:r>
      <w:r>
        <w:fldChar w:fldCharType="separate"/>
      </w:r>
      <w:r>
        <w:rPr>
          <w:lang w:val="pt-BR"/>
        </w:rPr>
        <w:t>[50], [51]</w:t>
      </w:r>
      <w:r>
        <w:fldChar w:fldCharType="end"/>
      </w:r>
      <w:r>
        <w:t xml:space="preserve">. O participante permanecerá sentado em cadeira sem braços, com coluna ereta, pés apoiados no solo, ombro aduzido em rotação neutra, cotovelo fletido a 90° e antebraço em posição neutra sem repouso sobre superfícies, seguindo a diretriz padronizada da </w:t>
      </w:r>
      <w:r>
        <w:rPr>
          <w:i/>
          <w:iCs/>
        </w:rPr>
        <w:t>American Society of Hand Therapists</w:t>
      </w:r>
      <w:r>
        <w:t xml:space="preserve"> (ASHT) </w:t>
      </w:r>
      <w:r>
        <w:fldChar w:fldCharType="begin"/>
      </w:r>
      <w:r>
        <w:rPr>
          <w:lang w:val="pt-BR"/>
        </w:rPr>
        <w:instrText xml:space="preserve"> ADDIN ZOTERO_ITEM CSL_CITATION {"citationID":"lTDhzuNi","properties":{"unsorted":false,"formattedCitation":"[50], [52]","plainCitation":"[50], [52]","noteIndex":0},"citationItems":[{"id":10,"uris":["http://zotero.org/users/17274952/items/2MPKBVK5"],"itemData":{"id":10,"type":"article-journal","abstract":"Abstract\n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fldChar w:fldCharType="separate"/>
      </w:r>
      <w:r>
        <w:rPr>
          <w:lang w:val="pt-BR"/>
        </w:rPr>
        <w:t>[50], [52]</w:t>
      </w:r>
      <w:r>
        <w:fldChar w:fldCharType="end"/>
      </w:r>
      <w:r>
        <w:t xml:space="preserve">.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w:t>
      </w:r>
      <w:r>
        <w:fldChar w:fldCharType="begin"/>
      </w:r>
      <w:r>
        <w:rPr>
          <w:lang w:val="pt-BR"/>
        </w:rPr>
        <w:instrText xml:space="preserve"> ADDIN ZOTERO_ITEM CSL_CITATION {"citationID":"sBVeGGZo","properties":{"unsorted":false,"formattedCitation":"[52]","plainCitation":"[52]","noteIndex":0},"citationItems":[{"id":308,"uris":["http://zotero.org/users/17274952/items/6363HPGD"],"itemData":{"id":308,"type":"article-journal","container-title":"Age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fldChar w:fldCharType="separate"/>
      </w:r>
      <w:r>
        <w:rPr>
          <w:lang w:val="pt-BR"/>
        </w:rPr>
        <w:t>[52]</w:t>
      </w:r>
      <w:r>
        <w:fldChar w:fldCharType="end"/>
      </w:r>
      <w:r>
        <w:t>. O maior valor de pico obtido em cada membro será registrado em quilogramas-força (</w:t>
      </w:r>
      <w:r>
        <w:rPr>
          <w:rFonts w:hint="default"/>
          <w:lang w:val="pt-BR"/>
        </w:rPr>
        <w:t>K</w:t>
      </w:r>
      <w:r>
        <w:t>gf) e posteriormente normalizado pela massa corporal total (</w:t>
      </w:r>
      <w:r>
        <w:rPr>
          <w:rFonts w:hint="default"/>
          <w:lang w:val="pt-BR"/>
        </w:rPr>
        <w:t>K</w:t>
      </w:r>
      <w:r>
        <w:t>gf/</w:t>
      </w:r>
      <w:r>
        <w:rPr>
          <w:rFonts w:hint="default"/>
          <w:lang w:val="pt-BR"/>
        </w:rPr>
        <w:t>K</w:t>
      </w:r>
      <w:r>
        <w:t>g)</w:t>
      </w:r>
      <w:r>
        <w:rPr>
          <w:rFonts w:hint="default"/>
          <w:lang w:val="pt-BR"/>
        </w:rPr>
        <w:t xml:space="preserve"> </w:t>
      </w:r>
      <w:r>
        <w:fldChar w:fldCharType="begin"/>
      </w:r>
      <w:r>
        <w:rPr>
          <w:lang w:val="pt-BR"/>
        </w:rPr>
        <w:instrText xml:space="preserve"> ADDIN ZOTERO_ITEM CSL_CITATION {"citationID":"viSBB8Rj","properties":{"unsorted":false,"formattedCitation":"[53]","plainCitation":"[53]","noteIndex":0},"citationItems":[{"id":9,"uris":["http://zotero.org/users/17274952/items/PRWFRTC3"],"itemData":{"id":9,"type":"article-journal","container-title":"Sports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fldChar w:fldCharType="separate"/>
      </w:r>
      <w:r>
        <w:rPr>
          <w:lang w:val="pt-BR"/>
        </w:rPr>
        <w:t>[53]</w:t>
      </w:r>
      <w:r>
        <w:fldChar w:fldCharType="end"/>
      </w:r>
      <w:r>
        <w:t xml:space="preserve">. </w:t>
      </w:r>
    </w:p>
    <w:p w14:paraId="1E58B391">
      <w:pPr>
        <w:pStyle w:val="11"/>
        <w:spacing w:before="0" w:beforeAutospacing="0" w:after="0" w:afterAutospacing="0" w:line="360" w:lineRule="auto"/>
      </w:pPr>
      <w:r>
        <w:t>c) Pico de Torque Isométrico dos Flexores de Punho (FFP)</w:t>
      </w:r>
    </w:p>
    <w:p w14:paraId="7581F6A6">
      <w:pPr>
        <w:pStyle w:val="11"/>
        <w:spacing w:before="0" w:beforeAutospacing="0" w:after="0" w:afterAutospacing="0" w:line="360" w:lineRule="auto"/>
        <w:ind w:firstLine="708"/>
        <w:jc w:val="both"/>
      </w:pPr>
      <w:r>
        <w:t>As avaliações serão feitas bilateralmente (membro dominante e não-dominante) por meio de um dinamômetro isocinético/isométrico (Biodex Multi-Joint System PRO, Biodex Medical Systems, Shirley, NY, EUA). O participante sentará na cadeira com o encosto ajustado a 85°, tronco estabilizado por cintos cruzados peitorais e pélvico. O antebraço do membro testado será posicionado em uma calha de suporte acolchoada (</w:t>
      </w:r>
      <w:r>
        <w:rPr>
          <w:i/>
          <w:iCs/>
        </w:rPr>
        <w:t>Limb-Support Pad</w:t>
      </w:r>
      <w:r>
        <w:t>) e rigidamente imobilizado por cintas inelásticas de velcro (com cotovelo a 90° e antebraço pronado) para eliminar a contribuição dos flexores de cotovelo e músculos do ombro. O eixo de rotação mecânico do dinamômetro será alinhado ao eixo anatômico da articulação radiocárpica (linha bissecante entre os processos estiloides do rádio e da ulna, na altura do osso capitato). A alavanca (</w:t>
      </w:r>
      <w:r>
        <w:rPr>
          <w:i/>
          <w:iCs/>
        </w:rPr>
        <w:t>wrist attachment</w:t>
      </w:r>
      <w:r>
        <w:t xml:space="preserve">) será travada no modo isométrico no ângulo articular de </w:t>
      </w:r>
      <w:r>
        <w:rPr>
          <w:highlight w:val="none"/>
        </w:rPr>
        <w:t xml:space="preserve">70° de extensão de punho, </w:t>
      </w:r>
      <w:r>
        <w:t>simulando com alta especificidade a angulação funcional de suporte e a atuação da estratégia de punho (</w:t>
      </w:r>
      <w:r>
        <w:rPr>
          <w:i/>
          <w:iCs/>
        </w:rPr>
        <w:t>wrist strategy</w:t>
      </w:r>
      <w:r>
        <w:t xml:space="preserve">) durante o </w:t>
      </w:r>
      <w:r>
        <w:rPr>
          <w:rFonts w:hint="default"/>
          <w:i/>
          <w:iCs/>
          <w:lang w:val="pt-BR"/>
        </w:rPr>
        <w:t xml:space="preserve">HS </w:t>
      </w:r>
      <w:r>
        <w:rPr>
          <w:rFonts w:hint="default"/>
          <w:i w:val="0"/>
          <w:iCs w:val="0"/>
          <w:lang w:val="pt-BR"/>
        </w:rPr>
        <w:fldChar w:fldCharType="begin"/>
      </w:r>
      <w:r>
        <w:rPr>
          <w:rFonts w:hint="default"/>
          <w:i w:val="0"/>
          <w:iCs w:val="0"/>
          <w:lang w:val="pt-BR"/>
        </w:rPr>
        <w:instrText xml:space="preserve"> ADDIN ZOTERO_ITEM CSL_CITATION {"citationID":"5xg4t7kb","properties":{"unsorted":false,"formattedCitation":"[3], [9], [54]","plainCitation":"[3], [9], [54]","noteIndex":0},"citationItems":[{"id":336,"uris":["http://zotero.org/users/17274952/items/P82NI7IB"],"itemData":{"id":336,"type":"article-journal","abstract":"KERWIN,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G."},{"family":"Trewartha","given":"Grant"}],"issued":{"date-parts":[["2001",7]]}}},{"id":8,"uris":["http://zotero.org/users/17274952/items/YSSQK76Z"],"itemData":{"id":8,"type":"article-journal","container-title":"Journal of Electromyography and Kinesiology","DOI":"10.1016/S1050-6411(97)00025-4","ISSN":"10506411","issue":"2","journalAbbreviation":"Journal of Electromyography and Kinesiology","language":"en","license":"https://www.elsevier.com/tdm/userlicense/1.0/","page":"93-100","source":"DOI.org (Crossref)","title":"Musculoskeletal balance of the human wrist elucidated using intraoperative laser diffraction","volume":"8","author":[{"family":"Lieber","given":"Richard L"},{"family":"Fridén","given":"Jan"}],"issued":{"date-parts":[["1998",4]]}}},{"id":299,"uris":["http://zotero.org/users/17274952/items/EJ28IYIX"],"itemData":{"id":299,"type":"article-journal","abstract":"In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i w:val="0"/>
          <w:iCs w:val="0"/>
          <w:lang w:val="pt-BR"/>
        </w:rPr>
        <w:fldChar w:fldCharType="separate"/>
      </w:r>
      <w:r>
        <w:rPr>
          <w:rFonts w:hint="default"/>
          <w:i w:val="0"/>
          <w:iCs w:val="0"/>
          <w:lang w:val="pt-BR"/>
        </w:rPr>
        <w:t>[3], [9], [54]</w:t>
      </w:r>
      <w:r>
        <w:rPr>
          <w:rFonts w:hint="default"/>
          <w:i w:val="0"/>
          <w:iCs w:val="0"/>
          <w:lang w:val="pt-BR"/>
        </w:rPr>
        <w:fldChar w:fldCharType="end"/>
      </w:r>
      <w:r>
        <w:rPr>
          <w:rFonts w:hint="default"/>
          <w:i/>
          <w:iCs/>
          <w:lang w:val="pt-BR"/>
        </w:rPr>
        <w:t xml:space="preserve"> </w:t>
      </w:r>
      <w:r>
        <w:t>. Após a calibração do zero anatômico e a correção automática do peso do membro e da alavanca (</w:t>
      </w:r>
      <w:r>
        <w:rPr>
          <w:i/>
          <w:iCs/>
        </w:rPr>
        <w:t>gravity correction</w:t>
      </w:r>
      <w:r>
        <w:t xml:space="preserve">), o participante realizará contrações voluntárias máximas de flexão de punho com duração de 5 segundos cada, intercaladas por 60 segundos de repouso passivo </w:t>
      </w:r>
      <w:r>
        <w:fldChar w:fldCharType="begin"/>
      </w:r>
      <w:r>
        <w:rPr>
          <w:lang w:val="pt-BR"/>
        </w:rPr>
        <w:instrText xml:space="preserve"> ADDIN ZOTERO_ITEM CSL_CITATION {"citationID":"4M4RcQOL","properties":{"unsorted":false,"formattedCitation":"[55]","plainCitation":"[55]","noteIndex":0},"citationItems":[{"id":7,"uris":["http://zotero.org/users/17274952/items/YBUZXYJB"],"itemData":{"id":7,"type":"book","DOI":"10.4324/9781003380719","edition":"3","ISBN":"978-1-003-38071-9","language":"en","publisher":"Routledge","publisher-place":"New York","source":"DOI.org (Crossref)","title":"Isokinetics: Muscle Testing, Interpretation and Clinical Applications","title-short":"Isokinetics","URL":"https://www.taylorfrancis.com/books/9781003380719","author":[{"family":"Dvir","given":"Zeevi"}],"accessed":{"date-parts":[["2026",8,27]]},"issued":{"date-parts":[["2025",5,9]]}}}],"schema":"https://github.com/citation-style-language/schema/raw/master/csl-citation.json"} </w:instrText>
      </w:r>
      <w:r>
        <w:fldChar w:fldCharType="separate"/>
      </w:r>
      <w:r>
        <w:rPr>
          <w:lang w:val="pt-BR"/>
        </w:rPr>
        <w:t>[55]</w:t>
      </w:r>
      <w:r>
        <w:fldChar w:fldCharType="end"/>
      </w:r>
      <w:r>
        <w:t xml:space="preserve">. O maior valor de pico de torque (PT, em N·m) será registrado e normalizado pela massa corporal (N·m/kg) (Jaric, 2002). Adicionalmente, será calculado será calculado o Índice de Simetria de Membros [LSI (%) = (PT não dominante / PT dominante) × 100] para posterior análise na locomoção dinâmica </w:t>
      </w:r>
      <w:r>
        <w:fldChar w:fldCharType="begin"/>
      </w:r>
      <w:r>
        <w:rPr>
          <w:lang w:val="pt-BR"/>
        </w:rPr>
        <w:instrText xml:space="preserve"> ADDIN ZOTERO_ITEM CSL_CITATION {"citationID":"Tk2je6FQ","properties":{"unsorted":false,"formattedCitation":"[56]","plainCitation":"[56]","noteIndex":0},"citationItems":[{"id":4,"uris":["http://zotero.org/users/17274952/items/EFWZLII9"],"itemData":{"id":4,"type":"article-journal","abstract":"ABSTRACT\n            The concept of thresholds has commonly appeared in the literature for the topic of interlimb asymmetry. However, with an abundance of literature showing asymmetry to be task- and metric-specific, the use of thresholds seems flawed. When computed, practitioners are often left with a percentage figure and it is not always entirely obvious how to interpret this value. This article aims to provide practitioners with some guidelines on meaningful ways to use and interpret interlimb asymmetry data.","container-title":"Strength &amp; Conditioning Journal","DOI":"10.1519/SSC.0000000000000554","ISSN":"1524-1602","issue":"1","language":"en","page":"32-36","source":"DOI.org (Crossref)","title":"Interlimb Asymmetries: Are Thresholds a Usable Concept?","title-short":"Interlimb Asymmetries","volume":"43","author":[{"family":"Bishop","given":"Chris"}],"issued":{"date-parts":[["2021",2]]}}}],"schema":"https://github.com/citation-style-language/schema/raw/master/csl-citation.json"} </w:instrText>
      </w:r>
      <w:r>
        <w:fldChar w:fldCharType="separate"/>
      </w:r>
      <w:r>
        <w:rPr>
          <w:lang w:val="pt-BR"/>
        </w:rPr>
        <w:t>[56]</w:t>
      </w:r>
      <w:r>
        <w:fldChar w:fldCharType="end"/>
      </w:r>
      <w:r>
        <w:t>. Um intervalo de recuperação passiva de 5 minutos será respeitado entre o término da dinamometria e o início do aquecimento para o teste de 1-RM.</w:t>
      </w:r>
    </w:p>
    <w:p w14:paraId="15E03332">
      <w:pPr>
        <w:pStyle w:val="11"/>
        <w:spacing w:before="0" w:beforeAutospacing="0" w:after="0" w:afterAutospacing="0" w:line="360" w:lineRule="auto"/>
      </w:pPr>
      <w:r>
        <w:t xml:space="preserve">d) Teste de 1 Repetição Máxima (1-RM) no </w:t>
      </w:r>
      <w:r>
        <w:rPr>
          <w:i/>
          <w:iCs/>
        </w:rPr>
        <w:t>SP</w:t>
      </w:r>
    </w:p>
    <w:p w14:paraId="1B36F705">
      <w:pPr>
        <w:suppressAutoHyphens w:val="0"/>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A força máxima dinâmica dos músculos de membros superiores em empurrar acima da cabeça será mensurada pelo teste de 1-RM no shoulder press com barra e pesos livres, seguindo protocolo adaptado de teste progressivo de carga máxima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{"citationID":"pyYfeFLJ","properties":{"unsorted":false,"formattedCitation":"[47], [57], [58]","plainCitation":"[47], [57], [58]","noteIndex":0},"citationItems":[{"id":357,"uris":["http://zotero.org/users/17274952/items/PT598QVY"],"itemData":{"id":357,"type":"article-journal","abstract":"Embora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Association"}],"issued":{"date-parts":[["2027"]]}}},{"id":3,"uris":["http://zotero.org/users/17274952/items/QXK7H6DX"],"itemData":{"id":3,"type":"article-journal","container-title":"Sports Medicine","DOI":"10.1007/s40279-019-01096-8","ISSN":"0112-1642, 1179-2035","issue":"6","journalAbbreviation":"Sports Med","language":"en","page":"867-885","source":"DOI.org (Crossref)","title":"Weightlifting Overhead Pressing Derivatives: A Review of the Literature","title-short":"Weightlifting Overhead Pressing Derivatives","volume":"49","author":[{"family":"Soriano","given":"Marcos A."},{"family":"Suchomel","given":"Timothy J."},{"family":"Comfort","given":"Paul"}],"issued":{"date-parts":[["2019",6]]}}}],"schema":"https://github.com/citation-style-language/schema/raw/master/csl-citation.json"}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eastAsia="Times New Roman" w:cs="Times New Roman"/>
          <w:lang w:val="pt-BR"/>
        </w:rPr>
        <w:t>[47], [57], [58]</w:t>
      </w:r>
      <w:r>
        <w:rPr>
          <w:rFonts w:ascii="Times New Roman" w:hAnsi="Times New Roman" w:eastAsia="Times New Roman" w:cs="Times New Roman"/>
        </w:rPr>
        <w:fldChar w:fldCharType="end"/>
      </w:r>
      <w:r>
        <w:rPr>
          <w:rFonts w:ascii="Times New Roman" w:hAnsi="Times New Roman" w:eastAsia="Times New Roman" w:cs="Times New Roman"/>
        </w:rPr>
        <w:t>. Os participantes realizarão um aquecimento constituído por 10 repetições do movimento apenas com a barra metálica olímpica (FlexFit®, Franca, Brasil), pesando 20 kg para homens, e 15 kg ou 10 kg para mulheres. Em seguida, anilhas calibradas (FlexFit®, Franca, Brasil) serão adicionadas para a progressão da carga. A distância de pegada das mãos na barra será padronizada ligeiramente além da largura dos ombros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xtLaG6Gj","properties":{"unsorted":false,"formattedCitation":"[59]","plainCitation":"[59]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[59]</w:t>
      </w:r>
      <w:r>
        <w:rPr>
          <w:rFonts w:hint="default" w:ascii="Times New Roman" w:hAnsi="Times New Roman" w:eastAsia="Times New Roman" w:cs="Times New Roman"/>
          <w:lang w:val="pt-BR"/>
        </w:rPr>
        <w:fldChar w:fldCharType="end"/>
      </w:r>
      <w:r>
        <w:rPr>
          <w:rFonts w:ascii="Times New Roman" w:hAnsi="Times New Roman" w:eastAsia="Times New Roman" w:cs="Times New Roman"/>
        </w:rPr>
        <w:t>.</w:t>
      </w:r>
    </w:p>
    <w:p w14:paraId="2D5E3914">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textAlignment w:val="auto"/>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No primeiro estágio, a carga será ajustada para 50% do valor de 1-RM caso o participante conheça sua marca prévia (PR), ou utilizada carga correspondente a 40% da massa corporal para aqueles que desconhecem sua 1-RM, assegurando uma ativação inicial entre 40% e 60% da capacidade máxima estimada sem indução de fadiga prematura </w:t>
      </w:r>
      <w:r>
        <w:rPr>
          <w:rFonts w:ascii="Times New Roman" w:hAnsi="Times New Roman" w:eastAsia="Times New Roman" w:cs="Times New Roman"/>
          <w:highlight w:val="none"/>
        </w:rPr>
        <w:fldChar w:fldCharType="begin"/>
      </w:r>
      <w:r>
        <w:rPr>
          <w:rFonts w:ascii="Times New Roman" w:hAnsi="Times New Roman" w:eastAsia="Times New Roman" w:cs="Times New Roman"/>
          <w:highlight w:val="none"/>
          <w:lang w:val="pt-BR"/>
        </w:rPr>
        <w:instrText xml:space="preserve"> ADDIN ZOTERO_ITEM CSL_CITATION {"citationID":"xK6D7HpQ","properties":{"unsorted":false,"formattedCitation":"[47]","plainCitation":"[47]","noteIndex":0},"citationItems":[{"id":1,"uris":["http://zotero.org/users/17274952/items/XDV7JVW7"],"itemData":{"id":1,"type":"book","edition":"Fifth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ascii="Times New Roman" w:hAnsi="Times New Roman" w:eastAsia="Times New Roman" w:cs="Times New Roman"/>
          <w:highlight w:val="none"/>
        </w:rPr>
        <w:fldChar w:fldCharType="separate"/>
      </w:r>
      <w:r>
        <w:rPr>
          <w:rFonts w:ascii="Times New Roman" w:hAnsi="Times New Roman" w:eastAsia="Times New Roman" w:cs="Times New Roman"/>
          <w:highlight w:val="none"/>
          <w:lang w:val="pt-BR"/>
        </w:rPr>
        <w:t>[47]</w:t>
      </w:r>
      <w:r>
        <w:rPr>
          <w:rFonts w:ascii="Times New Roman" w:hAnsi="Times New Roman" w:eastAsia="Times New Roman" w:cs="Times New Roman"/>
          <w:highlight w:val="none"/>
        </w:rPr>
        <w:fldChar w:fldCharType="end"/>
      </w:r>
      <w:r>
        <w:rPr>
          <w:rFonts w:ascii="Times New Roman" w:hAnsi="Times New Roman" w:eastAsia="Times New Roman" w:cs="Times New Roman"/>
          <w:highlight w:val="none"/>
        </w:rPr>
        <w:t>.</w:t>
      </w:r>
      <w:r>
        <w:rPr>
          <w:highlight w:val="none"/>
        </w:rPr>
        <w:t xml:space="preserve"> </w:t>
      </w:r>
      <w:r>
        <w:rPr>
          <w:rFonts w:ascii="Times New Roman" w:hAnsi="Times New Roman" w:eastAsia="Times New Roman" w:cs="Times New Roman"/>
          <w:highlight w:val="none"/>
        </w:rPr>
        <w:t xml:space="preserve">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w:t>
      </w:r>
      <w:r>
        <w:rPr>
          <w:rFonts w:ascii="Times New Roman" w:hAnsi="Times New Roman" w:eastAsia="Times New Roman" w:cs="Times New Roman"/>
          <w:highlight w:val="none"/>
        </w:rPr>
        <w:fldChar w:fldCharType="begin"/>
      </w:r>
      <w:r>
        <w:rPr>
          <w:rFonts w:ascii="Times New Roman" w:hAnsi="Times New Roman" w:eastAsia="Times New Roman" w:cs="Times New Roman"/>
          <w:highlight w:val="none"/>
          <w:lang w:val="pt-BR"/>
        </w:rPr>
        <w:instrText xml:space="preserve"> ADDIN ZOTERO_ITEM CSL_CITATION {"citationID":"IZPXcbao","properties":{"unsorted":false,"formattedCitation":"[57]","plainCitation":"[57]","noteIndex":0},"citationItems":[{"id":357,"uris":["http://zotero.org/users/17274952/items/PT598QVY"],"itemData":{"id":357,"type":"article-journal","abstract":"Embora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Demantova"}],"issued":{"date-parts":[["2005"]]}}}],"schema":"https://github.com/citation-style-language/schema/raw/master/csl-citation.json"} </w:instrText>
      </w:r>
      <w:r>
        <w:rPr>
          <w:rFonts w:ascii="Times New Roman" w:hAnsi="Times New Roman" w:eastAsia="Times New Roman" w:cs="Times New Roman"/>
          <w:highlight w:val="none"/>
        </w:rPr>
        <w:fldChar w:fldCharType="separate"/>
      </w:r>
      <w:r>
        <w:rPr>
          <w:rFonts w:ascii="Times New Roman" w:hAnsi="Times New Roman" w:eastAsia="Times New Roman" w:cs="Times New Roman"/>
          <w:highlight w:val="none"/>
          <w:lang w:val="pt-BR"/>
        </w:rPr>
        <w:t>[57]</w:t>
      </w:r>
      <w:r>
        <w:rPr>
          <w:rFonts w:ascii="Times New Roman" w:hAnsi="Times New Roman" w:eastAsia="Times New Roman" w:cs="Times New Roman"/>
          <w:highlight w:val="none"/>
        </w:rPr>
        <w:fldChar w:fldCharType="end"/>
      </w:r>
      <w:r>
        <w:rPr>
          <w:rFonts w:ascii="Times New Roman" w:hAnsi="Times New Roman" w:eastAsia="Times New Roman" w:cs="Times New Roman"/>
          <w:highlight w:val="none"/>
        </w:rPr>
        <w:t>. 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 A conclusão válida da repetição exige a extensão completa dos cotovelos com a barra estabilizada acima da cabeça no plano vertical.</w:t>
      </w:r>
      <w:r>
        <w:rPr>
          <w:rFonts w:hint="default" w:ascii="Times New Roman" w:hAnsi="Times New Roman" w:eastAsia="Times New Roman" w:cs="Times New Roman"/>
          <w:highlight w:val="none"/>
          <w:lang w:val="pt-BR"/>
        </w:rPr>
        <w:t xml:space="preserve"> </w:t>
      </w:r>
      <w:r>
        <w:rPr>
          <w:rFonts w:ascii="Times New Roman" w:hAnsi="Times New Roman" w:eastAsia="Times New Roman" w:cs="Times New Roman"/>
          <w:highlight w:val="none"/>
        </w:rPr>
        <w:t xml:space="preserve">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SP será expressa pela carga absoluta em quilogramas (kg) e pela força relativa à massa corporal total (kg/kg) </w:t>
      </w:r>
      <w:r>
        <w:rPr>
          <w:rFonts w:ascii="Times New Roman" w:hAnsi="Times New Roman" w:eastAsia="Times New Roman" w:cs="Times New Roman"/>
          <w:highlight w:val="none"/>
        </w:rPr>
        <w:fldChar w:fldCharType="begin"/>
      </w:r>
      <w:r>
        <w:rPr>
          <w:rFonts w:ascii="Times New Roman" w:hAnsi="Times New Roman" w:eastAsia="Times New Roman" w:cs="Times New Roman"/>
          <w:highlight w:val="none"/>
          <w:lang w:val="pt-BR"/>
        </w:rPr>
        <w:instrText xml:space="preserve"> ADDIN ZOTERO_ITEM CSL_CITATION {"citationID":"KwvKTcbj","properties":{"unsorted":false,"formattedCitation":"[53], [59]","plainCitation":"[53], [59]","noteIndex":0},"citationItems":[{"id":332,"uris":["http://zotero.org/users/17274952/items/3G6MAY8K"],"itemData":{"id":332,"type":"thesis","language":"pt","source":"Zotero","title":"A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ascii="Times New Roman" w:hAnsi="Times New Roman" w:eastAsia="Times New Roman" w:cs="Times New Roman"/>
          <w:highlight w:val="none"/>
        </w:rPr>
        <w:fldChar w:fldCharType="separate"/>
      </w:r>
      <w:r>
        <w:rPr>
          <w:rFonts w:ascii="Times New Roman" w:hAnsi="Times New Roman" w:eastAsia="Times New Roman" w:cs="Times New Roman"/>
          <w:highlight w:val="none"/>
          <w:lang w:val="pt-BR"/>
        </w:rPr>
        <w:t>[53], [59]</w:t>
      </w:r>
      <w:r>
        <w:rPr>
          <w:rFonts w:ascii="Times New Roman" w:hAnsi="Times New Roman" w:eastAsia="Times New Roman" w:cs="Times New Roman"/>
          <w:highlight w:val="none"/>
        </w:rPr>
        <w:fldChar w:fldCharType="end"/>
      </w:r>
      <w:r>
        <w:rPr>
          <w:rFonts w:ascii="Times New Roman" w:hAnsi="Times New Roman" w:eastAsia="Times New Roman" w:cs="Times New Roman"/>
          <w:highlight w:val="none"/>
        </w:rPr>
        <w:t>. Após a conclusão do teste de 1-RM, será concedido um período de repouso passivo de 8 minutos para a ressíntese dos estoques energéticos antes do teste final de resistência isométrica.</w:t>
      </w:r>
    </w:p>
    <w:p w14:paraId="1F86B5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textAlignment w:val="auto"/>
      </w:pPr>
      <w:r>
        <w:t>e) Teste de Resistência em Posição Invertida (</w:t>
      </w:r>
      <w:r>
        <w:rPr>
          <w:i/>
          <w:iCs/>
        </w:rPr>
        <w:t>wall-supported HS</w:t>
      </w:r>
      <w:r>
        <w:t>)</w:t>
      </w:r>
    </w:p>
    <w:p w14:paraId="294A95D0">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firstLineChars="0"/>
        <w:jc w:val="both"/>
        <w:textAlignment w:val="auto"/>
        <w:rPr>
          <w:rFonts w:ascii="Times New Roman" w:hAnsi="Times New Roman" w:eastAsia="Times New Roman" w:cs="Times New Roman"/>
        </w:rPr>
      </w:pPr>
      <w:r>
        <w:rPr>
          <w:rFonts w:ascii="Times New Roman" w:hAnsi="Times New Roman" w:eastAsia="Times New Roman" w:cs="Times New Roman"/>
        </w:rPr>
        <w:t xml:space="preserve">A resistência muscular isométrica dos membros superiores em posição invertida será avaliada por meio do tempo máximo de sustentação (em segundos) no HS com o ventre voltado para a parede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{"citationID":"iSLUpIZV","properties":{"unsorted":false,"formattedCitation":"[19],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eastAsia="Times New Roman" w:cs="Times New Roman"/>
          <w:lang w:val="pt-BR"/>
        </w:rPr>
        <w:t>[19], [27]</w:t>
      </w:r>
      <w:r>
        <w:rPr>
          <w:rFonts w:ascii="Times New Roman" w:hAnsi="Times New Roman" w:eastAsia="Times New Roman" w:cs="Times New Roman"/>
        </w:rPr>
        <w:fldChar w:fldCharType="end"/>
      </w:r>
      <w:r>
        <w:rPr>
          <w:rFonts w:ascii="Times New Roman" w:hAnsi="Times New Roman" w:eastAsia="Times New Roman" w:cs="Times New Roman"/>
        </w:rPr>
        <w:t xml:space="preserve">. Para padronização da base de sustentação, será fixada uma fita adesiva no solo demarcando o limite de posicionamento das mãos a 20 cm da parede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{"citationID":"M2NMI0ab","properties":{"unsorted":false,"formattedCitation":"[60]","plainCitation":"[60]","noteIndex":0},"citationItems":[{"id":37,"uris":["http://zotero.org/users/17274952/items/QWZYMZ6N"],"itemData":{"id":37,"type":"book","collection-title":"Medicine and Sport Science","DOI":"10.1159/isbn.978-3-318-00894-4","ISBN":"978-3-8055-7476-1","language":"en","publisher":"S. Karger AG","source":"DOI.org (Crossref)","title":"Scientific Aspects of Women's Gymnastics","URL":"https://karger.com/book/doi/10.1159/isbn.978-3-318-00894-4","volume":"45","author":[{"family":"Sands","given":"W.A."},{"family":"Caine","given":"D.J."},{"family":"Borms","given":"J."}],"accessed":{"date-parts":[["2026",4,15]]},"issued":{"date-parts":[["2002",10,31]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eastAsia="Times New Roman" w:cs="Times New Roman"/>
          <w:lang w:val="pt-BR"/>
        </w:rPr>
        <w:t>[60]</w:t>
      </w:r>
      <w:r>
        <w:rPr>
          <w:rFonts w:ascii="Times New Roman" w:hAnsi="Times New Roman" w:eastAsia="Times New Roman" w:cs="Times New Roman"/>
        </w:rPr>
        <w:fldChar w:fldCharType="end"/>
      </w:r>
      <w:r>
        <w:rPr>
          <w:rFonts w:ascii="Times New Roman" w:hAnsi="Times New Roman" w:eastAsia="Times New Roman" w:cs="Times New Roman"/>
        </w:rPr>
        <w:t>. O participante assumirá a postura invertida por meio de escalada pela parede (</w:t>
      </w:r>
      <w:r>
        <w:rPr>
          <w:rFonts w:ascii="Times New Roman" w:hAnsi="Times New Roman" w:eastAsia="Times New Roman" w:cs="Times New Roman"/>
          <w:i/>
          <w:iCs/>
        </w:rPr>
        <w:t>wall</w:t>
      </w:r>
      <w:r>
        <w:rPr>
          <w:rFonts w:ascii="Times New Roman" w:hAnsi="Times New Roman" w:eastAsia="Times New Roman" w:cs="Times New Roman"/>
        </w:rPr>
        <w:t>-</w:t>
      </w:r>
      <w:r>
        <w:rPr>
          <w:rFonts w:ascii="Times New Roman" w:hAnsi="Times New Roman" w:eastAsia="Times New Roman" w:cs="Times New Roman"/>
          <w:i/>
          <w:iCs/>
        </w:rPr>
        <w:t>walk</w:t>
      </w:r>
      <w:r>
        <w:rPr>
          <w:rFonts w:ascii="Times New Roman" w:hAnsi="Times New Roman" w:eastAsia="Times New Roman" w:cs="Times New Roman"/>
        </w:rPr>
        <w:t xml:space="preserve">), alinhando as mãos na largura dos ombros com as pontas dos dedos sobre a demarcação e mantendo apenas o dorso dos pés e a ponta dos dedos em contato com a estrutura vertical, com o corpo posicionado no maior alinhamento vertical possível. O participante será instruído a sustentar a postura até a exaustão voluntária máxima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{"citationID":"MzlS9Q6b","properties":{"unsorted":false,"formattedCitation":"[46],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eastAsia="Times New Roman" w:cs="Times New Roman"/>
          <w:lang w:val="pt-BR"/>
        </w:rPr>
        <w:t>[46], [47]</w:t>
      </w:r>
      <w:r>
        <w:rPr>
          <w:rFonts w:ascii="Times New Roman" w:hAnsi="Times New Roman" w:eastAsia="Times New Roman" w:cs="Times New Roman"/>
        </w:rPr>
        <w:fldChar w:fldCharType="end"/>
      </w:r>
      <w:r>
        <w:rPr>
          <w:rFonts w:ascii="Times New Roman" w:hAnsi="Times New Roman" w:eastAsia="Times New Roman" w:cs="Times New Roman"/>
        </w:rPr>
        <w:t>.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{"citationID":"DEWyouRY","properties":{"unsorted":false,"formattedCitation":"[19],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lang w:val="pt-BR"/>
        </w:rPr>
        <w:fldChar w:fldCharType="end"/>
      </w:r>
      <w:r>
        <w:rPr>
          <w:rFonts w:ascii="Times New Roman" w:hAnsi="Times New Roman" w:eastAsia="Times New Roman" w:cs="Times New Roman"/>
        </w:rPr>
        <w:t>. O tempo de sustentação será cronometrado com precisão de centésimos de segundo utilizando um cronômetro digital (Casio®, modelo HS-80TW-BU, Tóquio, Japão). Serão realizadas duas tentativas máximas, intercaladas por um intervalo de recuperação passiva de 5 minutos, sendo o maior tempo retido para as análises estatísticas.</w:t>
      </w:r>
    </w:p>
    <w:p w14:paraId="30BED911">
      <w:pPr>
        <w:widowControl w:val="0"/>
        <w:spacing w:line="360" w:lineRule="auto"/>
        <w:rPr>
          <w:rFonts w:ascii="Times New Roman" w:hAnsi="Times New Roman" w:cs="Times New Roman"/>
          <w:u w:val="none"/>
        </w:rPr>
      </w:pPr>
      <w:r>
        <w:rPr>
          <w:rFonts w:hint="default" w:ascii="Times New Roman" w:hAnsi="Times New Roman" w:eastAsia="Times New Roman" w:cs="Times New Roman"/>
          <w:u w:val="none"/>
          <w:lang w:val="pt-BR"/>
        </w:rPr>
        <w:t xml:space="preserve">3.4.2 </w:t>
      </w:r>
      <w:r>
        <w:rPr>
          <w:rFonts w:ascii="Times New Roman" w:hAnsi="Times New Roman" w:eastAsia="Times New Roman" w:cs="Times New Roman"/>
          <w:u w:val="none"/>
        </w:rPr>
        <w:t xml:space="preserve">Sessão 2 - Avaliação de desempenho </w:t>
      </w:r>
      <w:r>
        <w:rPr>
          <w:rFonts w:ascii="Times New Roman" w:hAnsi="Times New Roman" w:eastAsia="Times New Roman" w:cs="Times New Roman"/>
          <w:i/>
          <w:u w:val="none"/>
        </w:rPr>
        <w:t xml:space="preserve">do </w:t>
      </w:r>
      <w:r>
        <w:rPr>
          <w:rFonts w:ascii="Times New Roman" w:hAnsi="Times New Roman" w:eastAsia="Times New Roman" w:cs="Times New Roman"/>
          <w:i/>
          <w:iCs/>
          <w:u w:val="none"/>
        </w:rPr>
        <w:t>HS</w:t>
      </w:r>
      <w:r>
        <w:rPr>
          <w:rFonts w:ascii="Times New Roman" w:hAnsi="Times New Roman" w:eastAsia="Times New Roman" w:cs="Times New Roman"/>
          <w:i/>
          <w:u w:val="none"/>
        </w:rPr>
        <w:t xml:space="preserve"> </w:t>
      </w:r>
      <w:r>
        <w:rPr>
          <w:rFonts w:ascii="Times New Roman" w:hAnsi="Times New Roman" w:eastAsia="Times New Roman" w:cs="Times New Roman"/>
          <w:u w:val="none"/>
        </w:rPr>
        <w:t xml:space="preserve">e </w:t>
      </w:r>
      <w:r>
        <w:rPr>
          <w:rFonts w:ascii="Times New Roman" w:hAnsi="Times New Roman" w:eastAsia="Times New Roman" w:cs="Times New Roman"/>
          <w:i/>
          <w:iCs/>
          <w:u w:val="none"/>
        </w:rPr>
        <w:t>HSW</w:t>
      </w:r>
    </w:p>
    <w:p w14:paraId="3AB26515">
      <w:pPr>
        <w:widowControl w:val="0"/>
        <w:spacing w:line="360" w:lineRule="auto"/>
        <w:ind w:firstLine="720"/>
        <w:rPr>
          <w:rFonts w:ascii="Times New Roman" w:hAnsi="Times New Roman" w:cs="Times New Roman"/>
        </w:rPr>
      </w:pPr>
      <w:r>
        <w:rPr>
          <w:rFonts w:ascii="Times New Roman" w:hAnsi="Times New Roman" w:cs="Times New Roman"/>
        </w:rPr>
        <w:t xml:space="preserve">Para a captura da cinemática tridimensional, serão fixados 39 marcadores esféricos retrorrefletivos sobre pontos anatômicos através de todo o corpo, seguindo o protocolo padronizado Plug-in Gait Full Body (Vicon®, Oxford, Reino Unido), fundamentado no modelo biomecânico de Davis et al. (1991) e Kadaba et al. (1990)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{"citationID":"y3Pevodv","properties":{"unsorted":false,"formattedCitation":"[61], [62]","plainCitation":"[61], [62]","noteIndex":0},"citationItems":[{"id":19,"uris":["http://zotero.org/users/17274952/items/9YDQ4XD5"],"itemData":{"id":19,"type":"article-journal","container-title":"Human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R."}],"issued":{"date-parts":[["1991",10]]}}},{"id":20,"uris":["http://zotero.org/users/17274952/items/QUJ85GYE"],"itemData":{"id":20,"type":"article-journal","abstract":"Abstract\n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lang w:val="pt-BR"/>
        </w:rPr>
        <w:t>[61], [62]</w:t>
      </w:r>
      <w:r>
        <w:rPr>
          <w:rFonts w:ascii="Times New Roman" w:hAnsi="Times New Roman" w:cs="Times New Roman"/>
        </w:rPr>
        <w:fldChar w:fldCharType="end"/>
      </w:r>
      <w:r>
        <w:rPr>
          <w:rFonts w:ascii="Times New Roman" w:hAnsi="Times New Roman" w:cs="Times New Roman"/>
        </w:rPr>
        <w:t xml:space="preserve">. Adicionalmente a este protocolo padrão, e de forma específica para solucionar o desafio de oclusão óptica impostos pela tarefa de locomoção invertida (HSW), sobretudo nos marcadores dos ombros (LSHO e RSHO), serão fixados dois marcadores retrorrefletivos extras na região dorsal do participante, alinhados lateralmente ao marcador T10. Esta adaptação metodológica permitiu que estes dois marcadores extras operassem em conjunto com o C7 e o T10, formando um cluster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 </w:t>
      </w:r>
      <w:r>
        <w:rPr>
          <w:rFonts w:ascii="Times New Roman" w:hAnsi="Times New Roman" w:cs="Times New Roman"/>
        </w:rPr>
        <w:fldChar w:fldCharType="begin"/>
      </w:r>
      <w:r>
        <w:rPr>
          <w:rFonts w:ascii="Times New Roman" w:hAnsi="Times New Roman" w:cs="Times New Roman"/>
          <w:lang w:val="pt-BR"/>
        </w:rPr>
        <w:instrText xml:space="preserve"> ADDIN ZOTERO_ITEM CSL_CITATION {"citationID":"xn7f3MF5","properties":{"unsorted":false,"formattedCitation":"[63],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lang w:val="pt-BR"/>
        </w:rPr>
        <w:t>[63], [64]</w:t>
      </w:r>
      <w:r>
        <w:rPr>
          <w:rFonts w:ascii="Times New Roman" w:hAnsi="Times New Roman" w:cs="Times New Roman"/>
        </w:rPr>
        <w:fldChar w:fldCharType="end"/>
      </w:r>
      <w:r>
        <w:rPr>
          <w:rFonts w:ascii="Times New Roman" w:hAnsi="Times New Roman" w:cs="Times New Roman"/>
          <w:color w:val="101010"/>
          <w:shd w:val="clear" w:color="auto" w:fill="F2F2F2"/>
        </w:rPr>
        <w:t>.  </w:t>
      </w:r>
      <w:r>
        <w:rPr>
          <w:rFonts w:ascii="Times New Roman" w:hAnsi="Times New Roman" w:cs="Times New Roman"/>
        </w:rPr>
        <w:t>Ressalta-se que o marcador clavicular (CLAV), classicamente utilizado em modelos eretos, foi intencionalmente suprimido da malha de reconstrução por ser metodologicamente irrelevante para as variáveis de centro de massa e articulares do presente estudo, mitigando assim a introdução de ruídos mecânicos no bloco rígido torácico. </w:t>
      </w:r>
    </w:p>
    <w:p w14:paraId="249A322D">
      <w:pPr>
        <w:widowControl w:val="0"/>
        <w:spacing w:line="360" w:lineRule="auto"/>
        <w:ind w:firstLine="720"/>
        <w:rPr>
          <w:rFonts w:ascii="Times New Roman" w:hAnsi="Times New Roman" w:eastAsia="Times New Roman" w:cs="Times New Roman"/>
        </w:rPr>
      </w:pPr>
      <w:r>
        <w:rPr>
          <w:rFonts w:ascii="Times New Roman" w:hAnsi="Times New Roman" w:cs="Times New Roman"/>
        </w:rPr>
        <w:t>Será rea</w:t>
      </w:r>
      <w:r>
        <w:rPr>
          <w:rFonts w:ascii="Times New Roman" w:hAnsi="Times New Roman" w:eastAsia="Times New Roman" w:cs="Times New Roman"/>
        </w:rPr>
        <w:t xml:space="preserve">lizado um aquecimento com exercícios de peso corporal </w:t>
      </w:r>
      <w:r>
        <w:rPr>
          <w:rFonts w:hint="default" w:ascii="Times New Roman" w:hAnsi="Times New Roman" w:eastAsia="Times New Roman" w:cs="Times New Roman"/>
          <w:lang w:val="pt-BR"/>
        </w:rPr>
        <w:t xml:space="preserve">contemplando mobilidade articular, ativação de musculatura dos ombros e </w:t>
      </w:r>
      <w:r>
        <w:rPr>
          <w:rFonts w:hint="default" w:ascii="Times New Roman" w:hAnsi="Times New Roman" w:eastAsia="Times New Roman" w:cs="Times New Roman"/>
          <w:i/>
          <w:iCs/>
          <w:lang w:val="pt-BR"/>
        </w:rPr>
        <w:t xml:space="preserve">core </w:t>
      </w:r>
      <w:r>
        <w:rPr>
          <w:rFonts w:hint="default" w:ascii="Times New Roman" w:hAnsi="Times New Roman" w:eastAsia="Times New Roman" w:cs="Times New Roman"/>
          <w:i w:val="0"/>
          <w:iCs w:val="0"/>
          <w:lang w:val="pt-BR"/>
        </w:rPr>
        <w:t>e ativação submáxima em inversão</w:t>
      </w:r>
      <w:r>
        <w:rPr>
          <w:rFonts w:ascii="Times New Roman" w:hAnsi="Times New Roman" w:eastAsia="Times New Roman" w:cs="Times New Roman"/>
        </w:rPr>
        <w:t xml:space="preserve">. A seguir, a coleta começará com o desempenho no </w:t>
      </w:r>
      <w:r>
        <w:rPr>
          <w:rFonts w:ascii="Times New Roman" w:hAnsi="Times New Roman" w:eastAsia="Times New Roman" w:cs="Times New Roman"/>
          <w:i/>
          <w:iCs/>
        </w:rPr>
        <w:t>HS</w:t>
      </w:r>
      <w:r>
        <w:rPr>
          <w:rFonts w:ascii="Times New Roman" w:hAnsi="Times New Roman" w:eastAsia="Times New Roman" w:cs="Times New Roman"/>
        </w:rPr>
        <w:t xml:space="preserve">, que servirá também como um aquecimento específico para o próximo teste, do </w:t>
      </w:r>
      <w:r>
        <w:rPr>
          <w:rFonts w:ascii="Times New Roman" w:hAnsi="Times New Roman" w:eastAsia="Times New Roman" w:cs="Times New Roman"/>
          <w:i/>
          <w:iCs/>
        </w:rPr>
        <w:t>HSW</w:t>
      </w:r>
      <w:r>
        <w:rPr>
          <w:rFonts w:ascii="Times New Roman" w:hAnsi="Times New Roman" w:eastAsia="Times New Roman" w:cs="Times New Roman"/>
        </w:rPr>
        <w:t>.</w:t>
      </w:r>
    </w:p>
    <w:p w14:paraId="4A83A963">
      <w:pPr>
        <w:widowControl w:val="0"/>
        <w:shd w:val="clear" w:color="auto" w:fill="FFFFFF"/>
        <w:spacing w:line="360" w:lineRule="auto"/>
        <w:rPr>
          <w:rFonts w:ascii="Times New Roman" w:hAnsi="Times New Roman" w:cs="Times New Roman"/>
        </w:rPr>
      </w:pPr>
      <w:r>
        <w:rPr>
          <w:rFonts w:ascii="Times New Roman" w:hAnsi="Times New Roman" w:eastAsia="Times New Roman" w:cs="Times New Roman"/>
        </w:rPr>
        <w:t xml:space="preserve">a) Teste de desempenho no </w:t>
      </w:r>
      <w:r>
        <w:rPr>
          <w:rFonts w:ascii="Times New Roman" w:hAnsi="Times New Roman" w:eastAsia="Times New Roman" w:cs="Times New Roman"/>
          <w:i/>
          <w:iCs/>
        </w:rPr>
        <w:t>HS</w:t>
      </w:r>
    </w:p>
    <w:p w14:paraId="6275B03C">
      <w:pPr>
        <w:widowControl w:val="0"/>
        <w:shd w:val="clear" w:color="auto" w:fill="FFFFFF"/>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Para a avaliação do equilíbrio estático, os participantes irão realizar a </w:t>
      </w:r>
      <w:r>
        <w:rPr>
          <w:rFonts w:ascii="Times New Roman" w:hAnsi="Times New Roman" w:eastAsia="Times New Roman" w:cs="Times New Roman"/>
          <w:i/>
          <w:iCs/>
        </w:rPr>
        <w:t>HS</w:t>
      </w:r>
      <w:r>
        <w:rPr>
          <w:rFonts w:ascii="Times New Roman" w:hAnsi="Times New Roman" w:eastAsia="Times New Roman" w:cs="Times New Roman"/>
        </w:rPr>
        <w:t xml:space="preserve"> sobre uma plataforma de força (Bertec®, Columbus, OH, USA) integrada e sincronizada ao sistema de captura de movimento (Vicon®) que registrarão simultaneamente os parâmetros cinemáticos (ângulos articulares de punhos, ombros, quadril e cabeça, altura do centro de massa, base de apoio) e estabilométricos (oscilação entre CoM e CoP e ApEn).</w:t>
      </w:r>
    </w:p>
    <w:p w14:paraId="380607EB">
      <w:pPr>
        <w:pStyle w:val="11"/>
        <w:spacing w:before="0" w:beforeAutospacing="0" w:after="0" w:afterAutospacing="0" w:line="360" w:lineRule="auto"/>
        <w:ind w:firstLine="708"/>
        <w:jc w:val="both"/>
      </w:pPr>
      <w:r>
        <w:t>O protocolo de coleta consistirá em seis tentativas totais, organizadas em dois blocos: três tentativas com entrada assistida e três tentativas de entrada livre. Os participantes posicionarão as mãos sobre a plataforma utilizando a distância e rotação das mãos de sua preferência.</w:t>
      </w:r>
      <w:r>
        <w:rPr>
          <w:rStyle w:val="8"/>
          <w:b w:val="0"/>
          <w:bCs w:val="0"/>
          <w:color w:val="101010"/>
          <w:shd w:val="clear" w:color="auto" w:fill="F2F2F2"/>
        </w:rPr>
        <w:t>.</w:t>
      </w:r>
      <w:r>
        <w:rPr>
          <w:rFonts w:ascii="Arial" w:hAnsi="Arial" w:cs="Arial"/>
          <w:color w:val="101010"/>
          <w:sz w:val="21"/>
          <w:szCs w:val="21"/>
          <w:shd w:val="clear" w:color="auto" w:fill="F2F2F2"/>
        </w:rPr>
        <w:t> </w:t>
      </w:r>
      <w:r>
        <w:t>O bloco de entradas assistidas será realizado primeiro para garantir que o participante estabilize a postura com menor esforço, servindo também como familiarização ao ambiente e condições de coleta. Neste bloco o pesquisador auxiliará o participante a atingir a posição invertida e o estabilizará pelo apoio nas pernas, liberando o contato manual assim que o sujeito sinalizar controle da posição. Para garantir a marcação precisa e objetiva do início equilíbrio, um marcador retrorrefletivo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 Uma pausa de 3 minutos será feita após esse bloco, antes das tentativas livres.  Neste bloco o participante utilizará a técnica de entrada (</w:t>
      </w:r>
      <w:r>
        <w:rPr>
          <w:i/>
          <w:iCs/>
        </w:rPr>
        <w:t>kick-up</w:t>
      </w:r>
      <w:r>
        <w:t>) que lhe for mais natural e eficiente. Entre cada tentativa, será respeitado um intervalo de repouso entre 90 segundos, visando minimizar os efeitos da fadiga muscular acumulada nos membros superiores e estabilizadores do tronco.</w:t>
      </w:r>
    </w:p>
    <w:p w14:paraId="5A6A8AC0">
      <w:pPr>
        <w:widowControl w:val="0"/>
        <w:shd w:val="clear" w:color="auto" w:fill="FFFFFF"/>
        <w:spacing w:line="360" w:lineRule="auto"/>
        <w:rPr>
          <w:rFonts w:ascii="Times New Roman" w:hAnsi="Times New Roman" w:cs="Times New Roman"/>
        </w:rPr>
      </w:pPr>
      <w:r>
        <w:rPr>
          <w:rFonts w:ascii="Times New Roman" w:hAnsi="Times New Roman" w:eastAsia="Times New Roman" w:cs="Times New Roman"/>
        </w:rPr>
        <w:t xml:space="preserve">b) Teste de desempenho no </w:t>
      </w:r>
      <w:r>
        <w:rPr>
          <w:rFonts w:ascii="Times New Roman" w:hAnsi="Times New Roman" w:eastAsia="Times New Roman" w:cs="Times New Roman"/>
          <w:i/>
          <w:iCs/>
        </w:rPr>
        <w:t>HSW</w:t>
      </w:r>
    </w:p>
    <w:p w14:paraId="2B19B528">
      <w:pPr>
        <w:pStyle w:val="11"/>
        <w:spacing w:before="0" w:beforeAutospacing="0" w:after="0" w:afterAutospacing="0" w:line="360" w:lineRule="auto"/>
        <w:ind w:firstLine="708"/>
        <w:jc w:val="both"/>
      </w:pPr>
      <w:r>
        <w:t xml:space="preserve">Após um intervalo de 10 minutos, para assegurar a recuperação plena dos sistemas neuromusculares após os testes estático da </w:t>
      </w:r>
      <w:r>
        <w:rPr>
          <w:i/>
          <w:iCs/>
        </w:rPr>
        <w:t>HS</w:t>
      </w:r>
      <w:r>
        <w:t xml:space="preserve">, será iniciada a avaliação DO </w:t>
      </w:r>
      <w:r>
        <w:rPr>
          <w:i/>
          <w:iCs/>
        </w:rPr>
        <w:t>HSW</w:t>
      </w:r>
      <w:r>
        <w:t xml:space="preserve">.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(Vicon®, Oxford, Reino Unido). A técnica de entrada será de livre escolha do praticante, permitindo o início a partir da posição em pé (através de um </w:t>
      </w:r>
      <w:r>
        <w:rPr>
          <w:i/>
          <w:iCs/>
        </w:rPr>
        <w:t>kick-up</w:t>
      </w:r>
      <w:r>
        <w:t xml:space="preserve">) ou já com as mãos posicionadas sobre a área demarcada antes do impulso inicial. O protocolo consistirá em cinco tentativas totais com um intervalo de recuperação de 90 segundos entre elas. O objetivo será percorrer a maior distância possível, havendo limite de 5 metros por tentativa que corresponde ao limite de detecção do sistema de captura de movimento. O critério de falha para a interrupção da tentativa será definido pelo contato de qualquer parte do corpo com exceção das mãos. </w:t>
      </w:r>
    </w:p>
    <w:p w14:paraId="7C5A71C2">
      <w:pPr>
        <w:pStyle w:val="11"/>
        <w:spacing w:before="0" w:beforeAutospacing="0" w:after="0" w:afterAutospacing="0" w:line="360" w:lineRule="auto"/>
        <w:ind w:firstLine="708"/>
        <w:jc w:val="both"/>
      </w:pPr>
      <w:r>
        <w:t xml:space="preserve">A restrição do volume total movimentos (três tentativas para cada condição estática e cinco para o deslocamento dinâmico) foi estabelecida metodologicamente para evitar o viés da fadiga neuromuscular localizada aguda e a sobrecarga do sistema vestibular, preservando assim a integridade cinemática do desempenho ótimo </w:t>
      </w:r>
      <w:r>
        <w:fldChar w:fldCharType="begin"/>
      </w:r>
      <w:r>
        <w:rPr>
          <w:lang w:val="pt-BR"/>
        </w:rPr>
        <w:instrText xml:space="preserve"> ADDIN ZOTERO_ITEM CSL_CITATION {"citationID":"HRx9Z8K3","properties":{"unsorted":false,"formattedCitation":"[19]","plainCitation":"[19]","noteIndex":0},"citationItems":[{"id":339,"uris":["http://zotero.org/users/17274952/items/9539FXDG"],"itemData":{"id":339,"type":"article-journal","container-title":"Journal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fldChar w:fldCharType="separate"/>
      </w:r>
      <w:r>
        <w:t>[19]</w:t>
      </w:r>
      <w:r>
        <w:fldChar w:fldCharType="end"/>
      </w:r>
      <w:r>
        <w:t>.</w:t>
      </w:r>
    </w:p>
    <w:p w14:paraId="3B354366">
      <w:pPr>
        <w:shd w:val="clear" w:color="auto" w:fill="FFFFFF" w:themeFill="background1"/>
        <w:suppressAutoHyphens w:val="0"/>
        <w:spacing w:line="360" w:lineRule="auto"/>
        <w:jc w:val="left"/>
        <w:rPr>
          <w:rFonts w:ascii="Times New Roman" w:hAnsi="Times New Roman" w:eastAsia="Times New Roman" w:cs="Times New Roman"/>
          <w:u w:val="none"/>
        </w:rPr>
      </w:pPr>
      <w:r>
        <w:rPr>
          <w:rFonts w:hint="default" w:ascii="Times New Roman" w:hAnsi="Times New Roman" w:eastAsia="Times New Roman" w:cs="Times New Roman"/>
          <w:u w:val="none"/>
          <w:lang w:val="pt-BR"/>
        </w:rPr>
        <w:t xml:space="preserve">c) </w:t>
      </w:r>
      <w:r>
        <w:rPr>
          <w:rFonts w:ascii="Times New Roman" w:hAnsi="Times New Roman" w:eastAsia="Times New Roman" w:cs="Times New Roman"/>
          <w:u w:val="none"/>
        </w:rPr>
        <w:t>Processamento e Tratamento de Dados</w:t>
      </w:r>
    </w:p>
    <w:p w14:paraId="0567637E">
      <w:pPr>
        <w:shd w:val="clear" w:color="auto" w:fill="FFFFFF" w:themeFill="background1"/>
        <w:suppressAutoHyphens w:val="0"/>
        <w:spacing w:line="360" w:lineRule="auto"/>
        <w:ind w:firstLine="708"/>
        <w:rPr>
          <w:rFonts w:ascii="Times New Roman" w:hAnsi="Times New Roman" w:eastAsia="Times New Roman" w:cs="Times New Roman"/>
        </w:rPr>
      </w:pPr>
      <w:r>
        <w:rPr>
          <w:rFonts w:ascii="Times New Roman" w:hAnsi="Times New Roman" w:eastAsia="Times New Roman" w:cs="Times New Roman"/>
        </w:rPr>
        <w:t>Os dados brutos de cinemática tridimensional e da plataforma de força, exportados no formato padrão C3D a partir do sistema Vicon Nexus, serão processados offline utilizando rotinas computacionais customizadas desenvolvidas na linguagem Python (versão 3.10+). A extração dos vetores de marcadores e dos canais analógicos será realizada através da biblioteca ezc3d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{"citationID":"Rk7a6vfA","properties":{"unsorted":false,"formattedCitation":"[65]","plainCitation":"[65]","noteIndex":0},"citationItems":[{"id":31,"uris":["http://zotero.org/users/17274952/items/6GX672J6"],"itemData":{"id":31,"type":"article-journal","abstract":"This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lang w:val="pt-BR"/>
        </w:rPr>
        <w:t>[65]</w:t>
      </w:r>
      <w:r>
        <w:rPr>
          <w:rFonts w:ascii="Times New Roman" w:hAnsi="Times New Roman" w:eastAsia="Times New Roman" w:cs="Times New Roman"/>
        </w:rPr>
        <w:fldChar w:fldCharType="end"/>
      </w:r>
      <w:r>
        <w:rPr>
          <w:rFonts w:ascii="Times New Roman" w:hAnsi="Times New Roman" w:eastAsia="Times New Roman" w:cs="Times New Roman"/>
        </w:rPr>
        <w:t>.</w:t>
      </w:r>
    </w:p>
    <w:p w14:paraId="17AEA55E">
      <w:pPr>
        <w:shd w:val="clear" w:color="auto" w:fill="FFFFFF" w:themeFill="background1"/>
        <w:suppressAutoHyphens w:val="0"/>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Devido à natureza da locomoção invertida do </w:t>
      </w:r>
      <w:r>
        <w:rPr>
          <w:rFonts w:ascii="Times New Roman" w:hAnsi="Times New Roman" w:eastAsia="Times New Roman" w:cs="Times New Roman"/>
          <w:i/>
          <w:iCs/>
        </w:rPr>
        <w:t>HSW</w:t>
      </w:r>
      <w:r>
        <w:rPr>
          <w:rFonts w:ascii="Times New Roman" w:hAnsi="Times New Roman" w:eastAsia="Times New Roman" w:cs="Times New Roman"/>
        </w:rPr>
        <w:t>, na qual os braços assumem a função de suporte, ocorre a oclusão inevitável dos marcadores dos ombros impostos pelos limites do volume de captura e pela própria cabeça do participante. Para solucionar falhas de rastreamento (</w:t>
      </w:r>
      <w:r>
        <w:rPr>
          <w:rFonts w:ascii="Times New Roman" w:hAnsi="Times New Roman" w:eastAsia="Times New Roman" w:cs="Times New Roman"/>
          <w:i/>
          <w:iCs/>
        </w:rPr>
        <w:t>gaps</w:t>
      </w:r>
      <w:r>
        <w:rPr>
          <w:rFonts w:ascii="Times New Roman" w:hAnsi="Times New Roman" w:eastAsia="Times New Roman" w:cs="Times New Roman"/>
        </w:rPr>
        <w:t xml:space="preserve">) sem recorrer a métodos de interpolação não lineares que deformam a geometria anatômica, será empregado um algoritmo de projeção de corpo rígido fundamentado na Decomposição em Valores Singulares (SVD), também conhecido como Algoritmo de Kabsch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{"citationID":"JlkSMm5o","properties":{"unsorted":false,"formattedCitation":"[63],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eastAsia="Times New Roman" w:cs="Times New Roman"/>
          <w:lang w:val="pt-BR"/>
        </w:rPr>
        <w:t>[63], [64]</w:t>
      </w:r>
      <w:r>
        <w:rPr>
          <w:rFonts w:ascii="Times New Roman" w:hAnsi="Times New Roman" w:eastAsia="Times New Roman" w:cs="Times New Roman"/>
        </w:rPr>
        <w:fldChar w:fldCharType="end"/>
      </w:r>
      <w:r>
        <w:rPr>
          <w:rFonts w:ascii="Times New Roman" w:hAnsi="Times New Roman" w:eastAsia="Times New Roman" w:cs="Times New Roman"/>
        </w:rPr>
        <w:t>.  O algoritmo utilizará os marcadores fixos dorsais do tronco superior (ex: C7, T10 e dois referências extras) como um cluster de ancoragem para calcular a matriz de rotação e translação otimizada a cada frame, reconstruindo a posição fidedigna dos ombros com precisão submilimétrica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Pr>
          <w:rFonts w:ascii="Times New Roman" w:hAnsi="Times New Roman" w:eastAsia="Times New Roman" w:cs="Times New Roman"/>
          <w:i/>
          <w:iCs/>
        </w:rPr>
        <w:t>Soft Tissue Artifacts</w:t>
      </w:r>
      <w:r>
        <w:rPr>
          <w:rFonts w:ascii="Times New Roman" w:hAnsi="Times New Roman" w:eastAsia="Times New Roman" w:cs="Times New Roman"/>
        </w:rPr>
        <w:t>)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{"citationID":"XlTHn7jV","properties":{"unsorted":false,"formattedCitation":"[66]","plainCitation":"[66]","noteIndex":0},"citationItems":[{"id":17,"uris":["http://zotero.org/users/17274952/items/8HMANWYC"],"itemData":{"id":17,"type":"article-journal","abstract":"This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eastAsia="Times New Roman" w:cs="Times New Roman"/>
          <w:lang w:val="pt-BR"/>
        </w:rPr>
        <w:t>[66]</w:t>
      </w:r>
      <w:r>
        <w:rPr>
          <w:rFonts w:ascii="Times New Roman" w:hAnsi="Times New Roman" w:eastAsia="Times New Roman" w:cs="Times New Roman"/>
        </w:rPr>
        <w:fldChar w:fldCharType="end"/>
      </w:r>
      <w:r>
        <w:rPr>
          <w:rFonts w:ascii="Times New Roman" w:hAnsi="Times New Roman" w:eastAsia="Times New Roman" w:cs="Times New Roman"/>
        </w:rPr>
        <w:t>. Portanto, para solucionar as falhas de rastreamento de forma fidedigna nestes marcadores, o pipeline aplicará primariamente um filtro não-linear de mediana móvel para a exclusão de ruídos instantâneos e valores atípicos (picos artificiais / </w:t>
      </w:r>
      <w:r>
        <w:rPr>
          <w:rFonts w:ascii="Times New Roman" w:hAnsi="Times New Roman" w:eastAsia="Times New Roman" w:cs="Times New Roman"/>
          <w:i/>
          <w:iCs/>
        </w:rPr>
        <w:t>spikes </w:t>
      </w:r>
      <w:r>
        <w:rPr>
          <w:rFonts w:ascii="Times New Roman" w:hAnsi="Times New Roman" w:eastAsia="Times New Roman" w:cs="Times New Roman"/>
        </w:rPr>
        <w:t xml:space="preserve">&gt; 60 mm), preservando os limites reais do sinal cinemático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{"citationID":"H27JlAWq","properties":{"unsorted":false,"formattedCitation":"[67]","plainCitation":"[67]","noteIndex":0},"citationItems":[{"id":23,"uris":["http://zotero.org/users/17274952/items/SA7M78A3"],"itemData":{"id":23,"type":"book","abstract":"Research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eastAsia="Times New Roman" w:cs="Times New Roman"/>
          <w:lang w:val="pt-BR"/>
        </w:rPr>
        <w:t>[67]</w:t>
      </w:r>
      <w:r>
        <w:rPr>
          <w:rFonts w:ascii="Times New Roman" w:hAnsi="Times New Roman" w:eastAsia="Times New Roman" w:cs="Times New Roman"/>
        </w:rPr>
        <w:fldChar w:fldCharType="end"/>
      </w:r>
      <w:r>
        <w:rPr>
          <w:rFonts w:ascii="Times New Roman" w:hAnsi="Times New Roman" w:eastAsia="Times New Roman" w:cs="Times New Roman"/>
        </w:rPr>
        <w:t xml:space="preserve">. Sequencialmente, será realizado o preenchimento temporal das lacunas </w:t>
      </w:r>
      <w:r>
        <w:rPr>
          <w:rFonts w:ascii="Times New Roman" w:hAnsi="Times New Roman" w:eastAsia="Times New Roman" w:cs="Times New Roman"/>
          <w:i/>
          <w:iCs/>
        </w:rPr>
        <w:t>(gap filling</w:t>
      </w:r>
      <w:r>
        <w:rPr>
          <w:rFonts w:ascii="Times New Roman" w:hAnsi="Times New Roman" w:eastAsia="Times New Roman" w:cs="Times New Roman"/>
        </w:rPr>
        <w:t>) via interpolação matemática (</w:t>
      </w:r>
      <w:r>
        <w:rPr>
          <w:rFonts w:ascii="Times New Roman" w:hAnsi="Times New Roman" w:eastAsia="Times New Roman" w:cs="Times New Roman"/>
          <w:i/>
          <w:iCs/>
        </w:rPr>
        <w:t>Spline</w:t>
      </w:r>
      <w:r>
        <w:rPr>
          <w:rFonts w:ascii="Times New Roman" w:hAnsi="Times New Roman" w:eastAsia="Times New Roman" w:cs="Times New Roman"/>
        </w:rPr>
        <w:t xml:space="preserve">/PCHIP), um método validado para restaurar trajetórias de marcadores ocluídos garantindo a integridade e suavidade do sinal biomecânico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{"citationID":"HZVPDEWW","properties":{"unsorted":false,"formattedCitation":"[68]","plainCitation":"[68]","noteIndex":0},"citationItems":[{"id":16,"uris":["http://zotero.org/users/17274952/items/8ZV983QB"],"itemData":{"id":16,"type":"article-journal","container-title":"Computer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eastAsia="Times New Roman" w:cs="Times New Roman"/>
          <w:lang w:val="pt-BR"/>
        </w:rPr>
        <w:t>[68]</w:t>
      </w:r>
      <w:r>
        <w:rPr>
          <w:rFonts w:ascii="Times New Roman" w:hAnsi="Times New Roman" w:eastAsia="Times New Roman" w:cs="Times New Roman"/>
        </w:rPr>
        <w:fldChar w:fldCharType="end"/>
      </w:r>
      <w:r>
        <w:rPr>
          <w:rFonts w:ascii="Times New Roman" w:hAnsi="Times New Roman" w:eastAsia="Times New Roman" w:cs="Times New Roman"/>
        </w:rPr>
        <w:t>. Adicionalmente, foi implementada uma rotina de auditoria visual rigorosa através de um gráfico, a qual sobrepõe instantaneamente as trajetórias verticais de todos os marcadores, permitindo a validação da continuidade do sinal e atestando a ausência de anomalias invisíveis na nuvem de pontos 3D pós-reconstrução</w:t>
      </w:r>
      <w:r>
        <w:rPr>
          <w:rFonts w:ascii="Times New Roman" w:hAnsi="Times New Roman" w:eastAsia="Times New Roman" w:cs="Times New Roman"/>
          <w:b/>
          <w:bCs/>
        </w:rPr>
        <w:t xml:space="preserve">. </w:t>
      </w:r>
      <w:r>
        <w:rPr>
          <w:rFonts w:ascii="Times New Roman" w:hAnsi="Times New Roman" w:eastAsia="Times New Roman" w:cs="Times New Roman"/>
        </w:rPr>
        <w:t>Para a extração das métricas, os sinais brutos passarão por pré-processamento para eliminação de ruídos experimentais e vibrações inerentes aos equipamentos sem que ocorra atraso de fase (</w:t>
      </w:r>
      <w:r>
        <w:rPr>
          <w:rFonts w:ascii="Times New Roman" w:hAnsi="Times New Roman" w:eastAsia="Times New Roman" w:cs="Times New Roman"/>
          <w:i/>
          <w:iCs/>
        </w:rPr>
        <w:t>phase</w:t>
      </w:r>
      <w:r>
        <w:rPr>
          <w:rFonts w:ascii="Times New Roman" w:hAnsi="Times New Roman" w:eastAsia="Times New Roman" w:cs="Times New Roman"/>
        </w:rPr>
        <w:t xml:space="preserve"> </w:t>
      </w:r>
      <w:r>
        <w:rPr>
          <w:rFonts w:ascii="Times New Roman" w:hAnsi="Times New Roman" w:eastAsia="Times New Roman" w:cs="Times New Roman"/>
          <w:i/>
          <w:iCs/>
        </w:rPr>
        <w:t>shift</w:t>
      </w:r>
      <w:r>
        <w:rPr>
          <w:rFonts w:ascii="Times New Roman" w:hAnsi="Times New Roman" w:eastAsia="Times New Roman" w:cs="Times New Roman"/>
        </w:rPr>
        <w:t xml:space="preserve">). Será aplicado um filtro digital passa-baixa Butterworth de 4ª ordem bidirecional (função filtfilt da biblioteca SciPy).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{"citationID":"cjK2Zkcu","properties":{"unsorted":false,"formattedCitation":"[9], [22]","plainCitation":"[9], [22]","noteIndex":0},"citationItems":[{"id":299,"uris":["http://zotero.org/users/17274952/items/EJ28IYIX"],"itemData":{"id":299,"type":"article-journal","abstract":"In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[9], [22]</w:t>
      </w:r>
      <w:r>
        <w:rPr>
          <w:rFonts w:ascii="Times New Roman" w:hAnsi="Times New Roman" w:eastAsia="Times New Roman" w:cs="Times New Roman"/>
        </w:rPr>
        <w:fldChar w:fldCharType="end"/>
      </w:r>
      <w:r>
        <w:rPr>
          <w:rFonts w:ascii="Times New Roman" w:hAnsi="Times New Roman" w:eastAsia="Times New Roman" w:cs="Times New Roman"/>
        </w:rPr>
        <w:t>.</w:t>
      </w:r>
    </w:p>
    <w:p w14:paraId="05A40BD4">
      <w:pPr>
        <w:pStyle w:val="11"/>
        <w:spacing w:before="0" w:beforeAutospacing="0" w:after="0" w:afterAutospacing="0" w:line="360" w:lineRule="auto"/>
        <w:ind w:firstLine="708"/>
        <w:jc w:val="both"/>
      </w:pPr>
      <w:r>
        <w:t>A separação da fase de estabilização no </w:t>
      </w:r>
      <w:r>
        <w:rPr>
          <w:i/>
          <w:iCs/>
        </w:rPr>
        <w:t xml:space="preserve">HS </w:t>
      </w:r>
      <w:r>
        <w:t>nas tentativas assistidas será determinada de forma autônoma pelo algoritmo cinemático, delimitando o início cronometrado do equilíbrio pelo distanciamento espacial entre um marcador fixado na mão do pesquisador (M_PESQ) e o membro inferior do voluntário, assegurando o isolamento do controle postural não assistido. Para as tentativas livres o início do equilíbrio estático será categorizado algoritmicamente quando a coordenada vertical (eixo Z) do marcador distal mais alto do membro inferior (rastreado de forma dinâmica e ambidestra entre calcanhares, tornozelos ou hálux) superar a altura do centro pélvico em no mínimo 300 mm. 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 Em relação ao HSW, a delimitação temporal do percurso válido será estabelecida pela ciclicidade do contato palmar. O início da locomoção será identificado algoritmicamente pelo instante do primeiro evento de quebra de contato com o solo (</w:t>
      </w:r>
      <w:r>
        <w:rPr>
          <w:i/>
          <w:iCs/>
        </w:rPr>
        <w:t>lift</w:t>
      </w:r>
      <w:r>
        <w:t>-</w:t>
      </w:r>
      <w:r>
        <w:rPr>
          <w:i/>
          <w:iCs/>
        </w:rPr>
        <w:t>off</w:t>
      </w:r>
      <w:r>
        <w:t>) de uma das mãos. Consecutivamente, o término da marcha válida será demarcado pelo último evento de toque (</w:t>
      </w:r>
      <w:r>
        <w:rPr>
          <w:i/>
          <w:iCs/>
        </w:rPr>
        <w:t>touchdown</w:t>
      </w:r>
      <w:r>
        <w:t>) registrado antes da interrupção da tentativa (configurada pela falha de sustentação e queda abrupta do centro pélvico e membros inferiores no eixo vertical).</w:t>
      </w:r>
    </w:p>
    <w:p w14:paraId="67C8548D">
      <w:pPr>
        <w:pStyle w:val="11"/>
        <w:spacing w:before="0" w:beforeAutospacing="0" w:after="0" w:afterAutospacing="0" w:line="360" w:lineRule="auto"/>
        <w:ind w:firstLine="708"/>
        <w:jc w:val="both"/>
      </w:pPr>
      <w:r>
        <w:t xml:space="preserve">No escopo das variáveis estabilométricas, a ineficiência do controle postural será quantificada primariamente através da distância contínua entre o CoP e a projeção vertical do CoM, métrica estritamente ancorada no modelo mecânico do pêndulo invertido </w:t>
      </w:r>
      <w:r>
        <w:fldChar w:fldCharType="begin"/>
      </w:r>
      <w:r>
        <w:rPr>
          <w:lang w:val="pt-BR"/>
        </w:rPr>
        <w:instrText xml:space="preserve"> ADDIN ZOTERO_ITEM CSL_CITATION {"citationID":"FkHxMEFZ","properties":{"unsorted":false,"formattedCitation":"[34], [35]","plainCitation":"[34], [35]","noteIndex":0},"citationItems":[{"id":298,"uris":["http://zotero.org/users/17274952/items/VIE3FHTV"],"itemData":{"id":298,"type":"article-journal","container-title":"Gait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fldChar w:fldCharType="separate"/>
      </w:r>
      <w:r>
        <w:rPr>
          <w:lang w:val="pt-BR"/>
        </w:rPr>
        <w:t>[34], [35]</w:t>
      </w:r>
      <w:r>
        <w:fldChar w:fldCharType="end"/>
      </w:r>
      <w:r>
        <w:t>. Concomitantemente, a velocidade média do CoP e a ApEn extraída do sinal da plataforma avaliarão, respectivamente, o esforço das reações neuromusculares e a rigidez sistêmica das correções. O alinhamento corporal (Índice de Verticalidade) não será reduzido a projeções bidimensionais padrão ou Ângulos de Euler, suscetíveis ao artefato de </w:t>
      </w:r>
      <w:r>
        <w:rPr>
          <w:i/>
          <w:iCs/>
        </w:rPr>
        <w:t>Gimbal Lock</w:t>
      </w:r>
      <w:r>
        <w:t> durante a inversão, mas calculado rigorosamente por meio do produto escalar (</w:t>
      </w:r>
      <w:r>
        <w:rPr>
          <w:i/>
          <w:iCs/>
        </w:rPr>
        <w:t>Dot Product</w:t>
      </w:r>
      <w:r>
        <w:t xml:space="preserve">) de vetores 3D absolutos no espaço </w:t>
      </w:r>
      <w:r>
        <w:fldChar w:fldCharType="begin"/>
      </w:r>
      <w:r>
        <w:rPr>
          <w:lang w:val="pt-BR"/>
        </w:rPr>
        <w:instrText xml:space="preserve"> ADDIN ZOTERO_ITEM CSL_CITATION {"citationID":"4oRlvAoS","properties":{"unsorted":false,"formattedCitation":"[67], [69]","plainCitation":"[67], [69]","noteIndex":0},"citationItems":[{"id":24,"uris":["http://zotero.org/users/17274952/items/MST5B4NY"],"itemData":{"id":24,"type":"article-journal","abstract":"Background.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fldChar w:fldCharType="separate"/>
      </w:r>
      <w:r>
        <w:rPr>
          <w:lang w:val="pt-BR"/>
        </w:rPr>
        <w:t>[67], [69]</w:t>
      </w:r>
      <w:r>
        <w:fldChar w:fldCharType="end"/>
      </w:r>
      <w:r>
        <w:t>. Para a tarefa dinâmica (</w:t>
      </w:r>
      <w:r>
        <w:rPr>
          <w:i/>
          <w:iCs/>
        </w:rPr>
        <w:t>HSW</w:t>
      </w:r>
      <w:r>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(touchdown) e de propulsão (</w:t>
      </w:r>
      <w:r>
        <w:rPr>
          <w:i/>
          <w:iCs/>
        </w:rPr>
        <w:t>lift</w:t>
      </w:r>
      <w:r>
        <w:t>-</w:t>
      </w:r>
      <w:r>
        <w:rPr>
          <w:i/>
          <w:iCs/>
        </w:rPr>
        <w:t>off</w:t>
      </w:r>
      <w:r>
        <w:t xml:space="preserve">) </w:t>
      </w:r>
      <w:r>
        <w:fldChar w:fldCharType="begin"/>
      </w:r>
      <w:r>
        <w:rPr>
          <w:lang w:val="pt-BR"/>
        </w:rPr>
        <w:instrText xml:space="preserve"> ADDIN ZOTERO_ITEM CSL_CITATION {"citationID":"n2rlyteM","properties":{"unsorted":false,"formattedCitation":"[70], [71]","plainCitation":"[70], [71]","noteIndex":0},"citationItems":[{"id":22,"uris":["http://zotero.org/users/17274952/items/HD7T2KXH"],"itemData":{"id":22,"type":"article-journal","abstract":"When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S."}],"issued":{"date-parts":[["2010",11]]}}},{"id":21,"uris":["http://zotero.org/users/17274952/items/ZFR4H3AZ"],"itemData":{"id":21,"type":"article-journal","container-title":"Gait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fldChar w:fldCharType="separate"/>
      </w:r>
      <w:r>
        <w:rPr>
          <w:lang w:val="pt-BR"/>
        </w:rPr>
        <w:t>[70], [71]</w:t>
      </w:r>
      <w:r>
        <w:fldChar w:fldCharType="end"/>
      </w:r>
      <w:r>
        <w:t>. Para mitigar de forma automatizada a perda de dados decorrente de oclusões críticas, o algoritmo incorpora salvaguardas anatômicas dinâmicas (</w:t>
      </w:r>
      <w:r>
        <w:rPr>
          <w:i/>
          <w:iCs/>
        </w:rPr>
        <w:t>failsafes</w:t>
      </w:r>
      <w:r>
        <w:t>). Por exemplo, na ocorrência de oclusão severa dos marcadores dos punhos durante a locomoção invertida, o sistema transita automaticamente o rastreamento e detecção do evento de toque para os marcadores dos dedos (LFIN/RFIN), os quais apresentam perfil cinemático análogo na fase de apoio, sem prejuízo ao cálculo cadencial. A matriz final de variáveis será exportada nativamente pela rotina computacional estruturada, alimentando diretamente os modelos de regressão linear e logística do delineamento estatístico proposto.</w:t>
      </w:r>
    </w:p>
    <w:p w14:paraId="4510B0BF">
      <w:pPr>
        <w:spacing w:line="360" w:lineRule="auto"/>
        <w:jc w:val="left"/>
        <w:rPr>
          <w:rFonts w:ascii="Times New Roman" w:hAnsi="Times New Roman" w:eastAsia="Times New Roman" w:cs="Times New Roman"/>
        </w:rPr>
      </w:pPr>
      <w:r>
        <w:rPr>
          <w:rFonts w:ascii="Times New Roman" w:hAnsi="Times New Roman" w:eastAsia="Times New Roman" w:cs="Times New Roman"/>
        </w:rPr>
        <w:t>3.</w:t>
      </w:r>
      <w:r>
        <w:rPr>
          <w:rFonts w:hint="default" w:ascii="Times New Roman" w:hAnsi="Times New Roman" w:eastAsia="Times New Roman" w:cs="Times New Roman"/>
          <w:lang w:val="pt-BR"/>
        </w:rPr>
        <w:t>5</w:t>
      </w:r>
      <w:r>
        <w:rPr>
          <w:rFonts w:ascii="Times New Roman" w:hAnsi="Times New Roman" w:eastAsia="Times New Roman" w:cs="Times New Roman"/>
        </w:rPr>
        <w:t xml:space="preserve"> Análise Estatística</w:t>
      </w:r>
    </w:p>
    <w:p w14:paraId="36A10CE7">
      <w:pPr>
        <w:pStyle w:val="11"/>
        <w:spacing w:before="0" w:beforeAutospacing="0" w:after="0" w:afterAutospacing="0" w:line="360" w:lineRule="auto"/>
        <w:ind w:firstLine="708"/>
        <w:jc w:val="both"/>
      </w:pPr>
      <w:r>
        <w:rPr>
          <w:rFonts w:hint="default"/>
        </w:rPr>
        <w:t xml:space="preserve">A análise estatística será conduzida no </w:t>
      </w:r>
      <w:r>
        <w:rPr>
          <w:rFonts w:hint="default"/>
          <w:i/>
          <w:iCs/>
        </w:rPr>
        <w:t xml:space="preserve">software </w:t>
      </w:r>
      <w:r>
        <w:rPr>
          <w:rFonts w:hint="default"/>
        </w:rPr>
        <w:t xml:space="preserve">SPSS (versão 28.0 ou superior). Inicialmente, será realizada uma análise estatística descritiva abrangente para a caracterização do perfil da amostra. A normalidade da distribuição dos dados contínuos será verificada por meio do teste de Shapiro-Wilk. As variáveis contínuas com distribuição paramétrica serão expressas em média e desvio-padrão, enquanto as variáveis não paramétricas serão apresentadas como mediana </w:t>
      </w:r>
      <w:r>
        <w:rPr>
          <w:rFonts w:hint="default"/>
          <w:lang w:val="pt-BR"/>
        </w:rPr>
        <w:t>e</w:t>
      </w:r>
      <w:r>
        <w:rPr>
          <w:rFonts w:hint="default"/>
        </w:rPr>
        <w:t xml:space="preserve"> intervalo interquartil.</w:t>
      </w:r>
    </w:p>
    <w:p w14:paraId="10E4FBA1">
      <w:pPr>
        <w:pStyle w:val="11"/>
        <w:spacing w:before="0" w:beforeAutospacing="0" w:after="0" w:afterAutospacing="0" w:line="360" w:lineRule="auto"/>
        <w:ind w:firstLine="708"/>
        <w:jc w:val="both"/>
        <w:rPr>
          <w:rFonts w:hint="default"/>
        </w:rPr>
      </w:pPr>
      <w:r>
        <w:rPr>
          <w:rFonts w:hint="default"/>
        </w:rPr>
        <w:t>As variáveis categóricas</w:t>
      </w:r>
      <w:r>
        <w:rPr>
          <w:rFonts w:hint="default"/>
          <w:lang w:val="pt-BR"/>
        </w:rPr>
        <w:t xml:space="preserve">: </w:t>
      </w:r>
      <w:r>
        <w:rPr>
          <w:rFonts w:hint="default"/>
        </w:rPr>
        <w:t xml:space="preserve">distribuição das modalidades esportivas praticadas e </w:t>
      </w:r>
      <w:r>
        <w:rPr>
          <w:rFonts w:hint="default"/>
          <w:lang w:val="pt-BR"/>
        </w:rPr>
        <w:t>o</w:t>
      </w:r>
      <w:r>
        <w:rPr>
          <w:rFonts w:hint="default"/>
        </w:rPr>
        <w:t xml:space="preserve"> perfil de prática  modalidade </w:t>
      </w:r>
      <w:r>
        <w:rPr>
          <w:rFonts w:hint="default"/>
          <w:lang w:val="pt-BR"/>
        </w:rPr>
        <w:t>(</w:t>
      </w:r>
      <w:r>
        <w:rPr>
          <w:rFonts w:hint="default"/>
        </w:rPr>
        <w:t>exclusiva vs. praticantes multimodais de duas ou mais modalidades</w:t>
      </w:r>
      <w:r>
        <w:rPr>
          <w:rFonts w:hint="default"/>
          <w:lang w:val="pt-BR"/>
        </w:rPr>
        <w:t xml:space="preserve">) </w:t>
      </w:r>
      <w:r>
        <w:rPr>
          <w:rFonts w:hint="default"/>
        </w:rPr>
        <w:t>serão empregadas com finalidade estritamente descritiva para contextualizar a heterogeneidade da amostra, sendo expressas em frequências absolutas (</w:t>
      </w:r>
      <w:r>
        <w:t>n</w:t>
      </w:r>
      <w:r>
        <w:rPr>
          <w:rFonts w:hint="default"/>
        </w:rPr>
        <w:t>) e relativas (%), sem compor os modelos de regressão.</w:t>
      </w:r>
    </w:p>
    <w:p w14:paraId="5EEC2138">
      <w:pPr>
        <w:pStyle w:val="11"/>
        <w:spacing w:before="0" w:beforeAutospacing="0" w:after="0" w:afterAutospacing="0" w:line="360" w:lineRule="auto"/>
        <w:ind w:firstLine="708"/>
        <w:jc w:val="both"/>
        <w:rPr>
          <w:rFonts w:ascii="Times New Roman" w:hAnsi="Times New Roman" w:eastAsia="Times New Roman" w:cs="Times New Roman"/>
        </w:rPr>
      </w:pPr>
      <w:r>
        <w:rPr>
          <w:rFonts w:hint="default"/>
        </w:rPr>
        <w:t>Subsequentemente, para testar as hipóteses</w:t>
      </w:r>
      <w:r>
        <w:rPr>
          <w:rFonts w:hint="default"/>
          <w:lang w:val="pt-BR"/>
        </w:rPr>
        <w:t xml:space="preserve"> </w:t>
      </w:r>
      <w:r>
        <w:rPr>
          <w:rFonts w:hint="default"/>
        </w:rPr>
        <w:t>preditivas do estudo, as variáveis quantitativas serão submetidas aos modelos temáticos de regressão linear múltipla e ao modelo de regressão logística binária descritos a seguir, adotando-se um nível de significância de </w:t>
      </w:r>
      <w:r>
        <w:rPr>
          <w:rFonts w:hint="default" w:ascii="Times New Roman" w:hAnsi="Times New Roman" w:cs="Times New Roman"/>
        </w:rPr>
        <w:t>α</w:t>
      </w:r>
      <w:r>
        <w:rPr>
          <w:rFonts w:hint="default"/>
          <w:lang w:val="pt-BR"/>
        </w:rPr>
        <w:t>=</w:t>
      </w:r>
      <w:r>
        <w:rPr>
          <w:rFonts w:hint="default"/>
        </w:rPr>
        <w:t>0,05</w:t>
      </w:r>
      <w:r>
        <w:rPr>
          <w:rFonts w:hint="default"/>
          <w:lang w:val="pt-BR"/>
        </w:rPr>
        <w:t xml:space="preserve">. </w:t>
      </w:r>
      <w:r>
        <w:rPr>
          <w:rFonts w:ascii="Times New Roman" w:hAnsi="Times New Roman" w:eastAsia="Times New Roman" w:cs="Times New Roman"/>
        </w:rPr>
        <w:t>Esta abordagem permite testar hipóteses específicas com maior poder estatístico, evitando os desafios de um único grande modelo com excesso de preditores.</w:t>
      </w:r>
    </w:p>
    <w:p w14:paraId="39C09C0C">
      <w:pPr>
        <w:spacing w:line="360" w:lineRule="auto"/>
        <w:ind w:firstLine="708"/>
        <w:rPr>
          <w:rFonts w:ascii="Times New Roman" w:hAnsi="Times New Roman" w:eastAsia="Times New Roman" w:cs="Times New Roman"/>
        </w:rPr>
      </w:pPr>
      <w:r>
        <w:rPr>
          <w:rFonts w:ascii="Times New Roman" w:hAnsi="Times New Roman" w:eastAsia="Times New Roman" w:cs="Times New Roman"/>
        </w:rPr>
        <w:t>A estruturação dos modelos preditivos fundamenta-se na transposição dos princípios de controle postural e análise da marcha bípede para as tarefas de suporte invertido, seja no equilíbrio estático (</w:t>
      </w:r>
      <w:r>
        <w:rPr>
          <w:rFonts w:ascii="Times New Roman" w:hAnsi="Times New Roman" w:eastAsia="Times New Roman" w:cs="Times New Roman"/>
          <w:i/>
          <w:iCs/>
        </w:rPr>
        <w:t>HS</w:t>
      </w:r>
      <w:r>
        <w:rPr>
          <w:rFonts w:ascii="Times New Roman" w:hAnsi="Times New Roman" w:eastAsia="Times New Roman" w:cs="Times New Roman"/>
        </w:rPr>
        <w:t>) quanto a locomoção dinâmica (</w:t>
      </w:r>
      <w:r>
        <w:rPr>
          <w:rFonts w:ascii="Times New Roman" w:hAnsi="Times New Roman" w:eastAsia="Times New Roman" w:cs="Times New Roman"/>
          <w:i/>
          <w:iCs/>
        </w:rPr>
        <w:t>HSW</w:t>
      </w:r>
      <w:r>
        <w:rPr>
          <w:rFonts w:ascii="Times New Roman" w:hAnsi="Times New Roman" w:eastAsia="Times New Roman" w:cs="Times New Roman"/>
        </w:rPr>
        <w:t xml:space="preserve">) [45], [46]. Parte-se da premissa de que a gestão do CoM e a regulação da motora operam sob mecanismos análogos aos descritos na literatura clássica de estabilidade e marcha humana, adaptados às exigências mecânicas dos membros superiores [3], [24]. </w:t>
      </w:r>
    </w:p>
    <w:p w14:paraId="3A550F58">
      <w:pPr>
        <w:pStyle w:val="11"/>
        <w:spacing w:before="0" w:beforeAutospacing="0" w:after="0" w:afterAutospacing="0" w:line="360" w:lineRule="auto"/>
        <w:ind w:firstLine="708"/>
        <w:jc w:val="both"/>
        <w:rPr>
          <w:rFonts w:hint="default"/>
          <w:lang w:val="pt-BR"/>
        </w:rPr>
      </w:pPr>
      <w:r>
        <w:t>Referente à análise cinemática da técnica, optou-se pela decomposição das variáveis articulares em dois indicadores distintos: o índice de verticalidade e a extensão cervical. O índice de verticalidade será definido pelo alinhamento entre ombro e quadril, buscando a proximidade com o ângulo de 180°. Esta variável quantifica a eficiência mecânica do alinhamento articular como fator determinante ou não para a redução do torque muscular necessário ao equilíbrio. O ângulo de extensão cervical será analisado de forma independente, visto que a posição da cabeça exerce uma influência dupla no desempenho: mecânica, através do deslocamento de massa que pode induzir compensações na curvatura lombar; e sensorial, por determinar o campo visual e a orientação do sistema vestibular [13],[25],[42]. Esta separação permite identificar se eventuais desvios na verticalidade são estratégias deliberadas para otimização do feedback visual ou falhas na organização segmentar do tronco e membros.</w:t>
      </w:r>
      <w:r>
        <w:rPr>
          <w:rFonts w:hint="default"/>
          <w:lang w:val="pt-BR"/>
        </w:rPr>
        <w:t xml:space="preserve"> </w:t>
      </w:r>
      <w:r>
        <w:t>Ressalta-se que a articulação do punho não foi incluída no cálculo do índice de verticalidade porque atua em ~70° a 90° como a base de apoio que gera torques de correção no solo, função que já é avaliada pela plataforma de força e pelo dinamômetro isocinético</w:t>
      </w:r>
      <w:r>
        <w:rPr>
          <w:rFonts w:hint="default"/>
          <w:lang w:val="pt-BR"/>
        </w:rPr>
        <w:t xml:space="preserve"> </w:t>
      </w:r>
      <w:r>
        <w:rPr>
          <w:rFonts w:hint="default"/>
          <w:lang w:val="pt-BR"/>
        </w:rPr>
        <w:fldChar w:fldCharType="begin"/>
      </w:r>
      <w:r>
        <w:rPr>
          <w:rFonts w:hint="default"/>
          <w:lang w:val="pt-BR"/>
        </w:rPr>
        <w:instrText xml:space="preserve"> ADDIN ZOTERO_ITEM CSL_CITATION {"citationID":"Nzewntlg","properties":{"unsorted":false,"formattedCitation":"[3]","plainCitation":"[3]","noteIndex":0},"citationItems":[{"id":336,"uris":["http://zotero.org/users/17274952/items/P82NI7IB"],"itemData":{"id":336,"type":"article-journal","abstract":"KERWIN,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G."},{"family":"Trewartha","given":"Grant"}],"issued":{"date-parts":[["2001",7]]}}}],"schema":"https://github.com/citation-style-language/schema/raw/master/csl-citation.json"} </w:instrText>
      </w:r>
      <w:r>
        <w:rPr>
          <w:rFonts w:hint="default"/>
          <w:lang w:val="pt-BR"/>
        </w:rPr>
        <w:fldChar w:fldCharType="separate"/>
      </w:r>
      <w:r>
        <w:rPr>
          <w:rFonts w:hint="default"/>
          <w:lang w:val="pt-BR"/>
        </w:rPr>
        <w:t>[3]</w:t>
      </w:r>
      <w:r>
        <w:rPr>
          <w:rFonts w:hint="default"/>
          <w:lang w:val="pt-BR"/>
        </w:rPr>
        <w:fldChar w:fldCharType="end"/>
      </w:r>
      <w:r>
        <w:t xml:space="preserve">. Além disso, a flexão plantar do tornozelo ('ponta de pé') será extraída a partir dos marcadores dos pés do protocolo </w:t>
      </w:r>
      <w:r>
        <w:rPr>
          <w:i/>
          <w:iCs/>
        </w:rPr>
        <w:t xml:space="preserve">Plug-in Gait </w:t>
      </w:r>
      <w:r>
        <w:rPr>
          <w:i/>
          <w:iCs/>
        </w:rPr>
        <w:fldChar w:fldCharType="begin"/>
      </w:r>
      <w:r>
        <w:rPr>
          <w:i/>
          <w:iCs/>
          <w:lang w:val="pt-BR"/>
        </w:rPr>
        <w:instrText xml:space="preserve"> ADDIN ZOTERO_ITEM CSL_CITATION {"citationID":"hQAg8Mig","properties":{"unsorted":false,"formattedCitation":"[61]","plainCitation":"[61]","noteIndex":0},"citationItems":[{"id":19,"uris":["http://zotero.org/users/17274952/items/9YDQ4XD5"],"itemData":{"id":19,"type":"article-journal","container-title":"Human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R."}],"issued":{"date-parts":[["1991",10]]}}}],"schema":"https://github.com/citation-style-language/schema/raw/master/csl-citation.json"} </w:instrText>
      </w:r>
      <w:r>
        <w:rPr>
          <w:i/>
          <w:iCs/>
        </w:rPr>
        <w:fldChar w:fldCharType="separate"/>
      </w:r>
      <w:r>
        <w:rPr>
          <w:i/>
          <w:iCs/>
          <w:lang w:val="pt-BR"/>
        </w:rPr>
        <w:t>[61]</w:t>
      </w:r>
      <w:r>
        <w:rPr>
          <w:i/>
          <w:iCs/>
        </w:rPr>
        <w:fldChar w:fldCharType="end"/>
      </w:r>
      <w:r>
        <w:t>, permitindo avaliar se a rigidez da cadeia dos membros inferiores contribui para a estabilidade na postura invertida</w:t>
      </w:r>
      <w:r>
        <w:rPr>
          <w:rFonts w:hint="default"/>
          <w:lang w:val="pt-BR"/>
        </w:rPr>
        <w:t xml:space="preserve"> </w:t>
      </w:r>
      <w:r>
        <w:rPr>
          <w:rFonts w:hint="default"/>
          <w:lang w:val="pt-BR"/>
        </w:rPr>
        <w:fldChar w:fldCharType="begin"/>
      </w:r>
      <w:r>
        <w:rPr>
          <w:rFonts w:hint="default"/>
          <w:lang w:val="pt-BR"/>
        </w:rPr>
        <w:instrText xml:space="preserve"> ADDIN ZOTERO_ITEM CSL_CITATION {"citationID":"Zt1YKou9","properties":{"unsorted":false,"formattedCitation":"[28],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lang w:val="pt-BR"/>
        </w:rPr>
        <w:fldChar w:fldCharType="separate"/>
      </w:r>
      <w:r>
        <w:rPr>
          <w:rFonts w:hint="default"/>
          <w:lang w:val="pt-BR"/>
        </w:rPr>
        <w:t>[28], [31]</w:t>
      </w:r>
      <w:r>
        <w:rPr>
          <w:rFonts w:hint="default"/>
          <w:lang w:val="pt-BR"/>
        </w:rPr>
        <w:fldChar w:fldCharType="end"/>
      </w:r>
      <w:r>
        <w:rPr>
          <w:rFonts w:hint="default"/>
          <w:lang w:val="pt-BR"/>
        </w:rPr>
        <w:t>.</w:t>
      </w:r>
    </w:p>
    <w:p w14:paraId="648B149D">
      <w:pPr>
        <w:pStyle w:val="11"/>
        <w:spacing w:before="0" w:beforeAutospacing="0" w:after="0" w:afterAutospacing="0" w:line="360" w:lineRule="auto"/>
        <w:jc w:val="both"/>
        <w:rPr>
          <w:rFonts w:hint="default" w:ascii="Times New Roman" w:hAnsi="Times New Roman" w:cs="Times New Roman"/>
          <w:lang w:val="pt-BR"/>
        </w:rPr>
      </w:pPr>
      <w:r>
        <w:rPr>
          <w:rFonts w:hint="default" w:eastAsia="SimSun" w:cs="Times New Roman"/>
          <w:sz w:val="24"/>
          <w:szCs w:val="24"/>
          <w:lang w:val="pt-BR"/>
        </w:rPr>
        <w:t xml:space="preserve">3.5.1 </w:t>
      </w:r>
      <w:r>
        <w:rPr>
          <w:rFonts w:hint="default" w:ascii="Times New Roman" w:hAnsi="Times New Roman" w:eastAsia="SimSun" w:cs="Times New Roman"/>
          <w:sz w:val="24"/>
          <w:szCs w:val="24"/>
        </w:rPr>
        <w:t xml:space="preserve">Modelos Preditivos para o </w:t>
      </w:r>
      <w:r>
        <w:rPr>
          <w:rFonts w:hint="default" w:eastAsia="SimSun" w:cs="Times New Roman"/>
          <w:sz w:val="24"/>
          <w:szCs w:val="24"/>
          <w:lang w:val="pt-BR"/>
        </w:rPr>
        <w:t>HS</w:t>
      </w:r>
    </w:p>
    <w:p w14:paraId="7B83C27E">
      <w:pPr>
        <w:suppressAutoHyphens w:val="0"/>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Para a análise de manutenção do equilíbrio no </w:t>
      </w:r>
      <w:r>
        <w:rPr>
          <w:rFonts w:ascii="Times New Roman" w:hAnsi="Times New Roman" w:eastAsia="Times New Roman" w:cs="Times New Roman"/>
          <w:i/>
          <w:iCs/>
        </w:rPr>
        <w:t>HS</w:t>
      </w:r>
      <w:r>
        <w:rPr>
          <w:rFonts w:ascii="Times New Roman" w:hAnsi="Times New Roman" w:eastAsia="Times New Roman" w:cs="Times New Roman"/>
        </w:rPr>
        <w:t>, os modelos preditivos 1 a 5 utilizarão como variável dependente o tempo de sustentação extraído exclusivamente do bloco de tentativas com entrada assistida. Esta decisão metodológica tem o propósito de isolar o controle postural da habilidade coordenativa de ascensão (</w:t>
      </w:r>
      <w:r>
        <w:rPr>
          <w:rFonts w:ascii="Times New Roman" w:hAnsi="Times New Roman" w:eastAsia="Times New Roman" w:cs="Times New Roman"/>
          <w:i/>
          <w:iCs/>
        </w:rPr>
        <w:t>kick-up</w:t>
      </w:r>
      <w:r>
        <w:rPr>
          <w:rFonts w:ascii="Times New Roman" w:hAnsi="Times New Roman" w:eastAsia="Times New Roman" w:cs="Times New Roman"/>
        </w:rPr>
        <w:t>)</w:t>
      </w:r>
      <w:r>
        <w:rPr>
          <w:rFonts w:hint="default" w:ascii="Times New Roman" w:hAnsi="Times New Roman" w:eastAsia="Times New Roman" w:cs="Times New Roman"/>
          <w:lang w:val="pt-BR"/>
        </w:rPr>
        <w:t xml:space="preserve"> e busca autonoma pelo equilíbrio</w:t>
      </w:r>
      <w:r>
        <w:rPr>
          <w:rFonts w:ascii="Times New Roman" w:hAnsi="Times New Roman" w:eastAsia="Times New Roman" w:cs="Times New Roman"/>
        </w:rPr>
        <w:t xml:space="preserve">. A habilidade de ascensão exige uma coordenação sensório-motora distinta da mera manutenção do equilíbrio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{"citationID":"8veXqB6P","properties":{"unsorted":false,"formattedCitation":"[31]","plainCitation":"[31]","noteIndex":0},"citationItems":[{"id":46,"uris":["http://zotero.org/users/17274952/items/J9KKGBUR"],"itemData":{"id":46,"type":"article-journal","abstract":"The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lang w:val="pt-BR"/>
        </w:rPr>
        <w:t>[31]</w:t>
      </w:r>
      <w:r>
        <w:rPr>
          <w:rFonts w:ascii="Times New Roman" w:hAnsi="Times New Roman" w:eastAsia="Times New Roman" w:cs="Times New Roman"/>
        </w:rPr>
        <w:fldChar w:fldCharType="end"/>
      </w:r>
      <w:r>
        <w:rPr>
          <w:rFonts w:ascii="Times New Roman" w:hAnsi="Times New Roman" w:eastAsia="Times New Roman" w:cs="Times New Roman"/>
        </w:rPr>
        <w:t xml:space="preserve">, sendo caracterizada pela necessidade de gerar momento angular suficiente para elevar o CoM, freando-o precisamente no ponto de instabilidade vertical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{"citationID":"AX6y9Mv6","properties":{"unsorted":false,"formattedCitation":"[2], [23]","plainCitation":"[2], [23]","noteIndex":0},"citationItems":[{"id":327,"uris":["http://zotero.org/users/17274952/items/7HMEIQK4"],"itemData":{"id":327,"type":"article-journal","abstract":"Despite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rPr>
        <w:t>[2], [23]</w:t>
      </w:r>
      <w:r>
        <w:rPr>
          <w:rFonts w:ascii="Times New Roman" w:hAnsi="Times New Roman" w:eastAsia="Times New Roman" w:cs="Times New Roman"/>
        </w:rPr>
        <w:fldChar w:fldCharType="end"/>
      </w:r>
      <w:r>
        <w:rPr>
          <w:rFonts w:ascii="Times New Roman" w:hAnsi="Times New Roman" w:eastAsia="Times New Roman" w:cs="Times New Roman"/>
        </w:rPr>
        <w:t>. Por sua vez, a autonomia na ascensão e os fatores determinantes para o êxito nas tentativas de entrada livre serão analisados de forma isolada em um modelo estatístico dedicado.</w:t>
      </w:r>
    </w:p>
    <w:p w14:paraId="7F938BCE">
      <w:pPr>
        <w:pStyle w:val="11"/>
        <w:spacing w:before="0" w:beforeAutospacing="0" w:after="0" w:afterAutospacing="0" w:line="360" w:lineRule="auto"/>
        <w:ind w:firstLine="708"/>
        <w:jc w:val="both"/>
      </w:pPr>
      <w:r>
        <w:t>Assim sendo, para o tempo de sustentação</w:t>
      </w:r>
      <w:r>
        <w:rPr>
          <w:rFonts w:hint="default"/>
          <w:lang w:val="pt-BR"/>
        </w:rPr>
        <w:t xml:space="preserve"> (s)</w:t>
      </w:r>
      <w:r>
        <w:t xml:space="preserve"> no </w:t>
      </w:r>
      <w:r>
        <w:rPr>
          <w:i/>
          <w:iCs/>
        </w:rPr>
        <w:t>HS</w:t>
      </w:r>
      <w:r>
        <w:t xml:space="preserve"> como variável dependente, serão testados os modelos abaixo:</w:t>
      </w:r>
    </w:p>
    <w:p w14:paraId="736D671E">
      <w:pPr>
        <w:pStyle w:val="5"/>
        <w:spacing w:before="0" w:line="360" w:lineRule="auto"/>
        <w:rPr>
          <w:rFonts w:ascii="Times New Roman" w:hAnsi="Times New Roman" w:eastAsia="Times New Roman" w:cs="Times New Roman"/>
          <w:i w:val="0"/>
          <w:iCs w:val="0"/>
          <w:color w:val="auto"/>
          <w:u w:val="single"/>
        </w:rPr>
      </w:pPr>
      <w:r>
        <w:rPr>
          <w:rFonts w:ascii="Times New Roman" w:hAnsi="Times New Roman" w:cs="Times New Roman"/>
          <w:i w:val="0"/>
          <w:iCs w:val="0"/>
          <w:color w:val="auto"/>
          <w:u w:val="single"/>
        </w:rPr>
        <w:t xml:space="preserve">Modelo 1: Capacidade Física </w:t>
      </w:r>
    </w:p>
    <w:p w14:paraId="4719D92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eastAsia="SimSun" w:cs="Times New Roman"/>
          <w:sz w:val="24"/>
          <w:szCs w:val="24"/>
        </w:rPr>
        <w:t>Avalia a contribuição da força máxima e da resistência muscular específica sobre a capacidade de gerar torques articulares de sustentação e correção postural contínua</w:t>
      </w:r>
      <w:r>
        <w:rPr>
          <w:rFonts w:hint="default" w:ascii="Times New Roman" w:hAnsi="Times New Roman" w:cs="Times New Roman"/>
        </w:rPr>
        <w:t xml:space="preserve">. </w:t>
      </w:r>
    </w:p>
    <w:p w14:paraId="45AD166B">
      <w:pPr>
        <w:pStyle w:val="11"/>
        <w:spacing w:before="0" w:beforeAutospacing="0" w:after="0" w:afterAutospacing="0" w:line="360" w:lineRule="auto"/>
        <w:ind w:firstLine="708"/>
      </w:pPr>
      <w:r>
        <w:rPr>
          <w:b/>
          <w:bCs/>
        </w:rPr>
        <w:t>Variáveis:</w:t>
      </w:r>
    </w:p>
    <w:p w14:paraId="1C41F1DF">
      <w:pPr>
        <w:pStyle w:val="11"/>
        <w:numPr>
          <w:ilvl w:val="1"/>
          <w:numId w:val="4"/>
        </w:numPr>
        <w:spacing w:before="0" w:beforeAutospacing="0" w:after="0" w:afterAutospacing="0" w:line="360" w:lineRule="auto"/>
      </w:pPr>
      <w:r>
        <w:t xml:space="preserve">Força relativa no </w:t>
      </w:r>
      <w:r>
        <w:rPr>
          <w:i/>
          <w:iCs/>
        </w:rPr>
        <w:t>SP</w:t>
      </w:r>
      <w:r>
        <w:t xml:space="preserve"> (1-RM / massa corporal).</w:t>
      </w:r>
    </w:p>
    <w:p w14:paraId="28E8BA2D">
      <w:pPr>
        <w:pStyle w:val="11"/>
        <w:numPr>
          <w:ilvl w:val="1"/>
          <w:numId w:val="4"/>
        </w:numPr>
        <w:spacing w:before="0" w:beforeAutospacing="0" w:after="0" w:afterAutospacing="0" w:line="360" w:lineRule="auto"/>
      </w:pPr>
      <w:r>
        <w:t>Resistência em wall-supported HS (segundos).</w:t>
      </w:r>
    </w:p>
    <w:p w14:paraId="05838490">
      <w:pPr>
        <w:pStyle w:val="11"/>
        <w:numPr>
          <w:ilvl w:val="1"/>
          <w:numId w:val="4"/>
        </w:numPr>
        <w:spacing w:before="0" w:beforeAutospacing="0" w:after="0" w:afterAutospacing="0" w:line="360" w:lineRule="auto"/>
      </w:pPr>
      <w:r>
        <w:t>Média bilateral do pico de torque dos flexores de punho relativo (N·m/kg)</w:t>
      </w:r>
    </w:p>
    <w:p w14:paraId="033B12BD">
      <w:pPr>
        <w:pStyle w:val="11"/>
        <w:numPr>
          <w:ilvl w:val="1"/>
          <w:numId w:val="4"/>
        </w:numPr>
        <w:spacing w:before="0" w:beforeAutospacing="0" w:after="0" w:afterAutospacing="0" w:line="360" w:lineRule="auto"/>
      </w:pPr>
      <w:r>
        <w:t>Média bilateral da força de preensão manual relativa (kgf/kg).</w:t>
      </w:r>
    </w:p>
    <w:p w14:paraId="2326A4CA">
      <w:pPr>
        <w:pStyle w:val="5"/>
        <w:spacing w:before="0" w:line="360" w:lineRule="auto"/>
        <w:rPr>
          <w:rFonts w:ascii="Times New Roman" w:hAnsi="Times New Roman" w:cs="Times New Roman"/>
          <w:i w:val="0"/>
          <w:iCs w:val="0"/>
          <w:color w:val="auto"/>
          <w:u w:val="single"/>
        </w:rPr>
      </w:pPr>
      <w:r>
        <w:rPr>
          <w:rFonts w:ascii="Times New Roman" w:hAnsi="Times New Roman" w:cs="Times New Roman"/>
          <w:i w:val="0"/>
          <w:iCs w:val="0"/>
          <w:color w:val="auto"/>
          <w:u w:val="single"/>
        </w:rPr>
        <w:t xml:space="preserve">Modelo 2: Eficiência do Controle Postural </w:t>
      </w:r>
    </w:p>
    <w:p w14:paraId="4513D0C4">
      <w:pPr>
        <w:pStyle w:val="11"/>
        <w:spacing w:before="0" w:beforeAutospacing="0" w:after="0" w:afterAutospacing="0" w:line="360" w:lineRule="auto"/>
        <w:ind w:firstLine="708" w:firstLineChars="0"/>
        <w:rPr>
          <w:rFonts w:hint="default" w:ascii="SimSun" w:hAnsi="SimSun" w:eastAsia="SimSun" w:cs="SimSun"/>
          <w:sz w:val="24"/>
          <w:szCs w:val="24"/>
          <w:lang w:val="pt-BR"/>
        </w:rPr>
      </w:pPr>
      <w:r>
        <w:rPr>
          <w:rFonts w:hint="default" w:ascii="Times New Roman" w:hAnsi="Times New Roman" w:eastAsia="SimSun" w:cs="Times New Roman"/>
          <w:sz w:val="24"/>
          <w:szCs w:val="24"/>
        </w:rPr>
        <w:t>Avalia a precisão e a qualidade das correções neuromusculares na base de sustentação frente ao erro real do pêndulo invertido</w:t>
      </w:r>
      <w:r>
        <w:rPr>
          <w:rFonts w:hint="default" w:ascii="Times New Roman" w:hAnsi="Times New Roman" w:eastAsia="SimSun" w:cs="Times New Roman"/>
          <w:sz w:val="24"/>
          <w:szCs w:val="24"/>
          <w:lang w:val="pt-BR"/>
        </w:rPr>
        <w:t>.</w:t>
      </w:r>
    </w:p>
    <w:p w14:paraId="5865D9B6">
      <w:pPr>
        <w:pStyle w:val="11"/>
        <w:spacing w:before="0" w:beforeAutospacing="0" w:after="0" w:afterAutospacing="0" w:line="360" w:lineRule="auto"/>
        <w:ind w:left="720"/>
      </w:pPr>
      <w:r>
        <w:rPr>
          <w:b/>
          <w:bCs/>
        </w:rPr>
        <w:t>Variáveis:</w:t>
      </w:r>
    </w:p>
    <w:p w14:paraId="565E00E8">
      <w:pPr>
        <w:pStyle w:val="11"/>
        <w:numPr>
          <w:ilvl w:val="1"/>
          <w:numId w:val="5"/>
        </w:numPr>
        <w:spacing w:before="0" w:beforeAutospacing="0" w:after="0" w:afterAutospacing="0" w:line="360" w:lineRule="auto"/>
      </w:pPr>
      <w:r>
        <w:t>Distância média CoP-CoM (milímetros).</w:t>
      </w:r>
    </w:p>
    <w:p w14:paraId="151835B3">
      <w:pPr>
        <w:pStyle w:val="11"/>
        <w:numPr>
          <w:ilvl w:val="1"/>
          <w:numId w:val="5"/>
        </w:numPr>
        <w:spacing w:before="0" w:beforeAutospacing="0" w:after="0" w:afterAutospacing="0" w:line="360" w:lineRule="auto"/>
      </w:pPr>
      <w:r>
        <w:t>Velocidade média do CoP (milímetros/segundo)</w:t>
      </w:r>
    </w:p>
    <w:p w14:paraId="6F55A815">
      <w:pPr>
        <w:pStyle w:val="11"/>
        <w:numPr>
          <w:ilvl w:val="1"/>
          <w:numId w:val="5"/>
        </w:numPr>
        <w:spacing w:before="0" w:beforeAutospacing="0" w:after="0" w:afterAutospacing="0" w:line="360" w:lineRule="auto"/>
      </w:pPr>
      <w:r>
        <w:t>Entropia Aproximada (unidades arbitrárias).</w:t>
      </w:r>
    </w:p>
    <w:p w14:paraId="14274E51">
      <w:pPr>
        <w:pStyle w:val="11"/>
        <w:spacing w:before="0" w:beforeAutospacing="0" w:after="0" w:afterAutospacing="0" w:line="360" w:lineRule="auto"/>
        <w:rPr>
          <w:u w:val="single"/>
        </w:rPr>
      </w:pPr>
      <w:r>
        <w:rPr>
          <w:u w:val="single"/>
        </w:rPr>
        <w:t>Modelo 3: Técnica</w:t>
      </w:r>
    </w:p>
    <w:p w14:paraId="37BFFD7B">
      <w:pPr>
        <w:pStyle w:val="11"/>
        <w:spacing w:before="0" w:beforeAutospacing="0" w:after="0" w:afterAutospacing="0" w:line="360" w:lineRule="auto"/>
        <w:ind w:firstLine="708"/>
        <w:rPr>
          <w:rFonts w:hint="default"/>
          <w:lang w:val="pt-BR"/>
        </w:rPr>
      </w:pPr>
      <w:r>
        <w:t>Testa como a conformação segmentar e a geometria da base de apoio influenciam a estabilidade e a economia mecânica da postura</w:t>
      </w:r>
      <w:r>
        <w:rPr>
          <w:rFonts w:hint="default"/>
          <w:lang w:val="pt-BR"/>
        </w:rPr>
        <w:t>.</w:t>
      </w:r>
    </w:p>
    <w:p w14:paraId="30763D09">
      <w:pPr>
        <w:pStyle w:val="11"/>
        <w:spacing w:before="0" w:beforeAutospacing="0" w:after="0" w:afterAutospacing="0" w:line="360" w:lineRule="auto"/>
        <w:ind w:left="720"/>
      </w:pPr>
      <w:r>
        <w:rPr>
          <w:b/>
          <w:bCs/>
        </w:rPr>
        <w:t>Variáveis:</w:t>
      </w:r>
    </w:p>
    <w:p w14:paraId="431041E2">
      <w:pPr>
        <w:pStyle w:val="11"/>
        <w:numPr>
          <w:ilvl w:val="1"/>
          <w:numId w:val="5"/>
        </w:numPr>
        <w:spacing w:before="0" w:beforeAutospacing="0" w:after="0" w:afterAutospacing="0" w:line="360" w:lineRule="auto"/>
      </w:pPr>
      <w:r>
        <w:t>Índice de verticalidade: alinhamento segmentar entre ombro e quadril (graus).</w:t>
      </w:r>
    </w:p>
    <w:p w14:paraId="61BC5D1B">
      <w:pPr>
        <w:pStyle w:val="11"/>
        <w:numPr>
          <w:ilvl w:val="1"/>
          <w:numId w:val="5"/>
        </w:numPr>
        <w:spacing w:before="0" w:beforeAutospacing="0" w:after="0" w:afterAutospacing="0" w:line="360" w:lineRule="auto"/>
      </w:pPr>
      <w:r>
        <w:t>Ângulo de Extensão Cervical (graus).</w:t>
      </w:r>
    </w:p>
    <w:p w14:paraId="401A1899">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24CC521">
      <w:pPr>
        <w:pStyle w:val="11"/>
        <w:numPr>
          <w:ilvl w:val="1"/>
          <w:numId w:val="5"/>
        </w:numPr>
        <w:spacing w:before="0" w:beforeAutospacing="0" w:after="0" w:afterAutospacing="0" w:line="360" w:lineRule="auto"/>
      </w:pPr>
      <w:r>
        <w:t>Largura da base de apoio (milímetros).</w:t>
      </w:r>
    </w:p>
    <w:p w14:paraId="2633412E">
      <w:pPr>
        <w:pStyle w:val="11"/>
        <w:numPr>
          <w:ilvl w:val="1"/>
          <w:numId w:val="5"/>
        </w:numPr>
        <w:spacing w:before="0" w:beforeAutospacing="0" w:after="0" w:afterAutospacing="0" w:line="360" w:lineRule="auto"/>
      </w:pPr>
      <w:r>
        <w:t>Orientação angular das mãos (graus).</w:t>
      </w:r>
    </w:p>
    <w:p w14:paraId="6497150B">
      <w:pPr>
        <w:pStyle w:val="11"/>
        <w:spacing w:before="0" w:beforeAutospacing="0" w:after="0" w:afterAutospacing="0" w:line="360" w:lineRule="auto"/>
        <w:rPr>
          <w:u w:val="single"/>
        </w:rPr>
      </w:pPr>
      <w:r>
        <w:rPr>
          <w:u w:val="single"/>
        </w:rPr>
        <w:t>Modelo 4: Fatores Antropométricos</w:t>
      </w:r>
    </w:p>
    <w:p w14:paraId="4B647757">
      <w:pPr>
        <w:pStyle w:val="11"/>
        <w:spacing w:before="0" w:beforeAutospacing="0" w:after="0" w:afterAutospacing="0" w:line="360" w:lineRule="auto"/>
        <w:ind w:firstLine="708"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Investiga como o comprimento das alavancas ósseas e a distribuição de massa inerte vs. ativa modulam as demandas de torque estabilizador.</w:t>
      </w:r>
    </w:p>
    <w:p w14:paraId="483D2E77">
      <w:pPr>
        <w:pStyle w:val="11"/>
        <w:spacing w:before="0" w:beforeAutospacing="0" w:after="0" w:afterAutospacing="0" w:line="360" w:lineRule="auto"/>
        <w:ind w:firstLine="708" w:firstLineChars="0"/>
      </w:pPr>
      <w:r>
        <w:rPr>
          <w:b/>
          <w:bCs/>
        </w:rPr>
        <w:t>Variáveis:</w:t>
      </w:r>
    </w:p>
    <w:p w14:paraId="6E2C552F">
      <w:pPr>
        <w:pStyle w:val="11"/>
        <w:numPr>
          <w:ilvl w:val="1"/>
          <w:numId w:val="5"/>
        </w:numPr>
        <w:spacing w:before="0" w:beforeAutospacing="0" w:after="0" w:afterAutospacing="0" w:line="360" w:lineRule="auto"/>
      </w:pPr>
      <w:r>
        <w:t>Altura do CoM (milímetros).</w:t>
      </w:r>
    </w:p>
    <w:p w14:paraId="35CCD0A1">
      <w:pPr>
        <w:pStyle w:val="11"/>
        <w:numPr>
          <w:ilvl w:val="1"/>
          <w:numId w:val="5"/>
        </w:numPr>
        <w:spacing w:before="0" w:beforeAutospacing="0" w:after="0" w:afterAutospacing="0" w:line="360" w:lineRule="auto"/>
      </w:pPr>
      <w:r>
        <w:t>Comprimento dos braços (milímetros).</w:t>
      </w:r>
    </w:p>
    <w:p w14:paraId="0D6C8157">
      <w:pPr>
        <w:pStyle w:val="11"/>
        <w:numPr>
          <w:ilvl w:val="1"/>
          <w:numId w:val="5"/>
        </w:numPr>
        <w:spacing w:before="0" w:beforeAutospacing="0" w:after="0" w:afterAutospacing="0" w:line="360" w:lineRule="auto"/>
      </w:pPr>
      <w:r>
        <w:t>Quantidade de gordura corporal (percentual).</w:t>
      </w:r>
    </w:p>
    <w:p w14:paraId="06EF2A88">
      <w:pPr>
        <w:pStyle w:val="11"/>
        <w:numPr>
          <w:ilvl w:val="1"/>
          <w:numId w:val="5"/>
        </w:numPr>
        <w:spacing w:before="0" w:beforeAutospacing="0" w:after="0" w:afterAutospacing="0" w:line="360" w:lineRule="auto"/>
      </w:pPr>
      <w:r>
        <w:t>Massa</w:t>
      </w:r>
      <w:r>
        <w:rPr>
          <w:rFonts w:hint="default"/>
          <w:lang w:val="pt-BR"/>
        </w:rPr>
        <w:t xml:space="preserve"> muscular</w:t>
      </w:r>
      <w:r>
        <w:t xml:space="preserve"> (quilogramas).</w:t>
      </w:r>
    </w:p>
    <w:p w14:paraId="2839BF4C">
      <w:pPr>
        <w:pStyle w:val="11"/>
        <w:spacing w:before="0" w:beforeAutospacing="0" w:after="0" w:afterAutospacing="0" w:line="360" w:lineRule="auto"/>
        <w:rPr>
          <w:u w:val="single"/>
        </w:rPr>
      </w:pPr>
      <w:r>
        <w:rPr>
          <w:u w:val="single"/>
        </w:rPr>
        <w:t>Modelo 5: Perfil e Experiência</w:t>
      </w:r>
    </w:p>
    <w:p w14:paraId="5AB8D5A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se a idade cronológica atua como limitador funcional ou se o volume acumulado de prática se sobrepõe aos declínios biológicos.</w:t>
      </w:r>
    </w:p>
    <w:p w14:paraId="4A6C870C">
      <w:pPr>
        <w:pStyle w:val="11"/>
        <w:spacing w:before="0" w:beforeAutospacing="0" w:after="0" w:afterAutospacing="0" w:line="360" w:lineRule="auto"/>
        <w:ind w:firstLine="708" w:firstLineChars="0"/>
      </w:pPr>
      <w:r>
        <w:rPr>
          <w:b/>
          <w:bCs/>
        </w:rPr>
        <w:t>Variáveis:</w:t>
      </w:r>
    </w:p>
    <w:p w14:paraId="4085B94A">
      <w:pPr>
        <w:pStyle w:val="11"/>
        <w:numPr>
          <w:ilvl w:val="1"/>
          <w:numId w:val="6"/>
        </w:numPr>
        <w:spacing w:before="0" w:beforeAutospacing="0" w:after="0" w:afterAutospacing="0" w:line="360" w:lineRule="auto"/>
      </w:pPr>
      <w:r>
        <w:rPr>
          <w:rFonts w:hint="default" w:ascii="Times New Roman" w:hAnsi="Times New Roman" w:eastAsia="Times New Roman" w:cs="Times New Roman"/>
          <w:sz w:val="24"/>
          <w:szCs w:val="24"/>
          <w:lang w:val="pt-BR" w:eastAsia="pt-BR" w:bidi="ar-SA"/>
        </w:rPr>
        <w:t>Volume de Prática Acumulada</w:t>
      </w:r>
      <w:r>
        <w:t xml:space="preserve"> (</w:t>
      </w:r>
      <w:r>
        <w:rPr>
          <w:rFonts w:hint="default"/>
          <w:lang w:val="pt-BR"/>
        </w:rPr>
        <w:t>horas</w:t>
      </w:r>
      <w:r>
        <w:t>).</w:t>
      </w:r>
    </w:p>
    <w:p w14:paraId="6522353B">
      <w:pPr>
        <w:pStyle w:val="11"/>
        <w:numPr>
          <w:ilvl w:val="1"/>
          <w:numId w:val="6"/>
        </w:numPr>
        <w:spacing w:before="0" w:beforeAutospacing="0" w:after="0" w:afterAutospacing="0" w:line="360" w:lineRule="auto"/>
      </w:pPr>
      <w:r>
        <w:t>Idade cronológica (anos)</w:t>
      </w:r>
    </w:p>
    <w:p w14:paraId="50AA2C06">
      <w:pPr>
        <w:pStyle w:val="11"/>
        <w:spacing w:before="0" w:beforeAutospacing="0" w:after="0" w:afterAutospacing="0" w:line="360" w:lineRule="auto"/>
        <w:rPr>
          <w:u w:val="single"/>
        </w:rPr>
      </w:pPr>
      <w:r>
        <w:rPr>
          <w:u w:val="single"/>
        </w:rPr>
        <w:t>Modelo 6: Autonomia de Estabilização </w:t>
      </w:r>
    </w:p>
    <w:p w14:paraId="74371808">
      <w:pPr>
        <w:suppressAutoHyphens w:val="0"/>
        <w:spacing w:line="360" w:lineRule="auto"/>
        <w:ind w:firstLine="708"/>
        <w:rPr>
          <w:rFonts w:ascii="Times New Roman" w:hAnsi="Times New Roman" w:eastAsia="Times New Roman" w:cs="Times New Roman"/>
        </w:rPr>
      </w:pPr>
      <w:r>
        <w:rPr>
          <w:rFonts w:ascii="Times New Roman" w:hAnsi="Times New Roman" w:eastAsia="Times New Roman" w:cs="Times New Roman"/>
        </w:rPr>
        <w:t xml:space="preserve">Este modelo avalia os fatores determinantes para a capacidade do praticante de realizar a entrada no </w:t>
      </w:r>
      <w:r>
        <w:rPr>
          <w:rFonts w:ascii="Times New Roman" w:hAnsi="Times New Roman" w:eastAsia="Times New Roman" w:cs="Times New Roman"/>
          <w:i/>
          <w:iCs/>
        </w:rPr>
        <w:t>HS</w:t>
      </w:r>
      <w:r>
        <w:rPr>
          <w:rFonts w:ascii="Times New Roman" w:hAnsi="Times New Roman" w:eastAsia="Times New Roman" w:cs="Times New Roman"/>
        </w:rPr>
        <w:t xml:space="preserve"> de forma autônoma e atingir a fase de estabilização sem auxílio externo, considerando nível de força de membros superiores, proficiência intrínseca no controle postural (medida previamente no bloco assistido) ou tempo de prática acumulada </w:t>
      </w:r>
      <w:r>
        <w:rPr>
          <w:rFonts w:ascii="Times New Roman" w:hAnsi="Times New Roman" w:eastAsia="Times New Roman" w:cs="Times New Roman"/>
        </w:rPr>
        <w:fldChar w:fldCharType="begin"/>
      </w:r>
      <w:r>
        <w:rPr>
          <w:rFonts w:ascii="Times New Roman" w:hAnsi="Times New Roman" w:eastAsia="Times New Roman" w:cs="Times New Roman"/>
          <w:lang w:val="pt-BR"/>
        </w:rPr>
        <w:instrText xml:space="preserve"> ADDIN ZOTERO_ITEM CSL_CITATION {"citationID":"OEBC5iKX","properties":{"unsorted":false,"formattedCitation":"[9], [26]","plainCitation":"[9], [26]","noteIndex":0},"citationItems":[{"id":300,"uris":["http://zotero.org/users/17274952/items/GA9H6F87"],"itemData":{"id":300,"type":"article-journal","abstract":"The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ascii="Times New Roman" w:hAnsi="Times New Roman" w:eastAsia="Times New Roman" w:cs="Times New Roman"/>
        </w:rPr>
        <w:fldChar w:fldCharType="separate"/>
      </w:r>
      <w:r>
        <w:rPr>
          <w:rFonts w:ascii="Times New Roman" w:hAnsi="Times New Roman" w:cs="Times New Roman"/>
          <w:lang w:val="pt-BR"/>
        </w:rPr>
        <w:t>[9], [26]</w:t>
      </w:r>
      <w:r>
        <w:rPr>
          <w:rFonts w:ascii="Times New Roman" w:hAnsi="Times New Roman" w:eastAsia="Times New Roman" w:cs="Times New Roman"/>
        </w:rPr>
        <w:fldChar w:fldCharType="end"/>
      </w:r>
      <w:r>
        <w:rPr>
          <w:rFonts w:ascii="Times New Roman" w:hAnsi="Times New Roman" w:eastAsia="Times New Roman" w:cs="Times New Roman"/>
        </w:rPr>
        <w:t xml:space="preserve">. Diferindo das abordagens anteriores baseadas em regressão linear, será realizada uma regressão logística binária, visto que a variável dependente possui natureza dicotômica: sucesso (conseguiu atingir a posição e manter o equilíbrio de forma independente por no mínimo 3 segundos no bloco de entradas livres) versus falha (incapacidade de estabilização da postura). </w:t>
      </w:r>
    </w:p>
    <w:p w14:paraId="098FC700">
      <w:pPr>
        <w:suppressAutoHyphens w:val="0"/>
        <w:spacing w:line="360" w:lineRule="auto"/>
        <w:ind w:firstLine="708"/>
        <w:jc w:val="left"/>
        <w:rPr>
          <w:rFonts w:ascii="Times New Roman" w:hAnsi="Times New Roman" w:eastAsia="Times New Roman" w:cs="Times New Roman"/>
          <w:color w:val="101010"/>
        </w:rPr>
      </w:pPr>
      <w:r>
        <w:rPr>
          <w:rFonts w:ascii="Times New Roman" w:hAnsi="Times New Roman" w:eastAsia="Times New Roman" w:cs="Times New Roman"/>
          <w:b/>
          <w:bCs/>
          <w:color w:val="101010"/>
        </w:rPr>
        <w:t>Variáveis:</w:t>
      </w:r>
    </w:p>
    <w:p w14:paraId="6BD1F3E9">
      <w:pPr>
        <w:numPr>
          <w:ilvl w:val="0"/>
          <w:numId w:val="7"/>
        </w:numPr>
        <w:suppressAutoHyphens w:val="0"/>
        <w:spacing w:line="360" w:lineRule="auto"/>
        <w:jc w:val="left"/>
        <w:rPr>
          <w:rFonts w:ascii="Times New Roman" w:hAnsi="Times New Roman" w:eastAsia="Times New Roman" w:cs="Times New Roman"/>
        </w:rPr>
      </w:pPr>
      <w:r>
        <w:rPr>
          <w:rFonts w:ascii="Times New Roman" w:hAnsi="Times New Roman" w:eastAsia="Times New Roman" w:cs="Times New Roman"/>
        </w:rPr>
        <w:t>Força relativa no SP (1-RM / massa corporal).</w:t>
      </w:r>
    </w:p>
    <w:p w14:paraId="70871239">
      <w:pPr>
        <w:numPr>
          <w:ilvl w:val="0"/>
          <w:numId w:val="7"/>
        </w:numPr>
        <w:suppressAutoHyphens w:val="0"/>
        <w:spacing w:line="360" w:lineRule="auto"/>
        <w:jc w:val="left"/>
        <w:rPr>
          <w:rFonts w:ascii="Times New Roman" w:hAnsi="Times New Roman" w:eastAsia="Times New Roman" w:cs="Times New Roman"/>
        </w:rPr>
      </w:pPr>
      <w:r>
        <w:rPr>
          <w:rFonts w:ascii="Times New Roman" w:hAnsi="Times New Roman" w:eastAsia="Times New Roman" w:cs="Times New Roman"/>
        </w:rPr>
        <w:t xml:space="preserve">Tempo médio de sustentação no </w:t>
      </w:r>
      <w:r>
        <w:rPr>
          <w:rFonts w:ascii="Times New Roman" w:hAnsi="Times New Roman" w:eastAsia="Times New Roman" w:cs="Times New Roman"/>
          <w:i/>
          <w:iCs/>
        </w:rPr>
        <w:t>HS</w:t>
      </w:r>
      <w:r>
        <w:rPr>
          <w:rFonts w:ascii="Times New Roman" w:hAnsi="Times New Roman" w:eastAsia="Times New Roman" w:cs="Times New Roman"/>
        </w:rPr>
        <w:t xml:space="preserve"> Assistido (segundos).</w:t>
      </w:r>
    </w:p>
    <w:p w14:paraId="08D31A28">
      <w:pPr>
        <w:numPr>
          <w:ilvl w:val="0"/>
          <w:numId w:val="7"/>
        </w:numPr>
        <w:suppressAutoHyphens w:val="0"/>
        <w:spacing w:line="360" w:lineRule="auto"/>
        <w:jc w:val="left"/>
        <w:rPr>
          <w:rFonts w:ascii="Times New Roman" w:hAnsi="Times New Roman" w:eastAsia="Times New Roman" w:cs="Times New Roman"/>
        </w:rPr>
      </w:pPr>
      <w:r>
        <w:rPr>
          <w:rFonts w:ascii="Times New Roman" w:hAnsi="Times New Roman" w:eastAsia="Times New Roman" w:cs="Times New Roman"/>
        </w:rPr>
        <w:t>Tempo de prática (meses).</w:t>
      </w:r>
    </w:p>
    <w:p w14:paraId="49F82710">
      <w:pPr>
        <w:pStyle w:val="11"/>
        <w:spacing w:before="0" w:beforeAutospacing="0" w:after="0" w:afterAutospacing="0" w:line="360" w:lineRule="auto"/>
        <w:jc w:val="both"/>
      </w:pPr>
      <w:r>
        <w:rPr>
          <w:rFonts w:hint="default" w:eastAsia="SimSun" w:cs="Times New Roman"/>
          <w:sz w:val="24"/>
          <w:szCs w:val="24"/>
          <w:lang w:val="pt-BR"/>
        </w:rPr>
        <w:t xml:space="preserve">3.5.2 </w:t>
      </w:r>
      <w:r>
        <w:rPr>
          <w:rFonts w:hint="default" w:ascii="Times New Roman" w:hAnsi="Times New Roman" w:eastAsia="SimSun" w:cs="Times New Roman"/>
          <w:sz w:val="24"/>
          <w:szCs w:val="24"/>
        </w:rPr>
        <w:t xml:space="preserve">Modelos Preditivos para o </w:t>
      </w:r>
      <w:r>
        <w:rPr>
          <w:rFonts w:hint="default" w:eastAsia="SimSun" w:cs="Times New Roman"/>
          <w:i/>
          <w:iCs/>
          <w:sz w:val="24"/>
          <w:szCs w:val="24"/>
          <w:lang w:val="pt-BR"/>
        </w:rPr>
        <w:t>HSW</w:t>
      </w:r>
    </w:p>
    <w:p w14:paraId="18F4D991">
      <w:pPr>
        <w:spacing w:line="360" w:lineRule="auto"/>
        <w:ind w:firstLine="708" w:firstLineChars="0"/>
        <w:rPr>
          <w:rFonts w:ascii="Times New Roman" w:hAnsi="Times New Roman" w:eastAsia="Times New Roman" w:cs="Times New Roman"/>
        </w:rPr>
      </w:pPr>
      <w:r>
        <w:rPr>
          <w:rFonts w:hint="default" w:ascii="Times New Roman" w:hAnsi="Times New Roman" w:eastAsia="SimSun" w:cs="Times New Roman"/>
          <w:sz w:val="24"/>
          <w:szCs w:val="24"/>
        </w:rPr>
        <w:t xml:space="preserve">Para os modelos de regressão do HSW, a variável dependente será a </w:t>
      </w:r>
      <w:r>
        <w:rPr>
          <w:rFonts w:hint="default" w:ascii="Times New Roman" w:hAnsi="Times New Roman" w:eastAsia="SimSun" w:cs="Times New Roman"/>
          <w:b w:val="0"/>
          <w:bCs w:val="0"/>
          <w:sz w:val="24"/>
          <w:szCs w:val="24"/>
        </w:rPr>
        <w:t>mediana da distância linear percorrida (m),</w:t>
      </w:r>
      <w:r>
        <w:rPr>
          <w:rFonts w:hint="default" w:ascii="Times New Roman" w:hAnsi="Times New Roman" w:eastAsia="SimSun" w:cs="Times New Roman"/>
          <w:sz w:val="24"/>
          <w:szCs w:val="24"/>
        </w:rPr>
        <w:t xml:space="preserve"> adotada por sua robustez frente a quedas prematuras ou tentativas extremas isoladas</w:t>
      </w:r>
      <w:r>
        <w:rPr>
          <w:rFonts w:ascii="Times New Roman" w:hAnsi="Times New Roman" w:eastAsia="Times New Roman" w:cs="Times New Roman"/>
        </w:rPr>
        <w:t>:</w:t>
      </w:r>
    </w:p>
    <w:p w14:paraId="45C30B0E">
      <w:pPr>
        <w:pStyle w:val="11"/>
        <w:spacing w:before="0" w:beforeAutospacing="0" w:after="0" w:afterAutospacing="0" w:line="360" w:lineRule="auto"/>
        <w:rPr>
          <w:u w:val="single"/>
        </w:rPr>
      </w:pPr>
      <w:r>
        <w:rPr>
          <w:u w:val="single"/>
        </w:rPr>
        <w:t xml:space="preserve">Modelo 1: Capacidade Física </w:t>
      </w:r>
    </w:p>
    <w:p w14:paraId="0CA4A517">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como a força máxima e a tolerância à fadiga muscular em inversão sustentam a locomoção contínua sobre membros superiores.</w:t>
      </w:r>
    </w:p>
    <w:p w14:paraId="4EE15F9D">
      <w:pPr>
        <w:pStyle w:val="11"/>
        <w:spacing w:before="0" w:beforeAutospacing="0" w:after="0" w:afterAutospacing="0" w:line="360" w:lineRule="auto"/>
        <w:ind w:firstLine="708"/>
      </w:pPr>
      <w:r>
        <w:rPr>
          <w:b/>
          <w:bCs/>
        </w:rPr>
        <w:t>Variáveis:</w:t>
      </w:r>
    </w:p>
    <w:p w14:paraId="371DEA52">
      <w:pPr>
        <w:pStyle w:val="11"/>
        <w:numPr>
          <w:ilvl w:val="1"/>
          <w:numId w:val="4"/>
        </w:numPr>
        <w:spacing w:before="0" w:beforeAutospacing="0" w:after="0" w:afterAutospacing="0" w:line="360" w:lineRule="auto"/>
      </w:pPr>
      <w:r>
        <w:t xml:space="preserve">Força relativa no </w:t>
      </w:r>
      <w:r>
        <w:rPr>
          <w:i/>
          <w:iCs/>
        </w:rPr>
        <w:t>SP</w:t>
      </w:r>
      <w:r>
        <w:t xml:space="preserve"> (1-RM / massa corporal).</w:t>
      </w:r>
    </w:p>
    <w:p w14:paraId="11B30EEE">
      <w:pPr>
        <w:pStyle w:val="11"/>
        <w:numPr>
          <w:ilvl w:val="1"/>
          <w:numId w:val="4"/>
        </w:numPr>
        <w:spacing w:before="0" w:beforeAutospacing="0" w:after="0" w:afterAutospacing="0" w:line="360" w:lineRule="auto"/>
      </w:pPr>
      <w:r>
        <w:t xml:space="preserve">Resistência em </w:t>
      </w:r>
      <w:r>
        <w:rPr>
          <w:i/>
          <w:iCs/>
        </w:rPr>
        <w:t>wall-supported HS</w:t>
      </w:r>
      <w:r>
        <w:t xml:space="preserve"> (segundos).</w:t>
      </w:r>
    </w:p>
    <w:p w14:paraId="053C7D61">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Índice de Simetria de Membros nos flexores de punho (%)</w:t>
      </w:r>
    </w:p>
    <w:p w14:paraId="10CEEFB5">
      <w:pPr>
        <w:pStyle w:val="11"/>
        <w:spacing w:before="0" w:beforeAutospacing="0" w:after="0" w:afterAutospacing="0" w:line="360" w:lineRule="auto"/>
        <w:rPr>
          <w:u w:val="single"/>
        </w:rPr>
      </w:pPr>
      <w:r>
        <w:rPr>
          <w:u w:val="single"/>
        </w:rPr>
        <w:t>Modelo 2: Eficiência da Locomoção</w:t>
      </w:r>
    </w:p>
    <w:p w14:paraId="2DBDA071">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ascii="SimSun" w:hAnsi="SimSun" w:eastAsia="SimSun" w:cs="SimSun"/>
          <w:sz w:val="24"/>
          <w:szCs w:val="24"/>
        </w:rPr>
        <w:t>V</w:t>
      </w:r>
      <w:r>
        <w:rPr>
          <w:rFonts w:hint="default" w:ascii="Times New Roman" w:hAnsi="Times New Roman" w:eastAsia="SimSun" w:cs="Times New Roman"/>
          <w:sz w:val="24"/>
          <w:szCs w:val="24"/>
        </w:rPr>
        <w:t>erifica se a consistência espaço-temporal das passadas e o equilíbrio de força bilateral determinam o alcance da marcha invertida.</w:t>
      </w:r>
    </w:p>
    <w:p w14:paraId="2ED54148">
      <w:pPr>
        <w:pStyle w:val="11"/>
        <w:spacing w:before="0" w:beforeAutospacing="0" w:after="0" w:afterAutospacing="0" w:line="360" w:lineRule="auto"/>
        <w:ind w:firstLine="708"/>
        <w:jc w:val="both"/>
      </w:pPr>
      <w:r>
        <w:rPr>
          <w:rFonts w:hint="default" w:ascii="Times New Roman" w:hAnsi="Times New Roman" w:eastAsia="SimSun" w:cs="Times New Roman"/>
          <w:sz w:val="24"/>
          <w:szCs w:val="24"/>
        </w:rPr>
        <w:t xml:space="preserve"> </w:t>
      </w:r>
      <w:r>
        <w:rPr>
          <w:b/>
          <w:bCs/>
        </w:rPr>
        <w:t>Variáveis:</w:t>
      </w:r>
    </w:p>
    <w:p w14:paraId="03980F35">
      <w:pPr>
        <w:pStyle w:val="11"/>
        <w:numPr>
          <w:ilvl w:val="1"/>
          <w:numId w:val="4"/>
        </w:numPr>
        <w:spacing w:before="0" w:beforeAutospacing="0" w:after="0" w:afterAutospacing="0" w:line="360" w:lineRule="auto"/>
      </w:pPr>
      <w:r>
        <w:t>Variabilidade Espacial: coeficiente de variação do comprimento das passadas (%).</w:t>
      </w:r>
    </w:p>
    <w:p w14:paraId="7B8C12C8">
      <w:pPr>
        <w:pStyle w:val="11"/>
        <w:numPr>
          <w:ilvl w:val="1"/>
          <w:numId w:val="4"/>
        </w:numPr>
        <w:spacing w:before="0" w:beforeAutospacing="0" w:after="0" w:afterAutospacing="0" w:line="360" w:lineRule="auto"/>
      </w:pPr>
      <w:r>
        <w:t>Variabilidade Temporal: Coeficiente de variação do tempo entre passadas (%).</w:t>
      </w:r>
    </w:p>
    <w:p w14:paraId="47B97B24">
      <w:pPr>
        <w:pStyle w:val="11"/>
        <w:numPr>
          <w:ilvl w:val="1"/>
          <w:numId w:val="4"/>
        </w:numPr>
        <w:spacing w:before="0" w:beforeAutospacing="0" w:after="0" w:afterAutospacing="0" w:line="360" w:lineRule="auto"/>
      </w:pPr>
      <w:r>
        <w:t>Comprimento médio das passadas (Milímetros).</w:t>
      </w:r>
    </w:p>
    <w:p w14:paraId="31B5F0EA">
      <w:pPr>
        <w:pStyle w:val="11"/>
        <w:numPr>
          <w:ilvl w:val="1"/>
          <w:numId w:val="4"/>
        </w:numPr>
        <w:spacing w:before="0" w:beforeAutospacing="0" w:after="0" w:afterAutospacing="0" w:line="360" w:lineRule="auto"/>
      </w:pPr>
      <w:r>
        <w:t>Cadência: passos por segundo (passos/s).</w:t>
      </w:r>
    </w:p>
    <w:p w14:paraId="2BE916B5">
      <w:pPr>
        <w:pStyle w:val="11"/>
        <w:spacing w:before="0" w:beforeAutospacing="0" w:after="0" w:afterAutospacing="0" w:line="360" w:lineRule="auto"/>
        <w:rPr>
          <w:u w:val="single"/>
        </w:rPr>
      </w:pPr>
      <w:r>
        <w:rPr>
          <w:u w:val="single"/>
        </w:rPr>
        <w:t xml:space="preserve">Modelo 3: Técnica </w:t>
      </w:r>
    </w:p>
    <w:p w14:paraId="02A86504">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eastAsia="SimSun" w:cs="Times New Roman"/>
          <w:sz w:val="24"/>
          <w:szCs w:val="24"/>
        </w:rPr>
        <w:t>Testa como o alinhamento corporal médio e a rotação das mãos modulam a progressão linear do centro de gravidade</w:t>
      </w:r>
      <w:r>
        <w:rPr>
          <w:rFonts w:hint="default" w:ascii="Times New Roman" w:hAnsi="Times New Roman" w:cs="Times New Roman"/>
        </w:rPr>
        <w:t>.</w:t>
      </w:r>
    </w:p>
    <w:p w14:paraId="50125B6D">
      <w:pPr>
        <w:pStyle w:val="11"/>
        <w:spacing w:before="0" w:beforeAutospacing="0" w:after="0" w:afterAutospacing="0" w:line="360" w:lineRule="auto"/>
        <w:ind w:left="720"/>
      </w:pPr>
      <w:r>
        <w:rPr>
          <w:b/>
          <w:bCs/>
        </w:rPr>
        <w:t>Variáveis:</w:t>
      </w:r>
    </w:p>
    <w:p w14:paraId="6B4A458D">
      <w:pPr>
        <w:pStyle w:val="11"/>
        <w:numPr>
          <w:ilvl w:val="1"/>
          <w:numId w:val="8"/>
        </w:numPr>
        <w:spacing w:before="0" w:beforeAutospacing="0" w:after="0" w:afterAutospacing="0" w:line="360" w:lineRule="auto"/>
      </w:pPr>
      <w:r>
        <w:t>Índice de verticalidade: alinhamento segmentar entre ombro e quadril (graus).</w:t>
      </w:r>
    </w:p>
    <w:p w14:paraId="1B5B3413">
      <w:pPr>
        <w:pStyle w:val="11"/>
        <w:numPr>
          <w:ilvl w:val="1"/>
          <w:numId w:val="8"/>
        </w:numPr>
        <w:spacing w:before="0" w:beforeAutospacing="0" w:after="0" w:afterAutospacing="0" w:line="360" w:lineRule="auto"/>
      </w:pPr>
      <w:r>
        <w:t>Ângulo de Extensão Cervical (graus).</w:t>
      </w:r>
    </w:p>
    <w:p w14:paraId="6C942D15">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4E98E81">
      <w:pPr>
        <w:pStyle w:val="11"/>
        <w:numPr>
          <w:ilvl w:val="1"/>
          <w:numId w:val="8"/>
        </w:numPr>
        <w:spacing w:before="0" w:beforeAutospacing="0" w:after="0" w:afterAutospacing="0" w:line="360" w:lineRule="auto"/>
      </w:pPr>
      <w:r>
        <w:t>Largura da base de apoio (milímetros).</w:t>
      </w:r>
    </w:p>
    <w:p w14:paraId="5B8356CF">
      <w:pPr>
        <w:pStyle w:val="11"/>
        <w:numPr>
          <w:ilvl w:val="1"/>
          <w:numId w:val="8"/>
        </w:numPr>
        <w:spacing w:before="0" w:beforeAutospacing="0" w:after="0" w:afterAutospacing="0" w:line="360" w:lineRule="auto"/>
      </w:pPr>
      <w:r>
        <w:t>Orientação angular das mãos (graus).</w:t>
      </w:r>
    </w:p>
    <w:p w14:paraId="613A5004">
      <w:pPr>
        <w:pStyle w:val="11"/>
        <w:spacing w:before="0" w:beforeAutospacing="0" w:after="0" w:afterAutospacing="0" w:line="360" w:lineRule="auto"/>
        <w:rPr>
          <w:u w:val="single"/>
        </w:rPr>
      </w:pPr>
      <w:r>
        <w:rPr>
          <w:u w:val="single"/>
        </w:rPr>
        <w:t>Modelo 4: Transferência de Habilidade (Estático para Dinâmico)</w:t>
      </w:r>
    </w:p>
    <w:p w14:paraId="797EA2E6">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Investiga se a proficiência no equilíbrio estático e a regularidade do sinal estabilométrico transferem-se diretamente para a capacidade locomotora</w:t>
      </w:r>
      <w:r>
        <w:rPr>
          <w:rFonts w:hint="default" w:ascii="Times New Roman" w:hAnsi="Times New Roman" w:eastAsia="SimSun" w:cs="Times New Roman"/>
          <w:sz w:val="24"/>
          <w:szCs w:val="24"/>
          <w:lang w:val="pt-BR"/>
        </w:rPr>
        <w:t>.</w:t>
      </w:r>
    </w:p>
    <w:p w14:paraId="6FC56255">
      <w:pPr>
        <w:pStyle w:val="11"/>
        <w:spacing w:before="0" w:beforeAutospacing="0" w:after="0" w:afterAutospacing="0" w:line="360" w:lineRule="auto"/>
        <w:ind w:firstLine="708" w:firstLineChars="0"/>
      </w:pPr>
      <w:r>
        <w:rPr>
          <w:b/>
          <w:bCs/>
        </w:rPr>
        <w:t>Variáveis:</w:t>
      </w:r>
    </w:p>
    <w:p w14:paraId="038C32E9">
      <w:pPr>
        <w:pStyle w:val="11"/>
        <w:numPr>
          <w:ilvl w:val="1"/>
          <w:numId w:val="8"/>
        </w:numPr>
        <w:spacing w:before="0" w:beforeAutospacing="0" w:after="0" w:afterAutospacing="0" w:line="360" w:lineRule="auto"/>
      </w:pPr>
      <w:r>
        <w:t xml:space="preserve">Tempo médio de sustentação no </w:t>
      </w:r>
      <w:r>
        <w:rPr>
          <w:i/>
          <w:iCs/>
        </w:rPr>
        <w:t>HS</w:t>
      </w:r>
      <w:r>
        <w:t xml:space="preserve"> (segundos).</w:t>
      </w:r>
    </w:p>
    <w:p w14:paraId="3489CFB0">
      <w:pPr>
        <w:pStyle w:val="11"/>
        <w:numPr>
          <w:ilvl w:val="1"/>
          <w:numId w:val="8"/>
        </w:numPr>
        <w:spacing w:before="0" w:beforeAutospacing="0" w:after="0" w:afterAutospacing="0" w:line="360" w:lineRule="auto"/>
      </w:pPr>
      <w:r>
        <w:t xml:space="preserve">ApEn no </w:t>
      </w:r>
      <w:r>
        <w:rPr>
          <w:i/>
          <w:iCs/>
        </w:rPr>
        <w:t>HS</w:t>
      </w:r>
      <w:r>
        <w:t xml:space="preserve"> (unidades arbitrárias).</w:t>
      </w:r>
    </w:p>
    <w:p w14:paraId="47B22A05">
      <w:pPr>
        <w:pStyle w:val="11"/>
        <w:spacing w:before="0" w:beforeAutospacing="0" w:after="0" w:afterAutospacing="0" w:line="360" w:lineRule="auto"/>
        <w:rPr>
          <w:u w:val="single"/>
        </w:rPr>
      </w:pPr>
      <w:r>
        <w:rPr>
          <w:u w:val="single"/>
        </w:rPr>
        <w:t>Modelo 5: Fatores Antropométricos</w:t>
      </w:r>
    </w:p>
    <w:p w14:paraId="103530F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influência das proporções anatômicas e da composição corporal sobre o custo mecânico da locomoção</w:t>
      </w:r>
      <w:r>
        <w:rPr>
          <w:rFonts w:hint="default" w:eastAsia="SimSun" w:cs="Times New Roman"/>
          <w:sz w:val="24"/>
          <w:szCs w:val="24"/>
          <w:lang w:val="pt-BR"/>
        </w:rPr>
        <w:t>.</w:t>
      </w:r>
    </w:p>
    <w:p w14:paraId="1DB74D72">
      <w:pPr>
        <w:pStyle w:val="11"/>
        <w:spacing w:before="0" w:beforeAutospacing="0" w:after="0" w:afterAutospacing="0" w:line="360" w:lineRule="auto"/>
        <w:ind w:left="720"/>
      </w:pPr>
      <w:r>
        <w:rPr>
          <w:b/>
          <w:bCs/>
        </w:rPr>
        <w:t>Variáveis:</w:t>
      </w:r>
    </w:p>
    <w:p w14:paraId="1C22DF90">
      <w:pPr>
        <w:pStyle w:val="11"/>
        <w:numPr>
          <w:ilvl w:val="1"/>
          <w:numId w:val="5"/>
        </w:numPr>
        <w:spacing w:before="0" w:beforeAutospacing="0" w:after="0" w:afterAutospacing="0" w:line="360" w:lineRule="auto"/>
      </w:pPr>
      <w:r>
        <w:t>Altura do CoM (milímetros).</w:t>
      </w:r>
    </w:p>
    <w:p w14:paraId="00E7664B">
      <w:pPr>
        <w:pStyle w:val="11"/>
        <w:numPr>
          <w:ilvl w:val="1"/>
          <w:numId w:val="5"/>
        </w:numPr>
        <w:spacing w:before="0" w:beforeAutospacing="0" w:after="0" w:afterAutospacing="0" w:line="360" w:lineRule="auto"/>
      </w:pPr>
      <w:r>
        <w:t>Comprimento dos braços (milímetros).</w:t>
      </w:r>
    </w:p>
    <w:p w14:paraId="484BE998">
      <w:pPr>
        <w:pStyle w:val="11"/>
        <w:numPr>
          <w:ilvl w:val="1"/>
          <w:numId w:val="5"/>
        </w:numPr>
        <w:spacing w:before="0" w:beforeAutospacing="0" w:after="0" w:afterAutospacing="0" w:line="360" w:lineRule="auto"/>
      </w:pPr>
      <w:r>
        <w:t>Quantidade de gordura corporal (percentual).</w:t>
      </w:r>
    </w:p>
    <w:p w14:paraId="234D355A">
      <w:pPr>
        <w:pStyle w:val="11"/>
        <w:numPr>
          <w:ilvl w:val="1"/>
          <w:numId w:val="5"/>
        </w:numPr>
        <w:spacing w:before="0" w:beforeAutospacing="0" w:after="0" w:afterAutospacing="0" w:line="360" w:lineRule="auto"/>
      </w:pPr>
      <w:r>
        <w:t xml:space="preserve">Massa magra </w:t>
      </w:r>
      <w:r>
        <w:rPr>
          <w:rFonts w:hint="default"/>
          <w:lang w:val="pt-BR"/>
        </w:rPr>
        <w:t>total</w:t>
      </w:r>
      <w:r>
        <w:t xml:space="preserve"> (quilogramas).</w:t>
      </w:r>
    </w:p>
    <w:p w14:paraId="25F171E0">
      <w:pPr>
        <w:pStyle w:val="11"/>
        <w:spacing w:before="0" w:beforeAutospacing="0" w:after="0" w:afterAutospacing="0" w:line="360" w:lineRule="auto"/>
        <w:rPr>
          <w:u w:val="single"/>
        </w:rPr>
      </w:pPr>
      <w:r>
        <w:rPr>
          <w:u w:val="single"/>
        </w:rPr>
        <w:t>Modelo 6: Perfil e Experiência</w:t>
      </w:r>
    </w:p>
    <w:p w14:paraId="2E434C29">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Determina a contribuição relativa da experiência prática acumulada em horas frente à idade cronológica no deslocamento dinâmico</w:t>
      </w:r>
      <w:r>
        <w:rPr>
          <w:rFonts w:hint="default" w:ascii="Times New Roman" w:hAnsi="Times New Roman" w:eastAsia="SimSun" w:cs="Times New Roman"/>
          <w:sz w:val="24"/>
          <w:szCs w:val="24"/>
          <w:lang w:val="pt-BR"/>
        </w:rPr>
        <w:t>.</w:t>
      </w:r>
    </w:p>
    <w:p w14:paraId="3BF79D29">
      <w:pPr>
        <w:pStyle w:val="11"/>
        <w:spacing w:before="0" w:beforeAutospacing="0" w:after="0" w:afterAutospacing="0" w:line="360" w:lineRule="auto"/>
        <w:ind w:firstLine="708" w:firstLineChars="0"/>
      </w:pPr>
      <w:r>
        <w:rPr>
          <w:b/>
          <w:bCs/>
        </w:rPr>
        <w:t>Variáveis:</w:t>
      </w:r>
    </w:p>
    <w:p w14:paraId="2554F71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Volume de Prática Acumulada (horas totais estimadas)</w:t>
      </w:r>
      <w:r>
        <w:rPr>
          <w:rFonts w:hint="default" w:ascii="Times New Roman" w:hAnsi="Times New Roman" w:cs="Times New Roman"/>
        </w:rPr>
        <w:t>.</w:t>
      </w:r>
    </w:p>
    <w:p w14:paraId="479865AE">
      <w:pPr>
        <w:pStyle w:val="11"/>
        <w:numPr>
          <w:ilvl w:val="1"/>
          <w:numId w:val="6"/>
        </w:numPr>
        <w:spacing w:before="0" w:beforeAutospacing="0" w:after="0" w:afterAutospacing="0" w:line="360" w:lineRule="auto"/>
      </w:pPr>
      <w:r>
        <w:t>Idade cronológica (anos)</w:t>
      </w:r>
      <w:r>
        <w:rPr>
          <w:rFonts w:hint="default"/>
          <w:lang w:val="pt-BR"/>
        </w:rPr>
        <w:t>.</w:t>
      </w:r>
    </w:p>
    <w:p w14:paraId="68677DB7">
      <w:pPr>
        <w:pStyle w:val="11"/>
        <w:spacing w:before="0" w:beforeAutospacing="0" w:after="0" w:afterAutospacing="0" w:line="360" w:lineRule="auto"/>
        <w:ind w:firstLine="1064" w:firstLineChars="0"/>
        <w:jc w:val="both"/>
        <w:rPr>
          <w:i/>
          <w:iCs/>
        </w:rPr>
      </w:pPr>
      <w:r>
        <w:t xml:space="preserve">As variáveis velocidade média, tempo em duplo suporte e tempo de contato das mãos foram excluídas dos modelos preditivos para evitar o viés de multicolinearidade.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comparação entre grupos (ex: praticantes de </w:t>
      </w:r>
      <w:r>
        <w:rPr>
          <w:i/>
          <w:iCs/>
        </w:rPr>
        <w:t>CrossFit</w:t>
      </w:r>
      <w:r>
        <w:t xml:space="preserve"> vs. Ginástica). Esta abordagem permite caracterizar as estratégias adaptativas de cada modalidade, como o uso de um maior tempo de duplo suporte para ganho de estabilidade ou maiores velocidades de deslocamento como estratégia de compensação, sem comprometer identificar os fatores que determinam o desempenho no </w:t>
      </w:r>
      <w:r>
        <w:rPr>
          <w:i/>
          <w:iCs/>
        </w:rPr>
        <w:t>HSW.</w:t>
      </w:r>
    </w:p>
    <w:p w14:paraId="1608FB77">
      <w:pPr>
        <w:pStyle w:val="11"/>
        <w:spacing w:before="0" w:beforeAutospacing="0" w:after="0" w:afterAutospacing="0" w:line="360" w:lineRule="auto"/>
        <w:jc w:val="both"/>
        <w:rPr>
          <w:rFonts w:hint="default" w:ascii="Times New Roman" w:hAnsi="Times New Roman" w:cs="Times New Roman"/>
          <w:lang w:val="pt-BR"/>
        </w:rPr>
      </w:pPr>
      <w:r>
        <w:rPr>
          <w:rFonts w:hint="default"/>
          <w:lang w:val="pt-BR"/>
        </w:rPr>
        <w:t xml:space="preserve">3.5.3 </w:t>
      </w:r>
      <w:r>
        <w:rPr>
          <w:rFonts w:hint="default" w:ascii="Times New Roman" w:hAnsi="Times New Roman" w:eastAsia="SimSun" w:cs="Times New Roman"/>
          <w:sz w:val="24"/>
          <w:szCs w:val="24"/>
        </w:rPr>
        <w:t>Seleção de Preditores e Modelo Final Consolidado</w:t>
      </w:r>
    </w:p>
    <w:p w14:paraId="1BD00213">
      <w:pPr>
        <w:pStyle w:val="11"/>
        <w:spacing w:before="0" w:beforeAutospacing="0" w:after="0" w:afterAutospacing="0" w:line="360" w:lineRule="auto"/>
        <w:ind w:firstLine="708" w:firstLineChars="0"/>
        <w:jc w:val="both"/>
      </w:pPr>
      <w: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w:t>
      </w:r>
    </w:p>
    <w:p w14:paraId="05D4DDFD">
      <w:pPr>
        <w:widowControl w:val="0"/>
        <w:shd w:val="clear" w:color="auto" w:fill="FFFFFF"/>
        <w:spacing w:before="240" w:after="240" w:line="360" w:lineRule="auto"/>
        <w:rPr>
          <w:rFonts w:ascii="Times New Roman" w:hAnsi="Times New Roman" w:eastAsia="Times New Roman" w:cs="Times New Roman"/>
          <w:b/>
          <w:bCs/>
        </w:rPr>
      </w:pPr>
      <w:r>
        <w:rPr>
          <w:rFonts w:ascii="Times New Roman" w:hAnsi="Times New Roman" w:eastAsia="Times New Roman" w:cs="Times New Roman"/>
          <w:b/>
          <w:bCs/>
        </w:rPr>
        <w:t>4    CRONOGRAMA DE ATIVIDADES</w:t>
      </w:r>
    </w:p>
    <w:p w14:paraId="5254D9CC">
      <w:pPr>
        <w:spacing w:line="360" w:lineRule="auto"/>
        <w:ind w:firstLine="720"/>
        <w:rPr>
          <w:rFonts w:ascii="Times New Roman" w:hAnsi="Times New Roman" w:eastAsia="Times New Roman" w:cs="Times New Roman"/>
          <w:b/>
          <w:shd w:val="clear" w:color="auto" w:fill="FFFF00"/>
        </w:rPr>
      </w:pPr>
      <w:r>
        <w:rPr>
          <w:rFonts w:ascii="Times New Roman" w:hAnsi="Times New Roman" w:eastAsia="Times New Roman" w:cs="Times New Roman"/>
        </w:rPr>
        <w:t>QUADRO 4 – Cronograma de atividades estimado</w:t>
      </w:r>
    </w:p>
    <w:tbl>
      <w:tblPr>
        <w:tblStyle w:val="7"/>
        <w:tblW w:w="9075" w:type="dxa"/>
        <w:tblInd w:w="-7" w:type="dxa"/>
        <w:tblLayout w:type="fixed"/>
        <w:tblCellMar>
          <w:top w:w="0" w:type="dxa"/>
          <w:left w:w="108" w:type="dxa"/>
          <w:bottom w:w="0" w:type="dxa"/>
          <w:right w:w="108" w:type="dxa"/>
        </w:tblCellMar>
      </w:tblPr>
      <w:tblGrid>
        <w:gridCol w:w="1755"/>
        <w:gridCol w:w="7320"/>
      </w:tblGrid>
      <w:tr w14:paraId="23577179">
        <w:tblPrEx>
          <w:tblCellMar>
            <w:top w:w="0" w:type="dxa"/>
            <w:left w:w="108" w:type="dxa"/>
            <w:bottom w:w="0" w:type="dxa"/>
            <w:right w:w="108" w:type="dxa"/>
          </w:tblCellMar>
        </w:tblPrEx>
        <w:tc>
          <w:tcPr>
            <w:tcW w:w="1755"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1C344B5E">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Período</w:t>
            </w:r>
          </w:p>
        </w:tc>
        <w:tc>
          <w:tcPr>
            <w:tcW w:w="7320" w:type="dxa"/>
            <w:tcBorders>
              <w:top w:val="single" w:color="000000" w:sz="8" w:space="0"/>
              <w:left w:val="single" w:color="000000" w:sz="8" w:space="0"/>
              <w:bottom w:val="single" w:color="000000" w:sz="12" w:space="0"/>
              <w:right w:val="single" w:color="000000" w:sz="8" w:space="0"/>
            </w:tcBorders>
            <w:shd w:val="clear" w:color="auto" w:fill="CCCCCC"/>
            <w:vAlign w:val="center"/>
          </w:tcPr>
          <w:p w14:paraId="1D3C09FA">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Atividades</w:t>
            </w:r>
          </w:p>
        </w:tc>
      </w:tr>
      <w:tr w14:paraId="4CD4366F">
        <w:tblPrEx>
          <w:tblCellMar>
            <w:top w:w="0" w:type="dxa"/>
            <w:left w:w="108" w:type="dxa"/>
            <w:bottom w:w="0" w:type="dxa"/>
            <w:right w:w="108" w:type="dxa"/>
          </w:tblCellMar>
        </w:tblPrEx>
        <w:trPr>
          <w:trHeight w:val="1209"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6CA8E487">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1º Semestre</w:t>
            </w:r>
          </w:p>
        </w:tc>
        <w:tc>
          <w:tcPr>
            <w:tcW w:w="7320" w:type="dxa"/>
            <w:tcBorders>
              <w:top w:val="single" w:color="000000" w:sz="12" w:space="0"/>
              <w:left w:val="single" w:color="000000" w:sz="8" w:space="0"/>
              <w:bottom w:val="single" w:color="000000" w:sz="8" w:space="0"/>
              <w:right w:val="single" w:color="000000" w:sz="8" w:space="0"/>
            </w:tcBorders>
          </w:tcPr>
          <w:p w14:paraId="26540A60">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Submissão ao Comitê de ética em Pesquisa</w:t>
            </w:r>
          </w:p>
          <w:p w14:paraId="011EDE1E">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Revisão de Literatura</w:t>
            </w:r>
          </w:p>
          <w:p w14:paraId="183BE531">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 xml:space="preserve">Aprendizado dos procedimentos de coleta </w:t>
            </w:r>
          </w:p>
        </w:tc>
      </w:tr>
      <w:tr w14:paraId="02007F14">
        <w:tblPrEx>
          <w:tblCellMar>
            <w:top w:w="0" w:type="dxa"/>
            <w:left w:w="108" w:type="dxa"/>
            <w:bottom w:w="0" w:type="dxa"/>
            <w:right w:w="108" w:type="dxa"/>
          </w:tblCellMar>
        </w:tblPrEx>
        <w:trPr>
          <w:trHeight w:val="1208"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0439170F">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2º Semestre</w:t>
            </w:r>
          </w:p>
        </w:tc>
        <w:tc>
          <w:tcPr>
            <w:tcW w:w="7320" w:type="dxa"/>
            <w:tcBorders>
              <w:top w:val="single" w:color="000000" w:sz="8" w:space="0"/>
              <w:left w:val="single" w:color="000000" w:sz="8" w:space="0"/>
              <w:bottom w:val="single" w:color="000000" w:sz="8" w:space="0"/>
              <w:right w:val="single" w:color="000000" w:sz="8" w:space="0"/>
            </w:tcBorders>
          </w:tcPr>
          <w:p w14:paraId="1D364443">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Revisão de Literatura</w:t>
            </w:r>
          </w:p>
          <w:p w14:paraId="45E57F74">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Testes piloto</w:t>
            </w:r>
          </w:p>
          <w:p w14:paraId="10575910">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Recrutamento das participantes</w:t>
            </w:r>
          </w:p>
        </w:tc>
      </w:tr>
      <w:tr w14:paraId="1D7D0A24">
        <w:tblPrEx>
          <w:tblCellMar>
            <w:top w:w="0" w:type="dxa"/>
            <w:left w:w="108" w:type="dxa"/>
            <w:bottom w:w="0" w:type="dxa"/>
            <w:right w:w="108" w:type="dxa"/>
          </w:tblCellMar>
        </w:tblPrEx>
        <w:trPr>
          <w:trHeight w:val="855"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817C195">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3º Semestre</w:t>
            </w:r>
          </w:p>
        </w:tc>
        <w:tc>
          <w:tcPr>
            <w:tcW w:w="7320" w:type="dxa"/>
            <w:tcBorders>
              <w:top w:val="single" w:color="000000" w:sz="8" w:space="0"/>
              <w:left w:val="single" w:color="000000" w:sz="8" w:space="0"/>
              <w:bottom w:val="single" w:color="000000" w:sz="8" w:space="0"/>
              <w:right w:val="single" w:color="000000" w:sz="8" w:space="0"/>
            </w:tcBorders>
          </w:tcPr>
          <w:p w14:paraId="726A6E7C">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Realização das sessões de avaliação</w:t>
            </w:r>
          </w:p>
          <w:p w14:paraId="781D7777">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Processamento e análise dos dados</w:t>
            </w:r>
          </w:p>
        </w:tc>
      </w:tr>
      <w:tr w14:paraId="0DA60905">
        <w:tblPrEx>
          <w:tblCellMar>
            <w:top w:w="0" w:type="dxa"/>
            <w:left w:w="108" w:type="dxa"/>
            <w:bottom w:w="0" w:type="dxa"/>
            <w:right w:w="108" w:type="dxa"/>
          </w:tblCellMar>
        </w:tblPrEx>
        <w:trPr>
          <w:trHeight w:val="1039"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0FACEEF">
            <w:pPr>
              <w:spacing w:line="360" w:lineRule="auto"/>
              <w:jc w:val="center"/>
              <w:rPr>
                <w:rFonts w:ascii="Times New Roman" w:hAnsi="Times New Roman" w:eastAsia="Times New Roman" w:cs="Times New Roman"/>
                <w:b/>
              </w:rPr>
            </w:pPr>
            <w:r>
              <w:rPr>
                <w:rFonts w:ascii="Times New Roman" w:hAnsi="Times New Roman" w:eastAsia="Times New Roman" w:cs="Times New Roman"/>
                <w:b/>
              </w:rPr>
              <w:t>4º Semestre</w:t>
            </w:r>
          </w:p>
        </w:tc>
        <w:tc>
          <w:tcPr>
            <w:tcW w:w="7320" w:type="dxa"/>
            <w:tcBorders>
              <w:top w:val="single" w:color="000000" w:sz="8" w:space="0"/>
              <w:left w:val="single" w:color="000000" w:sz="8" w:space="0"/>
              <w:bottom w:val="single" w:color="000000" w:sz="8" w:space="0"/>
              <w:right w:val="single" w:color="000000" w:sz="8" w:space="0"/>
            </w:tcBorders>
          </w:tcPr>
          <w:p w14:paraId="10E18816">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Revisão de Literatura</w:t>
            </w:r>
          </w:p>
          <w:p w14:paraId="372E5EA1">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Elaboração da dissertação</w:t>
            </w:r>
          </w:p>
          <w:p w14:paraId="08F10788">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Elaboração de artigos científicos</w:t>
            </w:r>
          </w:p>
          <w:p w14:paraId="21BA92FF">
            <w:pPr>
              <w:spacing w:line="360" w:lineRule="auto"/>
              <w:ind w:left="252" w:hanging="120"/>
              <w:rPr>
                <w:rFonts w:ascii="Times New Roman" w:hAnsi="Times New Roman" w:eastAsia="Times New Roman" w:cs="Times New Roman"/>
              </w:rPr>
            </w:pPr>
            <w:r>
              <w:rPr>
                <w:rFonts w:ascii="Times New Roman" w:hAnsi="Times New Roman" w:eastAsia="Times New Roman" w:cs="Times New Roman"/>
              </w:rPr>
              <w:t>Submissão de trabalhos científicos</w:t>
            </w:r>
          </w:p>
        </w:tc>
      </w:tr>
    </w:tbl>
    <w:p w14:paraId="51D39C2F">
      <w:pPr>
        <w:pStyle w:val="18"/>
        <w:spacing w:line="360" w:lineRule="auto"/>
        <w:rPr>
          <w:rFonts w:ascii="Times New Roman" w:hAnsi="Times New Roman" w:eastAsia="Times New Roman" w:cs="Times New Roman"/>
          <w:lang w:val="en-US"/>
        </w:rPr>
      </w:pPr>
    </w:p>
    <w:p w14:paraId="29248428">
      <w:pPr>
        <w:widowControl w:val="0"/>
        <w:shd w:val="clear" w:color="auto" w:fill="FFFFFF"/>
        <w:spacing w:before="240" w:after="240" w:line="360" w:lineRule="auto"/>
        <w:rPr>
          <w:rFonts w:ascii="Times New Roman" w:hAnsi="Times New Roman" w:eastAsia="Times New Roman" w:cs="Times New Roman"/>
          <w:b/>
          <w:bCs/>
        </w:rPr>
      </w:pPr>
      <w:r>
        <w:rPr>
          <w:rFonts w:ascii="Times New Roman" w:hAnsi="Times New Roman" w:eastAsia="Times New Roman" w:cs="Times New Roman"/>
          <w:b/>
          <w:bCs/>
        </w:rPr>
        <w:t>5   REFERÊNCIAS BIBLIOGRÁFICAS</w:t>
      </w:r>
    </w:p>
    <w:p w14:paraId="7AF837A1">
      <w:pPr>
        <w:pStyle w:val="18"/>
        <w:spacing w:line="360" w:lineRule="auto"/>
        <w:rPr>
          <w:rFonts w:ascii="Times New Roman" w:hAnsi="Times New Roman" w:eastAsia="Times New Roman" w:cs="Times New Roman"/>
          <w:lang w:val="en-US"/>
        </w:rPr>
      </w:pPr>
    </w:p>
    <w:p w14:paraId="225339A7">
      <w:pPr>
        <w:tabs>
          <w:tab w:val="left" w:pos="0"/>
        </w:tabs>
        <w:spacing w:after="0" w:line="240" w:lineRule="auto"/>
        <w:ind w:left="504" w:hanging="504"/>
        <w:rPr>
          <w:lang w:val="pt-BR"/>
        </w:rPr>
      </w:pPr>
      <w:r>
        <w:rPr>
          <w:rFonts w:eastAsia="Times New Roman"/>
          <w:szCs w:val="23"/>
          <w:lang w:val="en-US"/>
        </w:rPr>
        <w:fldChar w:fldCharType="begin"/>
      </w:r>
      <w:r>
        <w:rPr>
          <w:rFonts w:eastAsia="Times New Roman"/>
          <w:szCs w:val="23"/>
          <w:lang w:val="en-US"/>
        </w:rPr>
        <w:instrText xml:space="preserve"> ADDIN ZOTERO_BIBL {"uncited":[],"omitted":[],"custom":[]} CSL_BIBLIOGRAPHY </w:instrText>
      </w:r>
      <w:r>
        <w:rPr>
          <w:rFonts w:eastAsia="Times New Roman"/>
          <w:szCs w:val="23"/>
          <w:lang w:val="en-US"/>
        </w:rPr>
        <w:fldChar w:fldCharType="separate"/>
      </w:r>
      <w:r>
        <w:rPr>
          <w:lang w:val="pt-BR"/>
        </w:rPr>
        <w:t>[1]</w:t>
      </w:r>
      <w:r>
        <w:rPr>
          <w:lang w:val="pt-BR"/>
        </w:rPr>
        <w:tab/>
      </w:r>
      <w:r>
        <w:rPr>
          <w:lang w:val="pt-BR"/>
        </w:rPr>
        <w:t xml:space="preserve">R. Malíř, J. Chrudimský, A. Provazník, e V. Třebický, “Are the shoulder joint function, stability, and mobility tests predictive of handstand execution?”, </w:t>
      </w:r>
      <w:r>
        <w:rPr>
          <w:i/>
          <w:lang w:val="pt-BR"/>
        </w:rPr>
        <w:t>PLOS ONE</w:t>
      </w:r>
      <w:r>
        <w:rPr>
          <w:lang w:val="pt-BR"/>
        </w:rPr>
        <w:t>, v. 19, n. 5, p. e0302922, maio 2024, doi: 10.1371/journal.pone.0302922.</w:t>
      </w:r>
    </w:p>
    <w:p w14:paraId="72D0352E">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Rohleder e T. Vogt, “Performance control in handstands: challenging entrenched coaching strategies for young gymnasts”, </w:t>
      </w:r>
      <w:r>
        <w:rPr>
          <w:rFonts w:ascii="Times New Roman" w:hAnsi="Times New Roman" w:eastAsia="Times New Roman" w:cs="Times New Roman"/>
          <w:i/>
          <w:sz w:val="23"/>
          <w:szCs w:val="23"/>
          <w:lang w:val="pt-BR"/>
        </w:rPr>
        <w:t>Int. J. Perform. Anal. Sport</w:t>
      </w:r>
      <w:r>
        <w:rPr>
          <w:rFonts w:ascii="Times New Roman" w:hAnsi="Times New Roman" w:eastAsia="Times New Roman" w:cs="Times New Roman"/>
          <w:sz w:val="23"/>
          <w:szCs w:val="23"/>
          <w:lang w:val="pt-BR"/>
        </w:rPr>
        <w:t>, v. 18, n. 1, p. 17–31, jan. 2018, doi: 10.1080/24748668.2018.1440459.</w:t>
      </w:r>
    </w:p>
    <w:p w14:paraId="03F4796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D. G. Kerwin e G. Trewartha, “Strategies for maintaining a handstand in the anterior-posterior direction”:, </w:t>
      </w:r>
      <w:r>
        <w:rPr>
          <w:rFonts w:ascii="Times New Roman" w:hAnsi="Times New Roman" w:eastAsia="Times New Roman" w:cs="Times New Roman"/>
          <w:i/>
          <w:sz w:val="23"/>
          <w:szCs w:val="23"/>
          <w:lang w:val="pt-BR"/>
        </w:rPr>
        <w:t>Med. Sci. Sports Exerc.</w:t>
      </w:r>
      <w:r>
        <w:rPr>
          <w:rFonts w:ascii="Times New Roman" w:hAnsi="Times New Roman" w:eastAsia="Times New Roman" w:cs="Times New Roman"/>
          <w:sz w:val="23"/>
          <w:szCs w:val="23"/>
          <w:lang w:val="pt-BR"/>
        </w:rPr>
        <w:t>, v. 33, n. 7, p. 1182–1188, jul. 2001, doi: 10.1097/00005768-200107000-00016.</w:t>
      </w:r>
    </w:p>
    <w:p w14:paraId="11D13184">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H. E. Wyatt, D. Vicinanza, K. M. Newell, G. Irwin, e G. K. R. Williams, “Bidirectional causal control in the dynamics of handstand balance”, </w:t>
      </w:r>
      <w:r>
        <w:rPr>
          <w:rFonts w:ascii="Times New Roman" w:hAnsi="Times New Roman" w:eastAsia="Times New Roman" w:cs="Times New Roman"/>
          <w:i/>
          <w:sz w:val="23"/>
          <w:szCs w:val="23"/>
          <w:lang w:val="pt-BR"/>
        </w:rPr>
        <w:t>Sci. Rep.</w:t>
      </w:r>
      <w:r>
        <w:rPr>
          <w:rFonts w:ascii="Times New Roman" w:hAnsi="Times New Roman" w:eastAsia="Times New Roman" w:cs="Times New Roman"/>
          <w:sz w:val="23"/>
          <w:szCs w:val="23"/>
          <w:lang w:val="pt-BR"/>
        </w:rPr>
        <w:t>, v. 11, n. 1, p. 405, jan. 2021, doi: 10.1038/s41598-020-79730-z.</w:t>
      </w:r>
    </w:p>
    <w:p w14:paraId="67AB141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Pryhoda, K. M. Newell, C. Wilson, e G. Irwin, “Task Specific and General Patterns of Joint Motion Variability in Upright- and Hand-Standing Postures”, </w:t>
      </w:r>
      <w:r>
        <w:rPr>
          <w:rFonts w:ascii="Times New Roman" w:hAnsi="Times New Roman" w:eastAsia="Times New Roman" w:cs="Times New Roman"/>
          <w:i/>
          <w:sz w:val="23"/>
          <w:szCs w:val="23"/>
          <w:lang w:val="pt-BR"/>
        </w:rPr>
        <w:t>Entropy</w:t>
      </w:r>
      <w:r>
        <w:rPr>
          <w:rFonts w:ascii="Times New Roman" w:hAnsi="Times New Roman" w:eastAsia="Times New Roman" w:cs="Times New Roman"/>
          <w:sz w:val="23"/>
          <w:szCs w:val="23"/>
          <w:lang w:val="pt-BR"/>
        </w:rPr>
        <w:t>, v. 24, n. 7, p. 909, jun. 2022, doi: 10.3390/e24070909.</w:t>
      </w:r>
    </w:p>
    <w:p w14:paraId="6CA3BE1E">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A. Kochanowicz, B. Niespodziński, J. Mieszkowski, M. Marina, K. Kochanowicz, e M. Zasada, “Changes in the Muscle Activity of Gymnasts During a Handstand on Various Apparatus”, </w:t>
      </w:r>
      <w:r>
        <w:rPr>
          <w:rFonts w:ascii="Times New Roman" w:hAnsi="Times New Roman" w:eastAsia="Times New Roman" w:cs="Times New Roman"/>
          <w:i/>
          <w:sz w:val="23"/>
          <w:szCs w:val="23"/>
          <w:lang w:val="pt-BR"/>
        </w:rPr>
        <w:t>J. Strength Cond. Res.</w:t>
      </w:r>
      <w:r>
        <w:rPr>
          <w:rFonts w:ascii="Times New Roman" w:hAnsi="Times New Roman" w:eastAsia="Times New Roman" w:cs="Times New Roman"/>
          <w:sz w:val="23"/>
          <w:szCs w:val="23"/>
          <w:lang w:val="pt-BR"/>
        </w:rPr>
        <w:t>, v. 33, n. 6, p. 1609–1618, jun. 2019, doi: 10.1519/JSC.0000000000002124.</w:t>
      </w:r>
    </w:p>
    <w:p w14:paraId="098F6B36">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G. M. Blenkinsop, M. T. G. Pain, e M. J. Hiley, “Balance control strategies during perturbed and unperturbed balance in standing and handstand”, </w:t>
      </w:r>
      <w:r>
        <w:rPr>
          <w:rFonts w:ascii="Times New Roman" w:hAnsi="Times New Roman" w:eastAsia="Times New Roman" w:cs="Times New Roman"/>
          <w:i/>
          <w:sz w:val="23"/>
          <w:szCs w:val="23"/>
          <w:lang w:val="pt-BR"/>
        </w:rPr>
        <w:t>R. Soc. Open Sci.</w:t>
      </w:r>
      <w:r>
        <w:rPr>
          <w:rFonts w:ascii="Times New Roman" w:hAnsi="Times New Roman" w:eastAsia="Times New Roman" w:cs="Times New Roman"/>
          <w:sz w:val="23"/>
          <w:szCs w:val="23"/>
          <w:lang w:val="pt-BR"/>
        </w:rPr>
        <w:t>, v. 4, n. 7, p. 161018, jul. 2017, doi: 10.1098/rsos.161018.</w:t>
      </w:r>
    </w:p>
    <w:p w14:paraId="073994C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[8]</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M. K. Pryhoda, K. M. Newell, e G. Irwin, “HANDSTAND BALANCE MOTOR CONTROL MECHANISMS”, 2021.</w:t>
      </w:r>
    </w:p>
    <w:p w14:paraId="7EEF0B2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Rohleder e T. Vogt, “EFFICACY OF WRIST STRATEGY COACHING ON HANDSTAND PERFORMANCES IN NOVICES: INVERTING EXPLICIT AND IMPLICIT LEARNING OF SKILL-RELATED MOTOR TASKS”, </w:t>
      </w:r>
      <w:r>
        <w:rPr>
          <w:rFonts w:ascii="Times New Roman" w:hAnsi="Times New Roman" w:eastAsia="Times New Roman" w:cs="Times New Roman"/>
          <w:i/>
          <w:sz w:val="23"/>
          <w:szCs w:val="23"/>
          <w:lang w:val="pt-BR"/>
        </w:rPr>
        <w:t>Sci. Gymnast. J.</w:t>
      </w:r>
      <w:r>
        <w:rPr>
          <w:rFonts w:ascii="Times New Roman" w:hAnsi="Times New Roman" w:eastAsia="Times New Roman" w:cs="Times New Roman"/>
          <w:sz w:val="23"/>
          <w:szCs w:val="23"/>
          <w:lang w:val="pt-BR"/>
        </w:rPr>
        <w:t>, v. 11, n. 2, p. 209–222, jun. 2019, doi: 10.52165/sgj.11.2.209-222.</w:t>
      </w:r>
    </w:p>
    <w:p w14:paraId="6F9A0F92">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A. Kochanowicz, B. Niespodziński, M. Marina, J. Mieszkowski, L. Biskup, e K. Kochanowicz, “Relationship between postural control and muscle activity during a handstand in young and adult gymnasts”, </w:t>
      </w:r>
      <w:r>
        <w:rPr>
          <w:rFonts w:ascii="Times New Roman" w:hAnsi="Times New Roman" w:eastAsia="Times New Roman" w:cs="Times New Roman"/>
          <w:i/>
          <w:sz w:val="23"/>
          <w:szCs w:val="23"/>
          <w:lang w:val="pt-BR"/>
        </w:rPr>
        <w:t>Hum. Mov. Sci.</w:t>
      </w:r>
      <w:r>
        <w:rPr>
          <w:rFonts w:ascii="Times New Roman" w:hAnsi="Times New Roman" w:eastAsia="Times New Roman" w:cs="Times New Roman"/>
          <w:sz w:val="23"/>
          <w:szCs w:val="23"/>
          <w:lang w:val="pt-BR"/>
        </w:rPr>
        <w:t>, v. 58, p. 195–204, abr. 2018, doi: 10.1016/j.humov.2018.02.007.</w:t>
      </w:r>
    </w:p>
    <w:p w14:paraId="1DD806FA">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P. Hedbávný, J. Sklenaříková, D. Hupka, e M. Kalichová, “BALANCING IN HANDSTAND ON THE FLOOR”, v. 5, n. 3.</w:t>
      </w:r>
    </w:p>
    <w:p w14:paraId="3A8C714A">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“Analyzing optimal muscle dynamics during handstands: a comprehensive investigation of skilled gymnasts”, </w:t>
      </w:r>
      <w:r>
        <w:rPr>
          <w:rFonts w:ascii="Times New Roman" w:hAnsi="Times New Roman" w:eastAsia="Times New Roman" w:cs="Times New Roman"/>
          <w:i/>
          <w:sz w:val="23"/>
          <w:szCs w:val="23"/>
          <w:lang w:val="pt-BR"/>
        </w:rPr>
        <w:t>J. Phys. Educ. Sport</w:t>
      </w:r>
      <w:r>
        <w:rPr>
          <w:rFonts w:ascii="Times New Roman" w:hAnsi="Times New Roman" w:eastAsia="Times New Roman" w:cs="Times New Roman"/>
          <w:sz w:val="23"/>
          <w:szCs w:val="23"/>
          <w:lang w:val="pt-BR"/>
        </w:rPr>
        <w:t>, v. 24, n. 4.</w:t>
      </w:r>
    </w:p>
    <w:p w14:paraId="77004958">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P. S. B. Belčič, “Kinematic Analysis of handstands in gymnastics”, </w:t>
      </w:r>
      <w:r>
        <w:rPr>
          <w:rFonts w:ascii="Times New Roman" w:hAnsi="Times New Roman" w:eastAsia="Times New Roman" w:cs="Times New Roman"/>
          <w:i/>
          <w:sz w:val="23"/>
          <w:szCs w:val="23"/>
          <w:lang w:val="pt-BR"/>
        </w:rPr>
        <w:t>Science of Gymnastics Journal</w:t>
      </w:r>
      <w:r>
        <w:rPr>
          <w:rFonts w:ascii="Times New Roman" w:hAnsi="Times New Roman" w:eastAsia="Times New Roman" w:cs="Times New Roman"/>
          <w:sz w:val="23"/>
          <w:szCs w:val="23"/>
          <w:lang w:val="pt-BR"/>
        </w:rPr>
        <w:t>, v. 7, p. 19–30, 2015.</w:t>
      </w:r>
    </w:p>
    <w:p w14:paraId="274763CF">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C. Eyssartier, P. Billard, P. Thoreux, e C. Sauret, “Spine Kinematics Behavior During the Handstand Posture: A Biplanar Radiographic Analysis”, </w:t>
      </w:r>
      <w:r>
        <w:rPr>
          <w:rFonts w:ascii="Times New Roman" w:hAnsi="Times New Roman" w:eastAsia="Times New Roman" w:cs="Times New Roman"/>
          <w:i/>
          <w:sz w:val="23"/>
          <w:szCs w:val="23"/>
          <w:lang w:val="pt-BR"/>
        </w:rPr>
        <w:t>J. Funct. Morphol. Kinesiol.</w:t>
      </w:r>
      <w:r>
        <w:rPr>
          <w:rFonts w:ascii="Times New Roman" w:hAnsi="Times New Roman" w:eastAsia="Times New Roman" w:cs="Times New Roman"/>
          <w:sz w:val="23"/>
          <w:szCs w:val="23"/>
          <w:lang w:val="pt-BR"/>
        </w:rPr>
        <w:t>, v. 9, n. 4, p. 252, dez. 2024, doi: 10.3390/jfmk9040252.</w:t>
      </w:r>
    </w:p>
    <w:p w14:paraId="75981210">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McDonald, J. S. Baker, Y. Gu, e U. C. Ugbolue, “Biomechanical analyses of the handstand: a systematic review”, </w:t>
      </w:r>
      <w:r>
        <w:rPr>
          <w:rFonts w:ascii="Times New Roman" w:hAnsi="Times New Roman" w:eastAsia="Times New Roman" w:cs="Times New Roman"/>
          <w:i/>
          <w:sz w:val="23"/>
          <w:szCs w:val="23"/>
          <w:lang w:val="pt-BR"/>
        </w:rPr>
        <w:t>Front. Sports Act. Living</w:t>
      </w:r>
      <w:r>
        <w:rPr>
          <w:rFonts w:ascii="Times New Roman" w:hAnsi="Times New Roman" w:eastAsia="Times New Roman" w:cs="Times New Roman"/>
          <w:sz w:val="23"/>
          <w:szCs w:val="23"/>
          <w:lang w:val="pt-BR"/>
        </w:rPr>
        <w:t>, v. 7, p. 1694648, dez. 2025, doi: 10.3389/fspor.2025.1694648.</w:t>
      </w:r>
    </w:p>
    <w:p w14:paraId="4A2FB0F4">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D. Milosis e T. Satras, “THE EFFECTIVENESS OF DIFFERENT HANDSTAND PLACEMENT TECHNIQUES IN HANDSTAND BALANCE CONTROL AND GENDER DIFFERENCESDSTAND BALANCE CONTROL AND GENDER DIFFERENCES”, </w:t>
      </w:r>
      <w:r>
        <w:rPr>
          <w:rFonts w:ascii="Times New Roman" w:hAnsi="Times New Roman" w:eastAsia="Times New Roman" w:cs="Times New Roman"/>
          <w:i/>
          <w:sz w:val="23"/>
          <w:szCs w:val="23"/>
          <w:lang w:val="pt-BR"/>
        </w:rPr>
        <w:t>Sci. Gymnast. J.</w:t>
      </w:r>
      <w:r>
        <w:rPr>
          <w:rFonts w:ascii="Times New Roman" w:hAnsi="Times New Roman" w:eastAsia="Times New Roman" w:cs="Times New Roman"/>
          <w:sz w:val="23"/>
          <w:szCs w:val="23"/>
          <w:lang w:val="pt-BR"/>
        </w:rPr>
        <w:t>, v. 15, n. 3, p. 375–394, out. 2023, doi: 10.52165/sgj.15.3.375-394.</w:t>
      </w:r>
    </w:p>
    <w:p w14:paraId="76400B39">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Farana, P. Brtva, G. Irwin, e K. M. Newell, “Neck Angle in the Handstand Changes the Pattern of Multi-Joint Variability”, </w:t>
      </w:r>
      <w:r>
        <w:rPr>
          <w:rFonts w:ascii="Times New Roman" w:hAnsi="Times New Roman" w:eastAsia="Times New Roman" w:cs="Times New Roman"/>
          <w:i/>
          <w:sz w:val="23"/>
          <w:szCs w:val="23"/>
          <w:lang w:val="pt-BR"/>
        </w:rPr>
        <w:t>J. Mot. Behav.</w:t>
      </w:r>
      <w:r>
        <w:rPr>
          <w:rFonts w:ascii="Times New Roman" w:hAnsi="Times New Roman" w:eastAsia="Times New Roman" w:cs="Times New Roman"/>
          <w:sz w:val="23"/>
          <w:szCs w:val="23"/>
          <w:lang w:val="pt-BR"/>
        </w:rPr>
        <w:t>, v. 57, n. 6, p. 768–776, nov. 2025, doi: 10.1080/00222895.2025.2558711.</w:t>
      </w:r>
    </w:p>
    <w:p w14:paraId="3A514061">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[18]</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E. Thomas </w:t>
      </w:r>
      <w:r>
        <w:rPr>
          <w:rFonts w:ascii="Times New Roman" w:hAnsi="Times New Roman" w:eastAsia="Times New Roman" w:cs="Times New Roman"/>
          <w:i/>
          <w:sz w:val="23"/>
          <w:szCs w:val="23"/>
          <w:lang w:val="pt-BR"/>
        </w:rPr>
        <w:t>et al.</w:t>
      </w:r>
      <w:r>
        <w:rPr>
          <w:rFonts w:ascii="Times New Roman" w:hAnsi="Times New Roman" w:eastAsia="Times New Roman" w:cs="Times New Roman"/>
          <w:sz w:val="23"/>
          <w:szCs w:val="23"/>
          <w:lang w:val="pt-BR"/>
        </w:rPr>
        <w:t xml:space="preserve">, “Evaluation of Posturographic and Neuromuscular Parameters during Upright Stance and Hand Standing: A Pilot Study”, </w:t>
      </w:r>
      <w:r>
        <w:rPr>
          <w:rFonts w:ascii="Times New Roman" w:hAnsi="Times New Roman" w:eastAsia="Times New Roman" w:cs="Times New Roman"/>
          <w:i/>
          <w:sz w:val="23"/>
          <w:szCs w:val="23"/>
          <w:lang w:val="pt-BR"/>
        </w:rPr>
        <w:t>J. Funct. Morphol. Kinesiol.</w:t>
      </w:r>
      <w:r>
        <w:rPr>
          <w:rFonts w:ascii="Times New Roman" w:hAnsi="Times New Roman" w:eastAsia="Times New Roman" w:cs="Times New Roman"/>
          <w:sz w:val="23"/>
          <w:szCs w:val="23"/>
          <w:lang w:val="pt-BR"/>
        </w:rPr>
        <w:t>, v. 8, n. 2, p. 40, mar. 2023, doi: 10.3390/jfmk8020040.</w:t>
      </w:r>
    </w:p>
    <w:p w14:paraId="7250ED48">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[19]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Sabido, F. García-Aguilar, C. Caballero, e F. J. Moreno, “How does fatigue affect handstand balance? a non-linear approach to study fatigue influence in handstand performance”, </w:t>
      </w:r>
      <w:r>
        <w:rPr>
          <w:rFonts w:ascii="Times New Roman" w:hAnsi="Times New Roman" w:eastAsia="Times New Roman" w:cs="Times New Roman"/>
          <w:i/>
          <w:sz w:val="23"/>
          <w:szCs w:val="23"/>
          <w:lang w:val="pt-BR"/>
        </w:rPr>
        <w:t>J. NeuroEngineering Rehabil.</w:t>
      </w:r>
      <w:r>
        <w:rPr>
          <w:rFonts w:ascii="Times New Roman" w:hAnsi="Times New Roman" w:eastAsia="Times New Roman" w:cs="Times New Roman"/>
          <w:sz w:val="23"/>
          <w:szCs w:val="23"/>
          <w:lang w:val="pt-BR"/>
        </w:rPr>
        <w:t>, v. 21, n. 1, p. 171, set. 2024, doi: 10.1186/s12984-024-01442-6.</w:t>
      </w:r>
    </w:p>
    <w:p w14:paraId="6F09E5A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Omorczyk, A. Zajac, e E. Puszczalowska-Lizis, “Relationships between postural stability in standing and handstand and psychological factors in athletes practicing artistic gymnastics”, </w:t>
      </w:r>
      <w:r>
        <w:rPr>
          <w:rFonts w:ascii="Times New Roman" w:hAnsi="Times New Roman" w:eastAsia="Times New Roman" w:cs="Times New Roman"/>
          <w:i/>
          <w:sz w:val="23"/>
          <w:szCs w:val="23"/>
          <w:lang w:val="pt-BR"/>
        </w:rPr>
        <w:t>Balt. J. Health Phys. Act.</w:t>
      </w:r>
      <w:r>
        <w:rPr>
          <w:rFonts w:ascii="Times New Roman" w:hAnsi="Times New Roman" w:eastAsia="Times New Roman" w:cs="Times New Roman"/>
          <w:sz w:val="23"/>
          <w:szCs w:val="23"/>
          <w:lang w:val="pt-BR"/>
        </w:rPr>
        <w:t>, p. 96–106, dez. 2019, doi: 10.29359/BJHPA.11.4.11.</w:t>
      </w:r>
    </w:p>
    <w:p w14:paraId="20541A42">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Omorczyk, P. Bujas, E. Puszczałowska-Lizis, e L. Biskup, “Balance in handstand and postural stability in standing position in athletes practicing gymnastics”, </w:t>
      </w:r>
      <w:r>
        <w:rPr>
          <w:rFonts w:ascii="Times New Roman" w:hAnsi="Times New Roman" w:eastAsia="Times New Roman" w:cs="Times New Roman"/>
          <w:i/>
          <w:sz w:val="23"/>
          <w:szCs w:val="23"/>
          <w:lang w:val="pt-BR"/>
        </w:rPr>
        <w:t>Acta Bioeng. Biomech. 022018 ISSN 1509-409X</w:t>
      </w:r>
      <w:r>
        <w:rPr>
          <w:rFonts w:ascii="Times New Roman" w:hAnsi="Times New Roman" w:eastAsia="Times New Roman" w:cs="Times New Roman"/>
          <w:sz w:val="23"/>
          <w:szCs w:val="23"/>
          <w:lang w:val="pt-BR"/>
        </w:rPr>
        <w:t>, 2018, doi: 10.5277/ABB-01110-2018-02.</w:t>
      </w:r>
    </w:p>
    <w:p w14:paraId="6E72C539">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A. Kochanowicz, K. Kochanowicz, B. Niespodzinski, J. Mieszkowski, e L. Biskup, “The level of body balance in a handstand and the effectiveness of sports training in gymnastics”, </w:t>
      </w:r>
      <w:r>
        <w:rPr>
          <w:rFonts w:ascii="Times New Roman" w:hAnsi="Times New Roman" w:eastAsia="Times New Roman" w:cs="Times New Roman"/>
          <w:i/>
          <w:sz w:val="23"/>
          <w:szCs w:val="23"/>
          <w:lang w:val="pt-BR"/>
        </w:rPr>
        <w:t>Balt. J. Health Phys. Act.</w:t>
      </w:r>
      <w:r>
        <w:rPr>
          <w:rFonts w:ascii="Times New Roman" w:hAnsi="Times New Roman" w:eastAsia="Times New Roman" w:cs="Times New Roman"/>
          <w:sz w:val="23"/>
          <w:szCs w:val="23"/>
          <w:lang w:val="pt-BR"/>
        </w:rPr>
        <w:t>, v. 7, n. 4, p. 117–124, dez. 2015, doi: 10.29359/BJHPA.07.4.11.</w:t>
      </w:r>
    </w:p>
    <w:p w14:paraId="68AA410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Grabowiecki, L. Rum, L. Laudani, e G. Vannozzi, “Biomechanical characteristics of handstand walking initiation”, </w:t>
      </w:r>
      <w:r>
        <w:rPr>
          <w:rFonts w:ascii="Times New Roman" w:hAnsi="Times New Roman" w:eastAsia="Times New Roman" w:cs="Times New Roman"/>
          <w:i/>
          <w:sz w:val="23"/>
          <w:szCs w:val="23"/>
          <w:lang w:val="pt-BR"/>
        </w:rPr>
        <w:t>Gait Posture</w:t>
      </w:r>
      <w:r>
        <w:rPr>
          <w:rFonts w:ascii="Times New Roman" w:hAnsi="Times New Roman" w:eastAsia="Times New Roman" w:cs="Times New Roman"/>
          <w:sz w:val="23"/>
          <w:szCs w:val="23"/>
          <w:lang w:val="pt-BR"/>
        </w:rPr>
        <w:t>, v. 86, p. 311–318, maio 2021, doi: 10.1016/j.gaitpost.2021.03.036.</w:t>
      </w:r>
    </w:p>
    <w:p w14:paraId="2AB68C4B">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Grabowiecki, L. Rum, L. Laudani, e G. Vannozzi, “Effects of an external load on anticipatory mechanisms of handstand walking initiation in experienced gymnasts”, </w:t>
      </w:r>
      <w:r>
        <w:rPr>
          <w:rFonts w:ascii="Times New Roman" w:hAnsi="Times New Roman" w:eastAsia="Times New Roman" w:cs="Times New Roman"/>
          <w:i/>
          <w:sz w:val="23"/>
          <w:szCs w:val="23"/>
          <w:lang w:val="pt-BR"/>
        </w:rPr>
        <w:t>J. Sports Sci.</w:t>
      </w:r>
      <w:r>
        <w:rPr>
          <w:rFonts w:ascii="Times New Roman" w:hAnsi="Times New Roman" w:eastAsia="Times New Roman" w:cs="Times New Roman"/>
          <w:sz w:val="23"/>
          <w:szCs w:val="23"/>
          <w:lang w:val="pt-BR"/>
        </w:rPr>
        <w:t>, v. 43, n. 4, p. 370–380, fev. 2025, doi: 10.1080/02640414.2025.2458995.</w:t>
      </w:r>
    </w:p>
    <w:p w14:paraId="1B89F65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G. M. Earhart e C. Mosiman, “COORDINATION OF HANDWALKING IN GYMNASTS: A COMPARISON TO BIPEDAL WALKING”, v. 2, n. 2.</w:t>
      </w:r>
    </w:p>
    <w:p w14:paraId="7F31E314">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N. F. A. Ambrósio, G. M. Lage, L. E. A. Bicalho, C. R. Couto, I. M. S. Aleixo, e T. Apolinario-Souza, “THE RELATIONSHIP BETWEEN STRENGTH CAPACITY AND MOTOR PERFORMANCE IN THE GYMNASTIC HANDSTAND: A MACHINE LEARNING STUDY”, </w:t>
      </w:r>
      <w:r>
        <w:rPr>
          <w:rFonts w:ascii="Times New Roman" w:hAnsi="Times New Roman" w:eastAsia="Times New Roman" w:cs="Times New Roman"/>
          <w:i/>
          <w:sz w:val="23"/>
          <w:szCs w:val="23"/>
          <w:lang w:val="pt-BR"/>
        </w:rPr>
        <w:t>Sci. Gymnast. J.</w:t>
      </w:r>
      <w:r>
        <w:rPr>
          <w:rFonts w:ascii="Times New Roman" w:hAnsi="Times New Roman" w:eastAsia="Times New Roman" w:cs="Times New Roman"/>
          <w:sz w:val="23"/>
          <w:szCs w:val="23"/>
          <w:lang w:val="pt-BR"/>
        </w:rPr>
        <w:t>, v. 16, n. 2, p. 211–223, jun. 2024, doi: 10.52165/sgj.16.2.211-223.</w:t>
      </w:r>
    </w:p>
    <w:p w14:paraId="670D97B6">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P. Hedbávný, G. Bago, e M. Kalichová, “Influence of Strength Abilities on Quality of the Handstand”, v. 7, n. 10, 2013.</w:t>
      </w:r>
    </w:p>
    <w:p w14:paraId="429899D4">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[28]</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Jemni, Org., </w:t>
      </w:r>
      <w:r>
        <w:rPr>
          <w:rFonts w:ascii="Times New Roman" w:hAnsi="Times New Roman" w:eastAsia="Times New Roman" w:cs="Times New Roman"/>
          <w:i/>
          <w:sz w:val="23"/>
          <w:szCs w:val="23"/>
          <w:lang w:val="pt-BR"/>
        </w:rPr>
        <w:t>The Science of Gymnastics: Advanced Concepts</w:t>
      </w:r>
      <w:r>
        <w:rPr>
          <w:rFonts w:ascii="Times New Roman" w:hAnsi="Times New Roman" w:eastAsia="Times New Roman" w:cs="Times New Roman"/>
          <w:sz w:val="23"/>
          <w:szCs w:val="23"/>
          <w:lang w:val="pt-BR"/>
        </w:rPr>
        <w:t>, 2</w:t>
      </w:r>
      <w:r>
        <w:rPr>
          <w:rFonts w:ascii="Times New Roman" w:hAnsi="Times New Roman" w:eastAsia="Times New Roman" w:cs="Times New Roman"/>
          <w:sz w:val="23"/>
          <w:szCs w:val="23"/>
          <w:vertAlign w:val="superscript"/>
          <w:lang w:val="pt-BR"/>
        </w:rPr>
        <w:t>o</w:t>
      </w:r>
      <w:r>
        <w:rPr>
          <w:rFonts w:ascii="Times New Roman" w:hAnsi="Times New Roman" w:eastAsia="Times New Roman" w:cs="Times New Roman"/>
          <w:sz w:val="23"/>
          <w:szCs w:val="23"/>
          <w:lang w:val="pt-BR"/>
        </w:rPr>
        <w:t xml:space="preserve"> ed. Routledge, 2017. doi: 10.4324/9781315203805.</w:t>
      </w:r>
    </w:p>
    <w:p w14:paraId="3C5F5C65">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[29]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D. A. Winter, </w:t>
      </w:r>
      <w:r>
        <w:rPr>
          <w:rFonts w:ascii="Times New Roman" w:hAnsi="Times New Roman" w:eastAsia="Times New Roman" w:cs="Times New Roman"/>
          <w:i/>
          <w:sz w:val="23"/>
          <w:szCs w:val="23"/>
          <w:lang w:val="pt-BR"/>
        </w:rPr>
        <w:t>Biomechanics and motor control of human movement</w:t>
      </w:r>
      <w:r>
        <w:rPr>
          <w:rFonts w:ascii="Times New Roman" w:hAnsi="Times New Roman" w:eastAsia="Times New Roman" w:cs="Times New Roman"/>
          <w:sz w:val="23"/>
          <w:szCs w:val="23"/>
          <w:lang w:val="pt-BR"/>
        </w:rPr>
        <w:t>, 4th ed. Hoboken, N.J: Wiley, 2009.</w:t>
      </w:r>
    </w:p>
    <w:p w14:paraId="7FD57E75">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S. M. Slobounov e K. M. Newell, “Postural Dynamics in Upright and Inverted Stances”, </w:t>
      </w:r>
      <w:r>
        <w:rPr>
          <w:rFonts w:ascii="Times New Roman" w:hAnsi="Times New Roman" w:eastAsia="Times New Roman" w:cs="Times New Roman"/>
          <w:i/>
          <w:sz w:val="23"/>
          <w:szCs w:val="23"/>
          <w:lang w:val="pt-BR"/>
        </w:rPr>
        <w:t>J. Appl. Biomech.</w:t>
      </w:r>
      <w:r>
        <w:rPr>
          <w:rFonts w:ascii="Times New Roman" w:hAnsi="Times New Roman" w:eastAsia="Times New Roman" w:cs="Times New Roman"/>
          <w:sz w:val="23"/>
          <w:szCs w:val="23"/>
          <w:lang w:val="pt-BR"/>
        </w:rPr>
        <w:t>, v. 12, n. 2, p. 185–196, maio 1996, doi: 10.1123/jab.12.2.185.</w:t>
      </w:r>
    </w:p>
    <w:p w14:paraId="70E0BEF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G. Gautier, R. Thouvarecq, e D. Chollet, “Visual and postural control of an arbitrary posture: The handstand”, </w:t>
      </w:r>
      <w:r>
        <w:rPr>
          <w:rFonts w:ascii="Times New Roman" w:hAnsi="Times New Roman" w:eastAsia="Times New Roman" w:cs="Times New Roman"/>
          <w:i/>
          <w:sz w:val="23"/>
          <w:szCs w:val="23"/>
          <w:lang w:val="pt-BR"/>
        </w:rPr>
        <w:t>J. Sports Sci.</w:t>
      </w:r>
      <w:r>
        <w:rPr>
          <w:rFonts w:ascii="Times New Roman" w:hAnsi="Times New Roman" w:eastAsia="Times New Roman" w:cs="Times New Roman"/>
          <w:sz w:val="23"/>
          <w:szCs w:val="23"/>
          <w:lang w:val="pt-BR"/>
        </w:rPr>
        <w:t>, v. 25, n. 11, p. 1271–1278, set. 2007, doi: 10.1080/02640410601049144.</w:t>
      </w:r>
    </w:p>
    <w:p w14:paraId="7FDFA2AD">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W.-L. Hsu, J. P. Scholz, G. Schöner, J. J. Jeka, e T. Kiemel, “Control and Estimation of Posture During Quiet Stance Depends on Multijoint Coordination”, </w:t>
      </w:r>
      <w:r>
        <w:rPr>
          <w:rFonts w:ascii="Times New Roman" w:hAnsi="Times New Roman" w:eastAsia="Times New Roman" w:cs="Times New Roman"/>
          <w:i/>
          <w:sz w:val="23"/>
          <w:szCs w:val="23"/>
          <w:lang w:val="pt-BR"/>
        </w:rPr>
        <w:t>J. Neurophysiol.</w:t>
      </w:r>
      <w:r>
        <w:rPr>
          <w:rFonts w:ascii="Times New Roman" w:hAnsi="Times New Roman" w:eastAsia="Times New Roman" w:cs="Times New Roman"/>
          <w:sz w:val="23"/>
          <w:szCs w:val="23"/>
          <w:lang w:val="pt-BR"/>
        </w:rPr>
        <w:t>, v. 97, n. 4, p. 3024–3035, abr. 2007, doi: 10.1152/jn.01142.2006.</w:t>
      </w:r>
    </w:p>
    <w:p w14:paraId="68B46582">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C. Kilby, P. C. M. Molenaar, e K. M. Newell, “Models of Postural Control: Shared Variance in Joint and COM Motions”, </w:t>
      </w:r>
      <w:r>
        <w:rPr>
          <w:rFonts w:ascii="Times New Roman" w:hAnsi="Times New Roman" w:eastAsia="Times New Roman" w:cs="Times New Roman"/>
          <w:i/>
          <w:sz w:val="23"/>
          <w:szCs w:val="23"/>
          <w:lang w:val="pt-BR"/>
        </w:rPr>
        <w:t>PLOS ONE</w:t>
      </w:r>
      <w:r>
        <w:rPr>
          <w:rFonts w:ascii="Times New Roman" w:hAnsi="Times New Roman" w:eastAsia="Times New Roman" w:cs="Times New Roman"/>
          <w:sz w:val="23"/>
          <w:szCs w:val="23"/>
          <w:lang w:val="pt-BR"/>
        </w:rPr>
        <w:t>, v. 10, n. 5, p. e0126379, maio 2015, doi: 10.1371/journal.pone.0126379.</w:t>
      </w:r>
    </w:p>
    <w:p w14:paraId="6CBEA3E6">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W. H. Gage, D. A. Winter, J. S. Frank, e A. L. Adkin, “Kinematic and kinetic validity of the inverted pendulum model in quiet standing”, </w:t>
      </w:r>
      <w:r>
        <w:rPr>
          <w:rFonts w:ascii="Times New Roman" w:hAnsi="Times New Roman" w:eastAsia="Times New Roman" w:cs="Times New Roman"/>
          <w:i/>
          <w:sz w:val="23"/>
          <w:szCs w:val="23"/>
          <w:lang w:val="pt-BR"/>
        </w:rPr>
        <w:t>Gait Posture</w:t>
      </w:r>
      <w:r>
        <w:rPr>
          <w:rFonts w:ascii="Times New Roman" w:hAnsi="Times New Roman" w:eastAsia="Times New Roman" w:cs="Times New Roman"/>
          <w:sz w:val="23"/>
          <w:szCs w:val="23"/>
          <w:lang w:val="pt-BR"/>
        </w:rPr>
        <w:t>, v. 19, n. 2, p. 124–132, abr. 2004, doi: 10.1016/S0966-6362(03)00037-7.</w:t>
      </w:r>
    </w:p>
    <w:p w14:paraId="76C31A54">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D. Winter, “Human balance and posture control during standing and walking”, </w:t>
      </w:r>
      <w:r>
        <w:rPr>
          <w:rFonts w:ascii="Times New Roman" w:hAnsi="Times New Roman" w:eastAsia="Times New Roman" w:cs="Times New Roman"/>
          <w:i/>
          <w:sz w:val="23"/>
          <w:szCs w:val="23"/>
          <w:lang w:val="pt-BR"/>
        </w:rPr>
        <w:t>Gait Posture</w:t>
      </w:r>
      <w:r>
        <w:rPr>
          <w:rFonts w:ascii="Times New Roman" w:hAnsi="Times New Roman" w:eastAsia="Times New Roman" w:cs="Times New Roman"/>
          <w:sz w:val="23"/>
          <w:szCs w:val="23"/>
          <w:lang w:val="pt-BR"/>
        </w:rPr>
        <w:t>, v. 3, n. 4, p. 193–214, dez. 1995, doi: 10.1016/0966-6362(96)82849-9.</w:t>
      </w:r>
    </w:p>
    <w:p w14:paraId="6D5307EF">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D. Abrahamová e F. Hlavačka, “Age-related changes of human balance during quiet stance”, </w:t>
      </w:r>
      <w:r>
        <w:rPr>
          <w:rFonts w:ascii="Times New Roman" w:hAnsi="Times New Roman" w:eastAsia="Times New Roman" w:cs="Times New Roman"/>
          <w:i/>
          <w:sz w:val="23"/>
          <w:szCs w:val="23"/>
          <w:lang w:val="pt-BR"/>
        </w:rPr>
        <w:t>Physiol. Res.</w:t>
      </w:r>
      <w:r>
        <w:rPr>
          <w:rFonts w:ascii="Times New Roman" w:hAnsi="Times New Roman" w:eastAsia="Times New Roman" w:cs="Times New Roman"/>
          <w:sz w:val="23"/>
          <w:szCs w:val="23"/>
          <w:lang w:val="pt-BR"/>
        </w:rPr>
        <w:t>, p. 957–964, 2008, doi: 10.33549/physiolres.931238.</w:t>
      </w:r>
    </w:p>
    <w:p w14:paraId="39629FA8">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Y. Laufer, “Effect of Age on Characteristics of Forward and Backward Gait at Preferred and Accelerated Walking Speed”, </w:t>
      </w:r>
      <w:r>
        <w:rPr>
          <w:rFonts w:ascii="Times New Roman" w:hAnsi="Times New Roman" w:eastAsia="Times New Roman" w:cs="Times New Roman"/>
          <w:i/>
          <w:sz w:val="23"/>
          <w:szCs w:val="23"/>
          <w:lang w:val="pt-BR"/>
        </w:rPr>
        <w:t>J. Gerontol. A. Biol. Sci. Med. Sci.</w:t>
      </w:r>
      <w:r>
        <w:rPr>
          <w:rFonts w:ascii="Times New Roman" w:hAnsi="Times New Roman" w:eastAsia="Times New Roman" w:cs="Times New Roman"/>
          <w:sz w:val="23"/>
          <w:szCs w:val="23"/>
          <w:lang w:val="pt-BR"/>
        </w:rPr>
        <w:t>, v. 60, n. 5, p. 627–632, maio 2005, doi: 10.1093/gerona/60.5.627.</w:t>
      </w:r>
    </w:p>
    <w:p w14:paraId="31D6706A">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[38]</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K. A. Ericsson, R. T. Krampe, e C. Tesch-Römer, “The role of deliberate practice in the acquisition of expert performance.”, </w:t>
      </w:r>
      <w:r>
        <w:rPr>
          <w:rFonts w:ascii="Times New Roman" w:hAnsi="Times New Roman" w:eastAsia="Times New Roman" w:cs="Times New Roman"/>
          <w:i/>
          <w:sz w:val="23"/>
          <w:szCs w:val="23"/>
          <w:lang w:val="pt-BR"/>
        </w:rPr>
        <w:t>Psychol. Rev.</w:t>
      </w:r>
      <w:r>
        <w:rPr>
          <w:rFonts w:ascii="Times New Roman" w:hAnsi="Times New Roman" w:eastAsia="Times New Roman" w:cs="Times New Roman"/>
          <w:sz w:val="23"/>
          <w:szCs w:val="23"/>
          <w:lang w:val="pt-BR"/>
        </w:rPr>
        <w:t>, v. 100, n. 3, p. 363–406, jul. 1993, doi: 10.1037/0033-295X.100.3.363.</w:t>
      </w:r>
    </w:p>
    <w:p w14:paraId="1CF5FF38">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[39]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D. Seidler </w:t>
      </w:r>
      <w:r>
        <w:rPr>
          <w:rFonts w:ascii="Times New Roman" w:hAnsi="Times New Roman" w:eastAsia="Times New Roman" w:cs="Times New Roman"/>
          <w:i/>
          <w:sz w:val="23"/>
          <w:szCs w:val="23"/>
          <w:lang w:val="pt-BR"/>
        </w:rPr>
        <w:t>et al.</w:t>
      </w:r>
      <w:r>
        <w:rPr>
          <w:rFonts w:ascii="Times New Roman" w:hAnsi="Times New Roman" w:eastAsia="Times New Roman" w:cs="Times New Roman"/>
          <w:sz w:val="23"/>
          <w:szCs w:val="23"/>
          <w:lang w:val="pt-BR"/>
        </w:rPr>
        <w:t xml:space="preserve">, “Motor control and aging: Links to age-related brain structural, functional, and biochemical effects”, </w:t>
      </w:r>
      <w:r>
        <w:rPr>
          <w:rFonts w:ascii="Times New Roman" w:hAnsi="Times New Roman" w:eastAsia="Times New Roman" w:cs="Times New Roman"/>
          <w:i/>
          <w:sz w:val="23"/>
          <w:szCs w:val="23"/>
          <w:lang w:val="pt-BR"/>
        </w:rPr>
        <w:t>Neurosci. Biobehav. Rev.</w:t>
      </w:r>
      <w:r>
        <w:rPr>
          <w:rFonts w:ascii="Times New Roman" w:hAnsi="Times New Roman" w:eastAsia="Times New Roman" w:cs="Times New Roman"/>
          <w:sz w:val="23"/>
          <w:szCs w:val="23"/>
          <w:lang w:val="pt-BR"/>
        </w:rPr>
        <w:t>, v. 34, n. 5, p. 721–733, abr. 2010, doi: 10.1016/j.neubiorev.2009.10.005.</w:t>
      </w:r>
    </w:p>
    <w:p w14:paraId="3373BDE0">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F. Faul, E. Erdfelder, A.-G. Lang, e A. Buchner, “G*Power 3: A flexible statistical power analysis program for the social, behavioral, and biomedical sciences”, </w:t>
      </w:r>
      <w:r>
        <w:rPr>
          <w:rFonts w:ascii="Times New Roman" w:hAnsi="Times New Roman" w:eastAsia="Times New Roman" w:cs="Times New Roman"/>
          <w:i/>
          <w:sz w:val="23"/>
          <w:szCs w:val="23"/>
          <w:lang w:val="pt-BR"/>
        </w:rPr>
        <w:t>Behav. Res. Methods</w:t>
      </w:r>
      <w:r>
        <w:rPr>
          <w:rFonts w:ascii="Times New Roman" w:hAnsi="Times New Roman" w:eastAsia="Times New Roman" w:cs="Times New Roman"/>
          <w:sz w:val="23"/>
          <w:szCs w:val="23"/>
          <w:lang w:val="pt-BR"/>
        </w:rPr>
        <w:t>, v. 39, n. 2, p. 175–191, maio 2007, doi: 10.3758/BF03193146.</w:t>
      </w:r>
    </w:p>
    <w:p w14:paraId="5AF26E63">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F. Faul, E. Erdfelder, A. Buchner, e A.-G. Lang, “Statistical power analyses using G*Power 3.1: Tests for correlation and regression analyses”, </w:t>
      </w:r>
      <w:r>
        <w:rPr>
          <w:rFonts w:ascii="Times New Roman" w:hAnsi="Times New Roman" w:eastAsia="Times New Roman" w:cs="Times New Roman"/>
          <w:i/>
          <w:sz w:val="23"/>
          <w:szCs w:val="23"/>
          <w:lang w:val="pt-BR"/>
        </w:rPr>
        <w:t>Behav. Res. Methods</w:t>
      </w:r>
      <w:r>
        <w:rPr>
          <w:rFonts w:ascii="Times New Roman" w:hAnsi="Times New Roman" w:eastAsia="Times New Roman" w:cs="Times New Roman"/>
          <w:sz w:val="23"/>
          <w:szCs w:val="23"/>
          <w:lang w:val="pt-BR"/>
        </w:rPr>
        <w:t>, v. 41, n. 4, p. 1149–1160, nov. 2009, doi: 10.3758/BRM.41.4.1149.</w:t>
      </w:r>
    </w:p>
    <w:p w14:paraId="7F2E708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Cohen, </w:t>
      </w:r>
      <w:r>
        <w:rPr>
          <w:rFonts w:ascii="Times New Roman" w:hAnsi="Times New Roman" w:eastAsia="Times New Roman" w:cs="Times New Roman"/>
          <w:i/>
          <w:sz w:val="23"/>
          <w:szCs w:val="23"/>
          <w:lang w:val="pt-BR"/>
        </w:rPr>
        <w:t>Statistical power analysis for the behavioral sciences</w:t>
      </w:r>
      <w:r>
        <w:rPr>
          <w:rFonts w:ascii="Times New Roman" w:hAnsi="Times New Roman" w:eastAsia="Times New Roman" w:cs="Times New Roman"/>
          <w:sz w:val="23"/>
          <w:szCs w:val="23"/>
          <w:lang w:val="pt-BR"/>
        </w:rPr>
        <w:t>, 2. ed., Reprint. New York, NY: Psychology Press, 2009.</w:t>
      </w:r>
    </w:p>
    <w:p w14:paraId="405CA77B">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H. Chen, P. Cohen, e S. Chen, “How Big is a Big Odds Ratio? Interpreting the Magnitudes of Odds Ratios in Epidemiological Studies”, </w:t>
      </w:r>
      <w:r>
        <w:rPr>
          <w:rFonts w:ascii="Times New Roman" w:hAnsi="Times New Roman" w:eastAsia="Times New Roman" w:cs="Times New Roman"/>
          <w:i/>
          <w:sz w:val="23"/>
          <w:szCs w:val="23"/>
          <w:lang w:val="pt-BR"/>
        </w:rPr>
        <w:t>Commun. Stat. - Simul. Comput.</w:t>
      </w:r>
      <w:r>
        <w:rPr>
          <w:rFonts w:ascii="Times New Roman" w:hAnsi="Times New Roman" w:eastAsia="Times New Roman" w:cs="Times New Roman"/>
          <w:sz w:val="23"/>
          <w:szCs w:val="23"/>
          <w:lang w:val="pt-BR"/>
        </w:rPr>
        <w:t>, v. 39, n. 4, p. 860–864, mar. 2010, doi: 10.1080/03610911003650383.</w:t>
      </w:r>
    </w:p>
    <w:p w14:paraId="3C78686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P. Peduzzi, J. Concato, E. Kemper, T. R. Holford, e A. R. Feinstein, “A simulation study of the number of events per variable in logistic regression analysis”, </w:t>
      </w:r>
      <w:r>
        <w:rPr>
          <w:rFonts w:ascii="Times New Roman" w:hAnsi="Times New Roman" w:eastAsia="Times New Roman" w:cs="Times New Roman"/>
          <w:i/>
          <w:sz w:val="23"/>
          <w:szCs w:val="23"/>
          <w:lang w:val="pt-BR"/>
        </w:rPr>
        <w:t>J. Clin. Epidemiol.</w:t>
      </w:r>
      <w:r>
        <w:rPr>
          <w:rFonts w:ascii="Times New Roman" w:hAnsi="Times New Roman" w:eastAsia="Times New Roman" w:cs="Times New Roman"/>
          <w:sz w:val="23"/>
          <w:szCs w:val="23"/>
          <w:lang w:val="pt-BR"/>
        </w:rPr>
        <w:t>, v. 49, n. 12, p. 1373–1379, dez. 1996, doi: 10.1016/S0895-4356(96)00236-3.</w:t>
      </w:r>
    </w:p>
    <w:p w14:paraId="03D98233">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Y. Benjamini e Y. Hochberg, “Controlling the False Discovery Rate: A Practical and Powerful Approach to Multiple Testing”, </w:t>
      </w:r>
      <w:r>
        <w:rPr>
          <w:rFonts w:ascii="Times New Roman" w:hAnsi="Times New Roman" w:eastAsia="Times New Roman" w:cs="Times New Roman"/>
          <w:i/>
          <w:sz w:val="23"/>
          <w:szCs w:val="23"/>
          <w:lang w:val="pt-BR"/>
        </w:rPr>
        <w:t>J. R. Stat. Soc. Ser. B Stat. Methodol.</w:t>
      </w:r>
      <w:r>
        <w:rPr>
          <w:rFonts w:ascii="Times New Roman" w:hAnsi="Times New Roman" w:eastAsia="Times New Roman" w:cs="Times New Roman"/>
          <w:sz w:val="23"/>
          <w:szCs w:val="23"/>
          <w:lang w:val="pt-BR"/>
        </w:rPr>
        <w:t>, v. 57, n. 1, p. 289–300, jan. 1995, doi: 10.1111/j.2517-6161.1995.tb02031.x.</w:t>
      </w:r>
    </w:p>
    <w:p w14:paraId="733566B1">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American College of Sports Medicine, C. Ozemek, A. R. Bonikowske, J. W. Christle, e P. M. Gallo, Org., </w:t>
      </w:r>
      <w:r>
        <w:rPr>
          <w:rFonts w:ascii="Times New Roman" w:hAnsi="Times New Roman" w:eastAsia="Times New Roman" w:cs="Times New Roman"/>
          <w:i/>
          <w:sz w:val="23"/>
          <w:szCs w:val="23"/>
          <w:lang w:val="pt-BR"/>
        </w:rPr>
        <w:t>ACSM’s guidelines for exercise testing and prescription</w:t>
      </w:r>
      <w:r>
        <w:rPr>
          <w:rFonts w:ascii="Times New Roman" w:hAnsi="Times New Roman" w:eastAsia="Times New Roman" w:cs="Times New Roman"/>
          <w:sz w:val="23"/>
          <w:szCs w:val="23"/>
          <w:lang w:val="pt-BR"/>
        </w:rPr>
        <w:t>, Twelfth edition. Philadelphia, PA: Wolters Kluwer, 2026.</w:t>
      </w:r>
    </w:p>
    <w:p w14:paraId="0DC17D7F">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G. Haff, N. T. Triplett, e National Strength &amp; Conditioning Association, Org., </w:t>
      </w:r>
      <w:r>
        <w:rPr>
          <w:rFonts w:ascii="Times New Roman" w:hAnsi="Times New Roman" w:eastAsia="Times New Roman" w:cs="Times New Roman"/>
          <w:i/>
          <w:sz w:val="23"/>
          <w:szCs w:val="23"/>
          <w:lang w:val="pt-BR"/>
        </w:rPr>
        <w:t>Essentials of strength training and conditioning</w:t>
      </w:r>
      <w:r>
        <w:rPr>
          <w:rFonts w:ascii="Times New Roman" w:hAnsi="Times New Roman" w:eastAsia="Times New Roman" w:cs="Times New Roman"/>
          <w:sz w:val="23"/>
          <w:szCs w:val="23"/>
          <w:lang w:val="pt-BR"/>
        </w:rPr>
        <w:t>, Fifth edition. Champaign, IL: Human Kinetics, 2027.</w:t>
      </w:r>
    </w:p>
    <w:p w14:paraId="3A5342EA">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[48]</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U. Kyle, “Bioelectrical impedance analysis?part I: review of principles and methods”, </w:t>
      </w:r>
      <w:r>
        <w:rPr>
          <w:rFonts w:ascii="Times New Roman" w:hAnsi="Times New Roman" w:eastAsia="Times New Roman" w:cs="Times New Roman"/>
          <w:i/>
          <w:sz w:val="23"/>
          <w:szCs w:val="23"/>
          <w:lang w:val="pt-BR"/>
        </w:rPr>
        <w:t>Clin. Nutr.</w:t>
      </w:r>
      <w:r>
        <w:rPr>
          <w:rFonts w:ascii="Times New Roman" w:hAnsi="Times New Roman" w:eastAsia="Times New Roman" w:cs="Times New Roman"/>
          <w:sz w:val="23"/>
          <w:szCs w:val="23"/>
          <w:lang w:val="pt-BR"/>
        </w:rPr>
        <w:t>, v. 23, n. 5, p. 1226–1243, out. 2004, doi: 10.1016/j.clnu.2004.06.004.</w:t>
      </w:r>
    </w:p>
    <w:p w14:paraId="65F4464F">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[49]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H. C. Lukaski, W. W. Bolonchuk, C. B. Hall, e W. A. Siders, “Validation of tetrapolar bioelectrical impedance method to assess human body composition”, </w:t>
      </w:r>
      <w:r>
        <w:rPr>
          <w:rFonts w:ascii="Times New Roman" w:hAnsi="Times New Roman" w:eastAsia="Times New Roman" w:cs="Times New Roman"/>
          <w:i/>
          <w:sz w:val="23"/>
          <w:szCs w:val="23"/>
          <w:lang w:val="pt-BR"/>
        </w:rPr>
        <w:t>J. Appl. Physiol.</w:t>
      </w:r>
      <w:r>
        <w:rPr>
          <w:rFonts w:ascii="Times New Roman" w:hAnsi="Times New Roman" w:eastAsia="Times New Roman" w:cs="Times New Roman"/>
          <w:sz w:val="23"/>
          <w:szCs w:val="23"/>
          <w:lang w:val="pt-BR"/>
        </w:rPr>
        <w:t>, v. 60, n. 4, p. 1327–1332, abr. 1986, doi: 10.1152/jappl.1986.60.4.1327.</w:t>
      </w:r>
    </w:p>
    <w:p w14:paraId="70831D9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V. Mathiowetz, “Comparison of Rolyan and Jamar dynamometers for measuring grip strength”, </w:t>
      </w:r>
      <w:r>
        <w:rPr>
          <w:rFonts w:ascii="Times New Roman" w:hAnsi="Times New Roman" w:eastAsia="Times New Roman" w:cs="Times New Roman"/>
          <w:i/>
          <w:sz w:val="23"/>
          <w:szCs w:val="23"/>
          <w:lang w:val="pt-BR"/>
        </w:rPr>
        <w:t>Occup. Ther. Int.</w:t>
      </w:r>
      <w:r>
        <w:rPr>
          <w:rFonts w:ascii="Times New Roman" w:hAnsi="Times New Roman" w:eastAsia="Times New Roman" w:cs="Times New Roman"/>
          <w:sz w:val="23"/>
          <w:szCs w:val="23"/>
          <w:lang w:val="pt-BR"/>
        </w:rPr>
        <w:t>, v. 9, n. 3, p. 201–209, ago. 2002, doi: 10.1002/oti.165.</w:t>
      </w:r>
    </w:p>
    <w:p w14:paraId="35C8C303">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M. Reis e P. M. M. Arantes, “Medida da força de preensão manual- validade e confiabilidade do dinamômetro saehan”, </w:t>
      </w:r>
      <w:r>
        <w:rPr>
          <w:rFonts w:ascii="Times New Roman" w:hAnsi="Times New Roman" w:eastAsia="Times New Roman" w:cs="Times New Roman"/>
          <w:i/>
          <w:sz w:val="23"/>
          <w:szCs w:val="23"/>
          <w:lang w:val="pt-BR"/>
        </w:rPr>
        <w:t>Fisioter. E Pesqui.</w:t>
      </w:r>
      <w:r>
        <w:rPr>
          <w:rFonts w:ascii="Times New Roman" w:hAnsi="Times New Roman" w:eastAsia="Times New Roman" w:cs="Times New Roman"/>
          <w:sz w:val="23"/>
          <w:szCs w:val="23"/>
          <w:lang w:val="pt-BR"/>
        </w:rPr>
        <w:t>, v. 18, n. 2, p. 176–181, jun. 2011, doi: 10.1590/S1809-29502011000200013.</w:t>
      </w:r>
    </w:p>
    <w:p w14:paraId="76C5914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H. C. Roberts </w:t>
      </w:r>
      <w:r>
        <w:rPr>
          <w:rFonts w:ascii="Times New Roman" w:hAnsi="Times New Roman" w:eastAsia="Times New Roman" w:cs="Times New Roman"/>
          <w:i/>
          <w:sz w:val="23"/>
          <w:szCs w:val="23"/>
          <w:lang w:val="pt-BR"/>
        </w:rPr>
        <w:t>et al.</w:t>
      </w:r>
      <w:r>
        <w:rPr>
          <w:rFonts w:ascii="Times New Roman" w:hAnsi="Times New Roman" w:eastAsia="Times New Roman" w:cs="Times New Roman"/>
          <w:sz w:val="23"/>
          <w:szCs w:val="23"/>
          <w:lang w:val="pt-BR"/>
        </w:rPr>
        <w:t xml:space="preserve">, “A review of the measurement of grip strength in clinical and epidemiological studies: towards a standardised approach”, </w:t>
      </w:r>
      <w:r>
        <w:rPr>
          <w:rFonts w:ascii="Times New Roman" w:hAnsi="Times New Roman" w:eastAsia="Times New Roman" w:cs="Times New Roman"/>
          <w:i/>
          <w:sz w:val="23"/>
          <w:szCs w:val="23"/>
          <w:lang w:val="pt-BR"/>
        </w:rPr>
        <w:t>Age Ageing</w:t>
      </w:r>
      <w:r>
        <w:rPr>
          <w:rFonts w:ascii="Times New Roman" w:hAnsi="Times New Roman" w:eastAsia="Times New Roman" w:cs="Times New Roman"/>
          <w:sz w:val="23"/>
          <w:szCs w:val="23"/>
          <w:lang w:val="pt-BR"/>
        </w:rPr>
        <w:t>, v. 40, n. 4, p. 423–429, jul. 2011, doi: 10.1093/ageing/afr051.</w:t>
      </w:r>
    </w:p>
    <w:p w14:paraId="75A90B00">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S. Jaric, “Muscle Strength Testing: Use of Normalisation for Body Size”, </w:t>
      </w:r>
      <w:r>
        <w:rPr>
          <w:rFonts w:ascii="Times New Roman" w:hAnsi="Times New Roman" w:eastAsia="Times New Roman" w:cs="Times New Roman"/>
          <w:i/>
          <w:sz w:val="23"/>
          <w:szCs w:val="23"/>
          <w:lang w:val="pt-BR"/>
        </w:rPr>
        <w:t>Sports Med.</w:t>
      </w:r>
      <w:r>
        <w:rPr>
          <w:rFonts w:ascii="Times New Roman" w:hAnsi="Times New Roman" w:eastAsia="Times New Roman" w:cs="Times New Roman"/>
          <w:sz w:val="23"/>
          <w:szCs w:val="23"/>
          <w:lang w:val="pt-BR"/>
        </w:rPr>
        <w:t>, v. 32, n. 10, p. 615–631, 2002, doi: 10.2165/00007256-200232100-00002.</w:t>
      </w:r>
    </w:p>
    <w:p w14:paraId="01A67649">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L. Lieber e J. Fridén, “Musculoskeletal balance of the human wrist elucidated using intraoperative laser diffraction”, </w:t>
      </w:r>
      <w:r>
        <w:rPr>
          <w:rFonts w:ascii="Times New Roman" w:hAnsi="Times New Roman" w:eastAsia="Times New Roman" w:cs="Times New Roman"/>
          <w:i/>
          <w:sz w:val="23"/>
          <w:szCs w:val="23"/>
          <w:lang w:val="pt-BR"/>
        </w:rPr>
        <w:t>J. Electromyogr. Kinesiol.</w:t>
      </w:r>
      <w:r>
        <w:rPr>
          <w:rFonts w:ascii="Times New Roman" w:hAnsi="Times New Roman" w:eastAsia="Times New Roman" w:cs="Times New Roman"/>
          <w:sz w:val="23"/>
          <w:szCs w:val="23"/>
          <w:lang w:val="pt-BR"/>
        </w:rPr>
        <w:t>, v. 8, n. 2, p. 93–100, abr. 1998, doi: 10.1016/S1050-6411(97)00025-4.</w:t>
      </w:r>
    </w:p>
    <w:p w14:paraId="3431FF68">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Z. Dvir, </w:t>
      </w:r>
      <w:r>
        <w:rPr>
          <w:rFonts w:ascii="Times New Roman" w:hAnsi="Times New Roman" w:eastAsia="Times New Roman" w:cs="Times New Roman"/>
          <w:i/>
          <w:sz w:val="23"/>
          <w:szCs w:val="23"/>
          <w:lang w:val="pt-BR"/>
        </w:rPr>
        <w:t>Isokinetics: Muscle Testing, Interpretation and Clinical Applications</w:t>
      </w:r>
      <w:r>
        <w:rPr>
          <w:rFonts w:ascii="Times New Roman" w:hAnsi="Times New Roman" w:eastAsia="Times New Roman" w:cs="Times New Roman"/>
          <w:sz w:val="23"/>
          <w:szCs w:val="23"/>
          <w:lang w:val="pt-BR"/>
        </w:rPr>
        <w:t>, 3</w:t>
      </w:r>
      <w:r>
        <w:rPr>
          <w:rFonts w:ascii="Times New Roman" w:hAnsi="Times New Roman" w:eastAsia="Times New Roman" w:cs="Times New Roman"/>
          <w:sz w:val="23"/>
          <w:szCs w:val="23"/>
          <w:vertAlign w:val="superscript"/>
          <w:lang w:val="pt-BR"/>
        </w:rPr>
        <w:t>o</w:t>
      </w:r>
      <w:r>
        <w:rPr>
          <w:rFonts w:ascii="Times New Roman" w:hAnsi="Times New Roman" w:eastAsia="Times New Roman" w:cs="Times New Roman"/>
          <w:sz w:val="23"/>
          <w:szCs w:val="23"/>
          <w:lang w:val="pt-BR"/>
        </w:rPr>
        <w:t xml:space="preserve"> ed. New York: Routledge, 2025. doi: 10.4324/9781003380719.</w:t>
      </w:r>
    </w:p>
    <w:p w14:paraId="3F24B419">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C. Bishop, “Interlimb Asymmetries: Are Thresholds a Usable Concept?”, </w:t>
      </w:r>
      <w:r>
        <w:rPr>
          <w:rFonts w:ascii="Times New Roman" w:hAnsi="Times New Roman" w:eastAsia="Times New Roman" w:cs="Times New Roman"/>
          <w:i/>
          <w:sz w:val="23"/>
          <w:szCs w:val="23"/>
          <w:lang w:val="pt-BR"/>
        </w:rPr>
        <w:t>Strength Cond. J.</w:t>
      </w:r>
      <w:r>
        <w:rPr>
          <w:rFonts w:ascii="Times New Roman" w:hAnsi="Times New Roman" w:eastAsia="Times New Roman" w:cs="Times New Roman"/>
          <w:sz w:val="23"/>
          <w:szCs w:val="23"/>
          <w:lang w:val="pt-BR"/>
        </w:rPr>
        <w:t>, v. 43, n. 1, p. 32–36, fev. 2021, doi: 10.1519/SSC.0000000000000554.</w:t>
      </w:r>
    </w:p>
    <w:p w14:paraId="350C034D">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M. R. Dias </w:t>
      </w:r>
      <w:r>
        <w:rPr>
          <w:rFonts w:ascii="Times New Roman" w:hAnsi="Times New Roman" w:eastAsia="Times New Roman" w:cs="Times New Roman"/>
          <w:i/>
          <w:sz w:val="23"/>
          <w:szCs w:val="23"/>
          <w:lang w:val="pt-BR"/>
        </w:rPr>
        <w:t>et al.</w:t>
      </w:r>
      <w:r>
        <w:rPr>
          <w:rFonts w:ascii="Times New Roman" w:hAnsi="Times New Roman" w:eastAsia="Times New Roman" w:cs="Times New Roman"/>
          <w:sz w:val="23"/>
          <w:szCs w:val="23"/>
          <w:lang w:val="pt-BR"/>
        </w:rPr>
        <w:t xml:space="preserve">, “Influência do processo de familiarização para avaliação da força muscular em testes de 1-RM”, </w:t>
      </w:r>
      <w:r>
        <w:rPr>
          <w:rFonts w:ascii="Times New Roman" w:hAnsi="Times New Roman" w:eastAsia="Times New Roman" w:cs="Times New Roman"/>
          <w:i/>
          <w:sz w:val="23"/>
          <w:szCs w:val="23"/>
          <w:lang w:val="pt-BR"/>
        </w:rPr>
        <w:t>Rev. Bras. Med. Esporte</w:t>
      </w:r>
      <w:r>
        <w:rPr>
          <w:rFonts w:ascii="Times New Roman" w:hAnsi="Times New Roman" w:eastAsia="Times New Roman" w:cs="Times New Roman"/>
          <w:sz w:val="23"/>
          <w:szCs w:val="23"/>
          <w:lang w:val="pt-BR"/>
        </w:rPr>
        <w:t>, v. 11, n. 1, 2005, doi: 10.1590/s1517-86922005000100004.</w:t>
      </w:r>
    </w:p>
    <w:p w14:paraId="7DD59460">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[58]</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A. Soriano, T. J. Suchomel, e P. Comfort, “Weightlifting Overhead Pressing Derivatives: A Review of the Literature”, </w:t>
      </w:r>
      <w:r>
        <w:rPr>
          <w:rFonts w:ascii="Times New Roman" w:hAnsi="Times New Roman" w:eastAsia="Times New Roman" w:cs="Times New Roman"/>
          <w:i/>
          <w:sz w:val="23"/>
          <w:szCs w:val="23"/>
          <w:lang w:val="pt-BR"/>
        </w:rPr>
        <w:t>Sports Med.</w:t>
      </w:r>
      <w:r>
        <w:rPr>
          <w:rFonts w:ascii="Times New Roman" w:hAnsi="Times New Roman" w:eastAsia="Times New Roman" w:cs="Times New Roman"/>
          <w:sz w:val="23"/>
          <w:szCs w:val="23"/>
          <w:lang w:val="pt-BR"/>
        </w:rPr>
        <w:t>, v. 49, n. 6, p. 867–885, jun. 2019, doi: 10.1007/s40279-019-01096-8.</w:t>
      </w:r>
    </w:p>
    <w:p w14:paraId="33880353">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[59]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G. D. P. Lemos, “A força máxima no shoulder press relativa à massa corporal é uma medida preditiva do  desempenho no strict handstand push-up dentro da modalidade CrossFit®?”, 2024.</w:t>
      </w:r>
    </w:p>
    <w:p w14:paraId="3B9DAA09">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W. A. Sands, D. J. Caine, e J. Borms, </w:t>
      </w:r>
      <w:r>
        <w:rPr>
          <w:rFonts w:ascii="Times New Roman" w:hAnsi="Times New Roman" w:eastAsia="Times New Roman" w:cs="Times New Roman"/>
          <w:i/>
          <w:sz w:val="23"/>
          <w:szCs w:val="23"/>
          <w:lang w:val="pt-BR"/>
        </w:rPr>
        <w:t>Scientific Aspects of Women’s Gymnastics</w:t>
      </w:r>
      <w:r>
        <w:rPr>
          <w:rFonts w:ascii="Times New Roman" w:hAnsi="Times New Roman" w:eastAsia="Times New Roman" w:cs="Times New Roman"/>
          <w:sz w:val="23"/>
          <w:szCs w:val="23"/>
          <w:lang w:val="pt-BR"/>
        </w:rPr>
        <w:t>, v. 45. em Medicine and Sport Science, vol. 45. S. Karger AG, 2002. doi: 10.1159/isbn.978-3-318-00894-4.</w:t>
      </w:r>
    </w:p>
    <w:p w14:paraId="661A8FA7">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B. Davis, S. Õunpuu, D. Tyburski, e J. R. Gage, “A gait analysis data collection and reduction technique”, </w:t>
      </w:r>
      <w:r>
        <w:rPr>
          <w:rFonts w:ascii="Times New Roman" w:hAnsi="Times New Roman" w:eastAsia="Times New Roman" w:cs="Times New Roman"/>
          <w:i/>
          <w:sz w:val="23"/>
          <w:szCs w:val="23"/>
          <w:lang w:val="pt-BR"/>
        </w:rPr>
        <w:t>Hum. Mov. Sci.</w:t>
      </w:r>
      <w:r>
        <w:rPr>
          <w:rFonts w:ascii="Times New Roman" w:hAnsi="Times New Roman" w:eastAsia="Times New Roman" w:cs="Times New Roman"/>
          <w:sz w:val="23"/>
          <w:szCs w:val="23"/>
          <w:lang w:val="pt-BR"/>
        </w:rPr>
        <w:t>, v. 10, n. 5, p. 575–587, out. 1991, doi: 10.1016/0167-9457(91)90046-Z.</w:t>
      </w:r>
    </w:p>
    <w:p w14:paraId="47016EF0">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[62]</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P. Kadaba, H. K. Ramakrishnan, e M. E. Wootten, “Measurement of lower extremity kinematics during level walking”, </w:t>
      </w:r>
      <w:r>
        <w:rPr>
          <w:rFonts w:ascii="Times New Roman" w:hAnsi="Times New Roman" w:eastAsia="Times New Roman" w:cs="Times New Roman"/>
          <w:i/>
          <w:sz w:val="23"/>
          <w:szCs w:val="23"/>
          <w:lang w:val="pt-BR"/>
        </w:rPr>
        <w:t>J. Orthop. Res.</w:t>
      </w:r>
      <w:r>
        <w:rPr>
          <w:rFonts w:ascii="Times New Roman" w:hAnsi="Times New Roman" w:eastAsia="Times New Roman" w:cs="Times New Roman"/>
          <w:sz w:val="23"/>
          <w:szCs w:val="23"/>
          <w:lang w:val="pt-BR"/>
        </w:rPr>
        <w:t>, v. 8, n. 3, p. 383–392, maio 1990, doi: 10.1002/jor.1100080310.</w:t>
      </w:r>
    </w:p>
    <w:p w14:paraId="0F49E6B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[63]</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H. Challis, “A procedure for determining rigid body transformation parameters”, </w:t>
      </w:r>
      <w:r>
        <w:rPr>
          <w:rFonts w:ascii="Times New Roman" w:hAnsi="Times New Roman" w:eastAsia="Times New Roman" w:cs="Times New Roman"/>
          <w:i/>
          <w:sz w:val="23"/>
          <w:szCs w:val="23"/>
          <w:lang w:val="pt-BR"/>
        </w:rPr>
        <w:t>J. Biomech.</w:t>
      </w:r>
      <w:r>
        <w:rPr>
          <w:rFonts w:ascii="Times New Roman" w:hAnsi="Times New Roman" w:eastAsia="Times New Roman" w:cs="Times New Roman"/>
          <w:sz w:val="23"/>
          <w:szCs w:val="23"/>
          <w:lang w:val="pt-BR"/>
        </w:rPr>
        <w:t>, v. 28, n. 6, p. 733–737, jun. 1995, doi: 10.1016/0021-9290(94)00116-L.</w:t>
      </w:r>
    </w:p>
    <w:p w14:paraId="1A3A5EA1">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[64]</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W. Kabsch, “A solution for the best rotation to relate two sets of vectors”, </w:t>
      </w:r>
      <w:r>
        <w:rPr>
          <w:rFonts w:ascii="Times New Roman" w:hAnsi="Times New Roman" w:eastAsia="Times New Roman" w:cs="Times New Roman"/>
          <w:i/>
          <w:sz w:val="23"/>
          <w:szCs w:val="23"/>
          <w:lang w:val="pt-BR"/>
        </w:rPr>
        <w:t>Acta Crystallogr. Sect. A</w:t>
      </w:r>
      <w:r>
        <w:rPr>
          <w:rFonts w:ascii="Times New Roman" w:hAnsi="Times New Roman" w:eastAsia="Times New Roman" w:cs="Times New Roman"/>
          <w:sz w:val="23"/>
          <w:szCs w:val="23"/>
          <w:lang w:val="pt-BR"/>
        </w:rPr>
        <w:t>, v. 32, n. 5, p. 922–923, set. 1976, doi: 10.1107/S0567739476001873.</w:t>
      </w:r>
    </w:p>
    <w:p w14:paraId="361145BD">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[65]</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B. Michaud e M. Begon, “ezc3d: An easy C3D file I/O cross-platform solution for C++, Python and MATLAB”, </w:t>
      </w:r>
      <w:r>
        <w:rPr>
          <w:rFonts w:ascii="Times New Roman" w:hAnsi="Times New Roman" w:eastAsia="Times New Roman" w:cs="Times New Roman"/>
          <w:i/>
          <w:sz w:val="23"/>
          <w:szCs w:val="23"/>
          <w:lang w:val="pt-BR"/>
        </w:rPr>
        <w:t>J. Open Source Softw.</w:t>
      </w:r>
      <w:r>
        <w:rPr>
          <w:rFonts w:ascii="Times New Roman" w:hAnsi="Times New Roman" w:eastAsia="Times New Roman" w:cs="Times New Roman"/>
          <w:sz w:val="23"/>
          <w:szCs w:val="23"/>
          <w:lang w:val="pt-BR"/>
        </w:rPr>
        <w:t>, v. 6, n. 58, p. 2911, fev. 2021, doi: 10.21105/joss.02911.</w:t>
      </w:r>
    </w:p>
    <w:p w14:paraId="248A519F">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[66]</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A. Peters, B. Galna, M. Sangeux, M. Morris, e R. Baker, “Quantification of soft tissue artifact in lower limb human motion analysis: A systematic review”, </w:t>
      </w:r>
      <w:r>
        <w:rPr>
          <w:rFonts w:ascii="Times New Roman" w:hAnsi="Times New Roman" w:eastAsia="Times New Roman" w:cs="Times New Roman"/>
          <w:i/>
          <w:sz w:val="23"/>
          <w:szCs w:val="23"/>
          <w:lang w:val="pt-BR"/>
        </w:rPr>
        <w:t>Gait Posture</w:t>
      </w:r>
      <w:r>
        <w:rPr>
          <w:rFonts w:ascii="Times New Roman" w:hAnsi="Times New Roman" w:eastAsia="Times New Roman" w:cs="Times New Roman"/>
          <w:sz w:val="23"/>
          <w:szCs w:val="23"/>
          <w:lang w:val="pt-BR"/>
        </w:rPr>
        <w:t>, v. 31, n. 1, p. 1–8, jan. 2010, doi: 10.1016/j.gaitpost.2009.09.004.</w:t>
      </w:r>
    </w:p>
    <w:p w14:paraId="3DD1942C">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[67]</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D. G. E. Robertson, G. E. Caldwell, J. Hamill, G. Kamen, e S. N. Whittlesey, </w:t>
      </w:r>
      <w:r>
        <w:rPr>
          <w:rFonts w:ascii="Times New Roman" w:hAnsi="Times New Roman" w:eastAsia="Times New Roman" w:cs="Times New Roman"/>
          <w:i/>
          <w:sz w:val="23"/>
          <w:szCs w:val="23"/>
          <w:lang w:val="pt-BR"/>
        </w:rPr>
        <w:t>Research Methods in Biomechanics</w:t>
      </w:r>
      <w:r>
        <w:rPr>
          <w:rFonts w:ascii="Times New Roman" w:hAnsi="Times New Roman" w:eastAsia="Times New Roman" w:cs="Times New Roman"/>
          <w:sz w:val="23"/>
          <w:szCs w:val="23"/>
          <w:lang w:val="pt-BR"/>
        </w:rPr>
        <w:t>, 2</w:t>
      </w:r>
      <w:r>
        <w:rPr>
          <w:rFonts w:ascii="Times New Roman" w:hAnsi="Times New Roman" w:eastAsia="Times New Roman" w:cs="Times New Roman"/>
          <w:sz w:val="23"/>
          <w:szCs w:val="23"/>
          <w:vertAlign w:val="superscript"/>
          <w:lang w:val="pt-BR"/>
        </w:rPr>
        <w:t>o</w:t>
      </w:r>
      <w:r>
        <w:rPr>
          <w:rFonts w:ascii="Times New Roman" w:hAnsi="Times New Roman" w:eastAsia="Times New Roman" w:cs="Times New Roman"/>
          <w:sz w:val="23"/>
          <w:szCs w:val="23"/>
          <w:lang w:val="pt-BR"/>
        </w:rPr>
        <w:t xml:space="preserve"> ed. Human Kinetics, 2014. doi: 10.5040/9781492595809.</w:t>
      </w:r>
    </w:p>
    <w:p w14:paraId="250992FD">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[68]</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S. J. Howarth e J. P. Callaghan, “Quantitative assessment of the accuracy for three interpolation techniques in kinematic analysis of human movement”, </w:t>
      </w:r>
      <w:r>
        <w:rPr>
          <w:rFonts w:ascii="Times New Roman" w:hAnsi="Times New Roman" w:eastAsia="Times New Roman" w:cs="Times New Roman"/>
          <w:i/>
          <w:sz w:val="23"/>
          <w:szCs w:val="23"/>
          <w:lang w:val="pt-BR"/>
        </w:rPr>
        <w:t>Comput. Methods Biomech. Biomed. Engin.</w:t>
      </w:r>
      <w:r>
        <w:rPr>
          <w:rFonts w:ascii="Times New Roman" w:hAnsi="Times New Roman" w:eastAsia="Times New Roman" w:cs="Times New Roman"/>
          <w:sz w:val="23"/>
          <w:szCs w:val="23"/>
          <w:lang w:val="pt-BR"/>
        </w:rPr>
        <w:t>, v. 13, n. 6, p. 847–855, dez. 2010, doi: 10.1080/10255841003664701.</w:t>
      </w:r>
    </w:p>
    <w:p w14:paraId="1105A44A">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[69]</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M. Šenk e L. Chèze, “Rotation sequence as an important factor in shoulder kinematics”, </w:t>
      </w:r>
      <w:r>
        <w:rPr>
          <w:rFonts w:ascii="Times New Roman" w:hAnsi="Times New Roman" w:eastAsia="Times New Roman" w:cs="Times New Roman"/>
          <w:i/>
          <w:sz w:val="23"/>
          <w:szCs w:val="23"/>
          <w:lang w:val="pt-BR"/>
        </w:rPr>
        <w:t>Clin. Biomech.</w:t>
      </w:r>
      <w:r>
        <w:rPr>
          <w:rFonts w:ascii="Times New Roman" w:hAnsi="Times New Roman" w:eastAsia="Times New Roman" w:cs="Times New Roman"/>
          <w:sz w:val="23"/>
          <w:szCs w:val="23"/>
          <w:lang w:val="pt-BR"/>
        </w:rPr>
        <w:t>, v. 21, p. S3–S8, jan. 2006, doi: 10.1016/j.clinbiomech.2005.09.007.</w:t>
      </w:r>
    </w:p>
    <w:p w14:paraId="7309A335">
      <w:pPr>
        <w:tabs>
          <w:tab w:val="left" w:pos="0"/>
        </w:tabs>
        <w:spacing w:after="0" w:line="240" w:lineRule="auto"/>
        <w:ind w:left="504" w:hanging="504"/>
        <w:rPr>
          <w:rFonts w:ascii="Times New Roman" w:hAnsi="Times New Roman" w:eastAsia="Times New Roman" w:cs="Times New Roman"/>
          <w:sz w:val="23"/>
          <w:szCs w:val="23"/>
          <w:lang w:val="pt-BR"/>
        </w:rPr>
      </w:pPr>
      <w:r>
        <w:rPr>
          <w:rFonts w:ascii="Times New Roman" w:hAnsi="Times New Roman" w:eastAsia="Times New Roman" w:cs="Times New Roman"/>
          <w:sz w:val="23"/>
          <w:szCs w:val="23"/>
          <w:lang w:val="pt-BR"/>
        </w:rPr>
        <w:t>[70]</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R. E. Fellin, W. C. Rose, T. D. Royer, e I. S. Davis, “Comparison of methods for kinematic identification of footstrike and toe-off during overground and treadmill running”, </w:t>
      </w:r>
      <w:r>
        <w:rPr>
          <w:rFonts w:ascii="Times New Roman" w:hAnsi="Times New Roman" w:eastAsia="Times New Roman" w:cs="Times New Roman"/>
          <w:i/>
          <w:sz w:val="23"/>
          <w:szCs w:val="23"/>
          <w:lang w:val="pt-BR"/>
        </w:rPr>
        <w:t>J. Sci. Med. Sport</w:t>
      </w:r>
      <w:r>
        <w:rPr>
          <w:rFonts w:ascii="Times New Roman" w:hAnsi="Times New Roman" w:eastAsia="Times New Roman" w:cs="Times New Roman"/>
          <w:sz w:val="23"/>
          <w:szCs w:val="23"/>
          <w:lang w:val="pt-BR"/>
        </w:rPr>
        <w:t>, v. 13, n. 6, p. 646–650, nov. 2010, doi: 10.1016/j.jsams.2010.03.006.</w:t>
      </w:r>
    </w:p>
    <w:p w14:paraId="73BB0823">
      <w:pPr>
        <w:tabs>
          <w:tab w:val="left" w:pos="0"/>
        </w:tabs>
        <w:spacing w:after="0" w:line="240" w:lineRule="auto"/>
        <w:ind w:left="504" w:hanging="504"/>
        <w:rPr>
          <w:rFonts w:ascii="Times New Roman" w:hAnsi="Times New Roman" w:eastAsia="Times New Roman" w:cs="Times New Roman"/>
          <w:sz w:val="23"/>
          <w:szCs w:val="23"/>
          <w:lang w:val="en-US"/>
        </w:rPr>
      </w:pPr>
      <w:r>
        <w:rPr>
          <w:rFonts w:ascii="Times New Roman" w:hAnsi="Times New Roman" w:eastAsia="Times New Roman" w:cs="Times New Roman"/>
          <w:sz w:val="23"/>
          <w:szCs w:val="23"/>
          <w:lang w:val="pt-BR"/>
        </w:rPr>
        <w:t>[71]</w:t>
      </w:r>
      <w:r>
        <w:rPr>
          <w:rFonts w:ascii="Times New Roman" w:hAnsi="Times New Roman" w:eastAsia="Times New Roman" w:cs="Times New Roman"/>
          <w:sz w:val="23"/>
          <w:szCs w:val="23"/>
          <w:lang w:val="pt-BR"/>
        </w:rPr>
        <w:tab/>
      </w:r>
      <w:r>
        <w:rPr>
          <w:rFonts w:ascii="Times New Roman" w:hAnsi="Times New Roman" w:eastAsia="Times New Roman" w:cs="Times New Roman"/>
          <w:sz w:val="23"/>
          <w:szCs w:val="23"/>
          <w:lang w:val="pt-BR"/>
        </w:rPr>
        <w:t xml:space="preserve">J. A. Zeni, J. G. Richards, e J. S. Higginson, “Two simple methods for determining gait events during treadmill and overground walking using kinematic data”, </w:t>
      </w:r>
      <w:r>
        <w:rPr>
          <w:rFonts w:ascii="Times New Roman" w:hAnsi="Times New Roman" w:eastAsia="Times New Roman" w:cs="Times New Roman"/>
          <w:i/>
          <w:sz w:val="23"/>
          <w:szCs w:val="23"/>
          <w:lang w:val="pt-BR"/>
        </w:rPr>
        <w:t>Gait Posture</w:t>
      </w:r>
      <w:r>
        <w:rPr>
          <w:rFonts w:ascii="Times New Roman" w:hAnsi="Times New Roman" w:eastAsia="Times New Roman" w:cs="Times New Roman"/>
          <w:sz w:val="23"/>
          <w:szCs w:val="23"/>
          <w:lang w:val="pt-BR"/>
        </w:rPr>
        <w:t>, v. 27, n. 4, p. 710–714, maio 2008, doi: 10.1016/j.gaitpost.2007.07.007.</w:t>
      </w:r>
      <w:r>
        <w:rPr>
          <w:rFonts w:ascii="Times New Roman" w:hAnsi="Times New Roman" w:eastAsia="Times New Roman" w:cs="Times New Roman"/>
          <w:sz w:val="23"/>
          <w:szCs w:val="23"/>
          <w:lang w:val="en-US"/>
        </w:rPr>
        <w:fldChar w:fldCharType="end"/>
      </w:r>
    </w:p>
    <w:p w14:paraId="37E02F6D">
      <w:pPr>
        <w:spacing w:line="360" w:lineRule="auto"/>
        <w:rPr>
          <w:rFonts w:ascii="Times New Roman" w:hAnsi="Times New Roman" w:eastAsia="Times New Roman" w:cs="Times New Roman"/>
          <w:sz w:val="23"/>
          <w:szCs w:val="23"/>
          <w:lang w:val="en-US"/>
        </w:rPr>
      </w:pPr>
    </w:p>
    <w:p w14:paraId="3ADCE635">
      <w:pPr>
        <w:rPr>
          <w:rFonts w:ascii="Times New Roman" w:hAnsi="Times New Roman" w:eastAsia="Times New Roman" w:cs="Times New Roman"/>
          <w:lang w:val="en-US"/>
        </w:rPr>
      </w:pPr>
    </w:p>
    <w:sectPr>
      <w:headerReference r:id="rId5" w:type="default"/>
      <w:footerReference r:id="rId6" w:type="default"/>
      <w:pgSz w:w="11906" w:h="16838"/>
      <w:pgMar w:top="1418" w:right="1418" w:bottom="1418" w:left="1418" w:header="720" w:footer="72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1C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204E8">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pP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E4B7A"/>
    <w:multiLevelType w:val="multilevel"/>
    <w:tmpl w:val="0BEE4B7A"/>
    <w:lvl w:ilvl="0" w:tentative="0">
      <w:start w:val="1"/>
      <w:numFmt w:val="bullet"/>
      <w:lvlText w:val=""/>
      <w:lvlJc w:val="left"/>
      <w:pPr>
        <w:tabs>
          <w:tab w:val="left" w:pos="1428"/>
        </w:tabs>
        <w:ind w:left="1428" w:hanging="360"/>
      </w:pPr>
      <w:rPr>
        <w:rFonts w:hint="default" w:ascii="Wingdings" w:hAnsi="Wingdings"/>
        <w:sz w:val="20"/>
      </w:rPr>
    </w:lvl>
    <w:lvl w:ilvl="1" w:tentative="0">
      <w:start w:val="1"/>
      <w:numFmt w:val="bullet"/>
      <w:lvlText w:val=""/>
      <w:lvlJc w:val="left"/>
      <w:pPr>
        <w:tabs>
          <w:tab w:val="left" w:pos="2148"/>
        </w:tabs>
        <w:ind w:left="2148" w:hanging="360"/>
      </w:pPr>
      <w:rPr>
        <w:rFonts w:hint="default" w:ascii="Symbol" w:hAnsi="Symbol"/>
        <w:sz w:val="20"/>
      </w:rPr>
    </w:lvl>
    <w:lvl w:ilvl="2" w:tentative="0">
      <w:start w:val="1"/>
      <w:numFmt w:val="bullet"/>
      <w:lvlText w:val=""/>
      <w:lvlJc w:val="left"/>
      <w:pPr>
        <w:tabs>
          <w:tab w:val="left" w:pos="2868"/>
        </w:tabs>
        <w:ind w:left="2868" w:hanging="360"/>
      </w:pPr>
      <w:rPr>
        <w:rFonts w:hint="default" w:ascii="Symbol" w:hAnsi="Symbol"/>
        <w:sz w:val="20"/>
      </w:rPr>
    </w:lvl>
    <w:lvl w:ilvl="3" w:tentative="0">
      <w:start w:val="1"/>
      <w:numFmt w:val="bullet"/>
      <w:lvlText w:val=""/>
      <w:lvlJc w:val="left"/>
      <w:pPr>
        <w:tabs>
          <w:tab w:val="left" w:pos="3588"/>
        </w:tabs>
        <w:ind w:left="3588" w:hanging="360"/>
      </w:pPr>
      <w:rPr>
        <w:rFonts w:hint="default" w:ascii="Symbol" w:hAnsi="Symbol"/>
        <w:sz w:val="20"/>
      </w:rPr>
    </w:lvl>
    <w:lvl w:ilvl="4" w:tentative="0">
      <w:start w:val="1"/>
      <w:numFmt w:val="bullet"/>
      <w:lvlText w:val=""/>
      <w:lvlJc w:val="left"/>
      <w:pPr>
        <w:tabs>
          <w:tab w:val="left" w:pos="4308"/>
        </w:tabs>
        <w:ind w:left="4308" w:hanging="360"/>
      </w:pPr>
      <w:rPr>
        <w:rFonts w:hint="default" w:ascii="Symbol" w:hAnsi="Symbol"/>
        <w:sz w:val="20"/>
      </w:rPr>
    </w:lvl>
    <w:lvl w:ilvl="5" w:tentative="0">
      <w:start w:val="1"/>
      <w:numFmt w:val="bullet"/>
      <w:lvlText w:val=""/>
      <w:lvlJc w:val="left"/>
      <w:pPr>
        <w:tabs>
          <w:tab w:val="left" w:pos="5028"/>
        </w:tabs>
        <w:ind w:left="5028" w:hanging="360"/>
      </w:pPr>
      <w:rPr>
        <w:rFonts w:hint="default" w:ascii="Symbol" w:hAnsi="Symbol"/>
        <w:sz w:val="20"/>
      </w:rPr>
    </w:lvl>
    <w:lvl w:ilvl="6" w:tentative="0">
      <w:start w:val="1"/>
      <w:numFmt w:val="bullet"/>
      <w:lvlText w:val=""/>
      <w:lvlJc w:val="left"/>
      <w:pPr>
        <w:tabs>
          <w:tab w:val="left" w:pos="5748"/>
        </w:tabs>
        <w:ind w:left="5748" w:hanging="360"/>
      </w:pPr>
      <w:rPr>
        <w:rFonts w:hint="default" w:ascii="Symbol" w:hAnsi="Symbol"/>
        <w:sz w:val="20"/>
      </w:rPr>
    </w:lvl>
    <w:lvl w:ilvl="7" w:tentative="0">
      <w:start w:val="1"/>
      <w:numFmt w:val="bullet"/>
      <w:lvlText w:val=""/>
      <w:lvlJc w:val="left"/>
      <w:pPr>
        <w:tabs>
          <w:tab w:val="left" w:pos="6468"/>
        </w:tabs>
        <w:ind w:left="6468" w:hanging="360"/>
      </w:pPr>
      <w:rPr>
        <w:rFonts w:hint="default" w:ascii="Symbol" w:hAnsi="Symbol"/>
        <w:sz w:val="20"/>
      </w:rPr>
    </w:lvl>
    <w:lvl w:ilvl="8" w:tentative="0">
      <w:start w:val="1"/>
      <w:numFmt w:val="bullet"/>
      <w:lvlText w:val=""/>
      <w:lvlJc w:val="left"/>
      <w:pPr>
        <w:tabs>
          <w:tab w:val="left" w:pos="7188"/>
        </w:tabs>
        <w:ind w:left="7188" w:hanging="360"/>
      </w:pPr>
      <w:rPr>
        <w:rFonts w:hint="default" w:ascii="Symbol" w:hAnsi="Symbol"/>
        <w:sz w:val="20"/>
      </w:rPr>
    </w:lvl>
  </w:abstractNum>
  <w:abstractNum w:abstractNumId="1">
    <w:nsid w:val="1C8C5FD9"/>
    <w:multiLevelType w:val="multilevel"/>
    <w:tmpl w:val="1C8C5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561258"/>
    <w:multiLevelType w:val="multilevel"/>
    <w:tmpl w:val="25561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4B629F"/>
    <w:multiLevelType w:val="multilevel"/>
    <w:tmpl w:val="3B4B629F"/>
    <w:lvl w:ilvl="0" w:tentative="0">
      <w:start w:val="1"/>
      <w:numFmt w:val="decimal"/>
      <w:lvlText w:val="%1"/>
      <w:lvlJc w:val="left"/>
      <w:pPr>
        <w:tabs>
          <w:tab w:val="left" w:pos="0"/>
        </w:tabs>
        <w:ind w:left="780" w:hanging="420"/>
      </w:pPr>
    </w:lvl>
    <w:lvl w:ilvl="1" w:tentative="0">
      <w:start w:val="3"/>
      <w:numFmt w:val="decimal"/>
      <w:lvlText w:val="%1.%2"/>
      <w:lvlJc w:val="left"/>
      <w:pPr>
        <w:tabs>
          <w:tab w:val="left" w:pos="0"/>
        </w:tabs>
        <w:ind w:left="720" w:hanging="360"/>
      </w:pPr>
      <w:rPr>
        <w:i w:val="0"/>
      </w:rPr>
    </w:lvl>
    <w:lvl w:ilvl="2" w:tentative="0">
      <w:start w:val="1"/>
      <w:numFmt w:val="decimal"/>
      <w:lvlText w:val="%1.%2.%3"/>
      <w:lvlJc w:val="left"/>
      <w:pPr>
        <w:tabs>
          <w:tab w:val="left" w:pos="0"/>
        </w:tabs>
        <w:ind w:left="1080" w:hanging="720"/>
      </w:pPr>
      <w:rPr>
        <w:i w:val="0"/>
      </w:rPr>
    </w:lvl>
    <w:lvl w:ilvl="3" w:tentative="0">
      <w:start w:val="1"/>
      <w:numFmt w:val="decimal"/>
      <w:lvlText w:val="%1.%2.%3.%4"/>
      <w:lvlJc w:val="left"/>
      <w:pPr>
        <w:tabs>
          <w:tab w:val="left" w:pos="0"/>
        </w:tabs>
        <w:ind w:left="1080" w:hanging="720"/>
      </w:pPr>
      <w:rPr>
        <w:i w:val="0"/>
      </w:rPr>
    </w:lvl>
    <w:lvl w:ilvl="4" w:tentative="0">
      <w:start w:val="1"/>
      <w:numFmt w:val="decimal"/>
      <w:lvlText w:val="%1.%2.%3.%4.%5"/>
      <w:lvlJc w:val="left"/>
      <w:pPr>
        <w:tabs>
          <w:tab w:val="left" w:pos="0"/>
        </w:tabs>
        <w:ind w:left="1440" w:hanging="1080"/>
      </w:pPr>
      <w:rPr>
        <w:i w:val="0"/>
      </w:rPr>
    </w:lvl>
    <w:lvl w:ilvl="5" w:tentative="0">
      <w:start w:val="1"/>
      <w:numFmt w:val="decimal"/>
      <w:lvlText w:val="%1.%2.%3.%4.%5.%6"/>
      <w:lvlJc w:val="left"/>
      <w:pPr>
        <w:tabs>
          <w:tab w:val="left" w:pos="0"/>
        </w:tabs>
        <w:ind w:left="1440" w:hanging="1080"/>
      </w:pPr>
      <w:rPr>
        <w:i w:val="0"/>
      </w:rPr>
    </w:lvl>
    <w:lvl w:ilvl="6" w:tentative="0">
      <w:start w:val="1"/>
      <w:numFmt w:val="decimal"/>
      <w:lvlText w:val="%1.%2.%3.%4.%5.%6.%7"/>
      <w:lvlJc w:val="left"/>
      <w:pPr>
        <w:tabs>
          <w:tab w:val="left" w:pos="0"/>
        </w:tabs>
        <w:ind w:left="1800" w:hanging="1440"/>
      </w:pPr>
      <w:rPr>
        <w:i w:val="0"/>
      </w:rPr>
    </w:lvl>
    <w:lvl w:ilvl="7" w:tentative="0">
      <w:start w:val="1"/>
      <w:numFmt w:val="decimal"/>
      <w:lvlText w:val="%1.%2.%3.%4.%5.%6.%7.%8"/>
      <w:lvlJc w:val="left"/>
      <w:pPr>
        <w:tabs>
          <w:tab w:val="left" w:pos="0"/>
        </w:tabs>
        <w:ind w:left="1800" w:hanging="1440"/>
      </w:pPr>
      <w:rPr>
        <w:i w:val="0"/>
      </w:rPr>
    </w:lvl>
    <w:lvl w:ilvl="8" w:tentative="0">
      <w:start w:val="1"/>
      <w:numFmt w:val="decimal"/>
      <w:lvlText w:val="%1.%2.%3.%4.%5.%6.%7.%8.%9"/>
      <w:lvlJc w:val="left"/>
      <w:pPr>
        <w:tabs>
          <w:tab w:val="left" w:pos="0"/>
        </w:tabs>
        <w:ind w:left="2160" w:hanging="1800"/>
      </w:pPr>
      <w:rPr>
        <w:i w:val="0"/>
      </w:rPr>
    </w:lvl>
  </w:abstractNum>
  <w:abstractNum w:abstractNumId="4">
    <w:nsid w:val="443E4FBB"/>
    <w:multiLevelType w:val="multilevel"/>
    <w:tmpl w:val="443E4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D57D6"/>
    <w:multiLevelType w:val="multilevel"/>
    <w:tmpl w:val="4D9D57D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6A055DF"/>
    <w:multiLevelType w:val="multilevel"/>
    <w:tmpl w:val="66A0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072B8B"/>
    <w:multiLevelType w:val="multilevel"/>
    <w:tmpl w:val="6B072B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5"/>
  </w:num>
  <w:num w:numId="4">
    <w:abstractNumId w:val="1"/>
  </w:num>
  <w:num w:numId="5">
    <w:abstractNumId w:val="4"/>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 w:val="043E57C2"/>
    <w:rsid w:val="08BE55F8"/>
    <w:rsid w:val="0A864054"/>
    <w:rsid w:val="18094E13"/>
    <w:rsid w:val="18912A5B"/>
    <w:rsid w:val="1D045AC2"/>
    <w:rsid w:val="1E17043B"/>
    <w:rsid w:val="226637AB"/>
    <w:rsid w:val="25524700"/>
    <w:rsid w:val="26130FD7"/>
    <w:rsid w:val="29E908E1"/>
    <w:rsid w:val="2DC044DF"/>
    <w:rsid w:val="339D4A97"/>
    <w:rsid w:val="36DB148C"/>
    <w:rsid w:val="43352264"/>
    <w:rsid w:val="448536D8"/>
    <w:rsid w:val="508E3FB7"/>
    <w:rsid w:val="5E571978"/>
    <w:rsid w:val="63DA25E0"/>
    <w:rsid w:val="69687548"/>
    <w:rsid w:val="6DA35C02"/>
    <w:rsid w:val="721E125E"/>
    <w:rsid w:val="72FA4732"/>
    <w:rsid w:val="761756AB"/>
    <w:rsid w:val="7AB742DC"/>
    <w:rsid w:val="7DBF68F2"/>
    <w:rsid w:val="7F7E58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spacing w:after="0" w:line="480" w:lineRule="auto"/>
      <w:jc w:val="both"/>
    </w:pPr>
    <w:rPr>
      <w:rFonts w:ascii="Arial" w:hAnsi="Arial" w:eastAsia="Arial" w:cs="Arial"/>
      <w:sz w:val="24"/>
      <w:szCs w:val="24"/>
      <w:lang w:val="pt-BR" w:eastAsia="pt-BR" w:bidi="ar-SA"/>
    </w:rPr>
  </w:style>
  <w:style w:type="paragraph" w:styleId="2">
    <w:name w:val="heading 1"/>
    <w:basedOn w:val="1"/>
    <w:next w:val="1"/>
    <w:link w:val="14"/>
    <w:qFormat/>
    <w:uiPriority w:val="9"/>
    <w:pPr>
      <w:keepNext/>
      <w:tabs>
        <w:tab w:val="left" w:pos="90"/>
      </w:tabs>
      <w:spacing w:before="240" w:after="60"/>
      <w:jc w:val="left"/>
      <w:outlineLvl w:val="0"/>
    </w:pPr>
    <w:rPr>
      <w:b/>
    </w:rPr>
  </w:style>
  <w:style w:type="paragraph" w:styleId="3">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0"/>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qFormat/>
    <w:uiPriority w:val="22"/>
    <w:rPr>
      <w:b/>
      <w:bCs/>
    </w:rPr>
  </w:style>
  <w:style w:type="character" w:styleId="9">
    <w:name w:val="Emphasis"/>
    <w:basedOn w:val="6"/>
    <w:qFormat/>
    <w:uiPriority w:val="20"/>
    <w:rPr>
      <w:i/>
      <w:iCs/>
    </w:rPr>
  </w:style>
  <w:style w:type="paragraph" w:styleId="10">
    <w:name w:val="Body Text"/>
    <w:basedOn w:val="1"/>
    <w:link w:val="15"/>
    <w:qFormat/>
    <w:uiPriority w:val="0"/>
    <w:pPr>
      <w:spacing w:after="140" w:line="276" w:lineRule="auto"/>
    </w:pPr>
  </w:style>
  <w:style w:type="paragraph" w:styleId="11">
    <w:name w:val="Normal (Web)"/>
    <w:basedOn w:val="1"/>
    <w:unhideWhenUsed/>
    <w:qFormat/>
    <w:uiPriority w:val="99"/>
    <w:pPr>
      <w:suppressAutoHyphens w:val="0"/>
      <w:spacing w:before="100" w:beforeAutospacing="1" w:after="100" w:afterAutospacing="1" w:line="240" w:lineRule="auto"/>
      <w:jc w:val="left"/>
    </w:pPr>
    <w:rPr>
      <w:rFonts w:ascii="Times New Roman" w:hAnsi="Times New Roman" w:eastAsia="Times New Roman" w:cs="Times New Roman"/>
    </w:rPr>
  </w:style>
  <w:style w:type="paragraph" w:styleId="12">
    <w:name w:val="header"/>
    <w:basedOn w:val="1"/>
    <w:link w:val="16"/>
    <w:qFormat/>
    <w:uiPriority w:val="0"/>
  </w:style>
  <w:style w:type="paragraph" w:styleId="13">
    <w:name w:val="footer"/>
    <w:basedOn w:val="1"/>
    <w:link w:val="17"/>
    <w:qFormat/>
    <w:uiPriority w:val="0"/>
  </w:style>
  <w:style w:type="character" w:customStyle="1" w:styleId="14">
    <w:name w:val="Título 1 Char"/>
    <w:basedOn w:val="6"/>
    <w:link w:val="2"/>
    <w:qFormat/>
    <w:uiPriority w:val="9"/>
    <w:rPr>
      <w:rFonts w:ascii="Arial" w:hAnsi="Arial" w:eastAsia="Arial" w:cs="Arial"/>
      <w:b/>
      <w:sz w:val="24"/>
      <w:szCs w:val="24"/>
      <w:lang w:eastAsia="pt-BR"/>
    </w:rPr>
  </w:style>
  <w:style w:type="character" w:customStyle="1" w:styleId="15">
    <w:name w:val="Corpo de texto Char"/>
    <w:basedOn w:val="6"/>
    <w:link w:val="10"/>
    <w:qFormat/>
    <w:uiPriority w:val="0"/>
    <w:rPr>
      <w:rFonts w:ascii="Arial" w:hAnsi="Arial" w:eastAsia="Arial" w:cs="Arial"/>
      <w:sz w:val="24"/>
      <w:szCs w:val="24"/>
      <w:lang w:eastAsia="pt-BR"/>
    </w:rPr>
  </w:style>
  <w:style w:type="character" w:customStyle="1" w:styleId="16">
    <w:name w:val="Cabeçalho Char"/>
    <w:basedOn w:val="6"/>
    <w:link w:val="12"/>
    <w:qFormat/>
    <w:uiPriority w:val="0"/>
    <w:rPr>
      <w:rFonts w:ascii="Arial" w:hAnsi="Arial" w:eastAsia="Arial" w:cs="Arial"/>
      <w:sz w:val="24"/>
      <w:szCs w:val="24"/>
      <w:lang w:eastAsia="pt-BR"/>
    </w:rPr>
  </w:style>
  <w:style w:type="character" w:customStyle="1" w:styleId="17">
    <w:name w:val="Rodapé Char"/>
    <w:basedOn w:val="6"/>
    <w:link w:val="13"/>
    <w:qFormat/>
    <w:uiPriority w:val="0"/>
    <w:rPr>
      <w:rFonts w:ascii="Arial" w:hAnsi="Arial" w:eastAsia="Arial" w:cs="Arial"/>
      <w:sz w:val="24"/>
      <w:szCs w:val="24"/>
      <w:lang w:eastAsia="pt-BR"/>
    </w:rPr>
  </w:style>
  <w:style w:type="paragraph" w:customStyle="1" w:styleId="18">
    <w:name w:val="Bibliography"/>
    <w:basedOn w:val="1"/>
    <w:next w:val="1"/>
    <w:unhideWhenUsed/>
    <w:qFormat/>
    <w:uiPriority w:val="37"/>
    <w:pPr>
      <w:tabs>
        <w:tab w:val="left" w:pos="384"/>
      </w:tabs>
      <w:spacing w:line="240" w:lineRule="auto"/>
      <w:ind w:left="384" w:hanging="384"/>
    </w:pPr>
  </w:style>
  <w:style w:type="character" w:customStyle="1" w:styleId="19">
    <w:name w:val="Título 2 Char"/>
    <w:basedOn w:val="6"/>
    <w:link w:val="3"/>
    <w:semiHidden/>
    <w:qFormat/>
    <w:uiPriority w:val="9"/>
    <w:rPr>
      <w:rFonts w:asciiTheme="majorHAnsi" w:hAnsiTheme="majorHAnsi" w:eastAsiaTheme="majorEastAsia" w:cstheme="majorBidi"/>
      <w:color w:val="2F5597" w:themeColor="accent1" w:themeShade="BF"/>
      <w:sz w:val="26"/>
      <w:szCs w:val="26"/>
      <w:lang w:eastAsia="pt-BR"/>
    </w:rPr>
  </w:style>
  <w:style w:type="character" w:customStyle="1" w:styleId="20">
    <w:name w:val="Título 4 Char"/>
    <w:basedOn w:val="6"/>
    <w:link w:val="5"/>
    <w:qFormat/>
    <w:uiPriority w:val="9"/>
    <w:rPr>
      <w:rFonts w:asciiTheme="majorHAnsi" w:hAnsiTheme="majorHAnsi" w:eastAsiaTheme="majorEastAsia" w:cstheme="majorBidi"/>
      <w:i/>
      <w:iCs/>
      <w:color w:val="2F5597" w:themeColor="accent1" w:themeShade="BF"/>
      <w:sz w:val="24"/>
      <w:szCs w:val="24"/>
      <w:lang w:eastAsia="pt-BR"/>
    </w:rPr>
  </w:style>
  <w:style w:type="character" w:customStyle="1" w:styleId="21">
    <w:name w:val="Título 3 Char"/>
    <w:basedOn w:val="6"/>
    <w:link w:val="4"/>
    <w:semiHidden/>
    <w:qFormat/>
    <w:uiPriority w:val="9"/>
    <w:rPr>
      <w:rFonts w:asciiTheme="majorHAnsi" w:hAnsiTheme="majorHAnsi" w:eastAsiaTheme="majorEastAsia" w:cstheme="majorBidi"/>
      <w:color w:val="203864" w:themeColor="accent1" w:themeShade="80"/>
      <w:sz w:val="24"/>
      <w:szCs w:val="24"/>
      <w:lang w:eastAsia="pt-BR"/>
    </w:rPr>
  </w:style>
  <w:style w:type="character" w:customStyle="1" w:styleId="22">
    <w:name w:val="citation-238"/>
    <w:basedOn w:val="6"/>
    <w:qFormat/>
    <w:uiPriority w:val="0"/>
  </w:style>
  <w:style w:type="character" w:customStyle="1" w:styleId="23">
    <w:name w:val="citation-237"/>
    <w:basedOn w:val="6"/>
    <w:qFormat/>
    <w:uiPriority w:val="0"/>
  </w:style>
  <w:style w:type="character" w:customStyle="1" w:styleId="24">
    <w:name w:val="citation-236"/>
    <w:basedOn w:val="6"/>
    <w:qFormat/>
    <w:uiPriority w:val="0"/>
  </w:style>
  <w:style w:type="character" w:customStyle="1" w:styleId="25">
    <w:name w:val="citation-235"/>
    <w:basedOn w:val="6"/>
    <w:qFormat/>
    <w:uiPriority w:val="0"/>
  </w:style>
  <w:style w:type="character" w:customStyle="1" w:styleId="26">
    <w:name w:val="citation-234"/>
    <w:basedOn w:val="6"/>
    <w:qFormat/>
    <w:uiPriority w:val="0"/>
  </w:style>
  <w:style w:type="character" w:customStyle="1" w:styleId="27">
    <w:name w:val="citation-233"/>
    <w:basedOn w:val="6"/>
    <w:qFormat/>
    <w:uiPriority w:val="0"/>
  </w:style>
  <w:style w:type="character" w:customStyle="1" w:styleId="28">
    <w:name w:val="citation-232"/>
    <w:basedOn w:val="6"/>
    <w:qFormat/>
    <w:uiPriority w:val="0"/>
  </w:style>
  <w:style w:type="character" w:customStyle="1" w:styleId="29">
    <w:name w:val="citation-231"/>
    <w:basedOn w:val="6"/>
    <w:qFormat/>
    <w:uiPriority w:val="0"/>
  </w:style>
  <w:style w:type="character" w:customStyle="1" w:styleId="30">
    <w:name w:val="citation-230"/>
    <w:basedOn w:val="6"/>
    <w:qFormat/>
    <w:uiPriority w:val="0"/>
  </w:style>
  <w:style w:type="character" w:customStyle="1" w:styleId="31">
    <w:name w:val="citation-229"/>
    <w:basedOn w:val="6"/>
    <w:qFormat/>
    <w:uiPriority w:val="0"/>
  </w:style>
  <w:style w:type="character" w:customStyle="1" w:styleId="32">
    <w:name w:val="citation-228"/>
    <w:basedOn w:val="6"/>
    <w:qFormat/>
    <w:uiPriority w:val="0"/>
  </w:style>
  <w:style w:type="character" w:customStyle="1" w:styleId="33">
    <w:name w:val="citation-227"/>
    <w:basedOn w:val="6"/>
    <w:qFormat/>
    <w:uiPriority w:val="0"/>
  </w:style>
  <w:style w:type="character" w:customStyle="1" w:styleId="34">
    <w:name w:val="citation-226"/>
    <w:basedOn w:val="6"/>
    <w:qFormat/>
    <w:uiPriority w:val="0"/>
  </w:style>
  <w:style w:type="character" w:customStyle="1" w:styleId="35">
    <w:name w:val="citation-225"/>
    <w:basedOn w:val="6"/>
    <w:qFormat/>
    <w:uiPriority w:val="0"/>
  </w:style>
  <w:style w:type="character" w:customStyle="1" w:styleId="36">
    <w:name w:val="citation-224"/>
    <w:basedOn w:val="6"/>
    <w:qFormat/>
    <w:uiPriority w:val="0"/>
  </w:style>
  <w:style w:type="character" w:customStyle="1" w:styleId="37">
    <w:name w:val="citation-223"/>
    <w:basedOn w:val="6"/>
    <w:qFormat/>
    <w:uiPriority w:val="0"/>
  </w:style>
  <w:style w:type="character" w:customStyle="1" w:styleId="38">
    <w:name w:val="citation-222"/>
    <w:basedOn w:val="6"/>
    <w:qFormat/>
    <w:uiPriority w:val="0"/>
  </w:style>
  <w:style w:type="character" w:customStyle="1" w:styleId="39">
    <w:name w:val="citation-221"/>
    <w:basedOn w:val="6"/>
    <w:qFormat/>
    <w:uiPriority w:val="0"/>
  </w:style>
  <w:style w:type="character" w:customStyle="1" w:styleId="40">
    <w:name w:val="citation-220"/>
    <w:basedOn w:val="6"/>
    <w:qFormat/>
    <w:uiPriority w:val="0"/>
  </w:style>
  <w:style w:type="character" w:customStyle="1" w:styleId="41">
    <w:name w:val="citation-219"/>
    <w:basedOn w:val="6"/>
    <w:qFormat/>
    <w:uiPriority w:val="0"/>
  </w:style>
  <w:style w:type="character" w:customStyle="1" w:styleId="42">
    <w:name w:val="citation-218"/>
    <w:basedOn w:val="6"/>
    <w:qFormat/>
    <w:uiPriority w:val="0"/>
  </w:style>
  <w:style w:type="character" w:customStyle="1" w:styleId="43">
    <w:name w:val="citation-217"/>
    <w:basedOn w:val="6"/>
    <w:qFormat/>
    <w:uiPriority w:val="0"/>
  </w:style>
  <w:style w:type="character" w:customStyle="1" w:styleId="44">
    <w:name w:val="citation-216"/>
    <w:basedOn w:val="6"/>
    <w:qFormat/>
    <w:uiPriority w:val="0"/>
  </w:style>
  <w:style w:type="character" w:customStyle="1" w:styleId="45">
    <w:name w:val="citation-215"/>
    <w:basedOn w:val="6"/>
    <w:qFormat/>
    <w:uiPriority w:val="0"/>
  </w:style>
  <w:style w:type="character" w:customStyle="1" w:styleId="46">
    <w:name w:val="citation-214"/>
    <w:basedOn w:val="6"/>
    <w:qFormat/>
    <w:uiPriority w:val="0"/>
  </w:style>
  <w:style w:type="character" w:customStyle="1" w:styleId="47">
    <w:name w:val="citation-213"/>
    <w:basedOn w:val="6"/>
    <w:qFormat/>
    <w:uiPriority w:val="0"/>
  </w:style>
  <w:style w:type="paragraph" w:styleId="48">
    <w:name w:val="List Paragraph"/>
    <w:basedOn w:val="1"/>
    <w:qFormat/>
    <w:uiPriority w:val="34"/>
    <w:pPr>
      <w:ind w:left="720"/>
      <w:contextualSpacing/>
    </w:p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12928</Words>
  <Characters>75053</Characters>
  <Lines>1928</Lines>
  <Paragraphs>547</Paragraphs>
  <TotalTime>3</TotalTime>
  <ScaleCrop>false</ScaleCrop>
  <LinksUpToDate>false</LinksUpToDate>
  <CharactersWithSpaces>87629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2026-03-10T23:05:00Z</dcterms:created>
  <dc:creator>User</dc:creator>
  <cp:lastModifiedBy>Guilherme Lemos</cp:lastModifiedBy>
  <cp:lastPrinted>2025-09-30T19:41:00Z</cp:lastPrinted>
  <dcterms:modified xsi:type="dcterms:W3CDTF">2026-09-03T19:45:25Z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eyJoZGlkIjoiMThhMzU1YmM3NTljMjE0NWZmODIzMTViY2M4NTA0NWIiLCJ1c2VySWQiOiIxMjM2OTU0MjI3MTM2In0=</vt:lpwstr>
  </property>
  <property fmtid="{D5CDD505-2E9C-101B-9397-08002B2CF9AE}" pid="3" name="KSOProductBuildVer">
    <vt:lpwstr>1046-12.1.0.28032</vt:lpwstr>
  </property>
  <property fmtid="{D5CDD505-2E9C-101B-9397-08002B2CF9AE}" pid="4" name="ICV">
    <vt:lpwstr>202F992EAC864BD29387A264FBF8FF5F_13</vt:lpwstr>
  </property>
  <property fmtid="{D5CDD505-2E9C-101B-9397-08002B2CF9AE}" pid="5" name="_ZOTERO_BIBSTYLE_1">
    <vt:lpwstr>{"firstLineIndent":-504,"indent":504,"lineSpacing":240,"entrySpacing":0,"tabStops":[504],"tabStopsCount":1}</vt:lpwstr>
  </property>
  <property fmtid="{D5CDD505-2E9C-101B-9397-08002B2CF9AE}" pid="6" name="ZOTERO_PREF_1">
    <vt:lpwstr>&lt;data data-version="3" zotero-version="10.0.1"&gt;&lt;session id="EcrzGlZx"/&gt;&lt;style id="http://www.zotero.org/styles/ieee" locale="pt-BR"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