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ESCOLA DE EDUCAÇÃO FÍSICA E ESPORTE DE RIBEIRÃO PRETO</w:t>
      </w:r>
    </w:p>
    <w:p w14:paraId="3B59E5D9">
      <w:pPr>
        <w:spacing w:line="360" w:lineRule="auto"/>
        <w:rPr>
          <w:rFonts w:hint="default" w:ascii="Times New Roman" w:hAnsi="Times New Roman" w:eastAsia="Times New Roman" w:cs="Times New Roman"/>
          <w:color w:val="auto"/>
        </w:rPr>
      </w:pPr>
    </w:p>
    <w:p w14:paraId="02D377FF">
      <w:pPr>
        <w:spacing w:line="360" w:lineRule="auto"/>
        <w:rPr>
          <w:rFonts w:hint="default" w:ascii="Times New Roman" w:hAnsi="Times New Roman" w:eastAsia="Times New Roman" w:cs="Times New Roman"/>
          <w:color w:val="auto"/>
        </w:rPr>
      </w:pPr>
    </w:p>
    <w:p w14:paraId="05AF3407">
      <w:pPr>
        <w:spacing w:line="360" w:lineRule="auto"/>
        <w:rPr>
          <w:rFonts w:hint="default" w:ascii="Times New Roman" w:hAnsi="Times New Roman" w:eastAsia="Times New Roman" w:cs="Times New Roman"/>
          <w:color w:val="auto"/>
        </w:rPr>
      </w:pPr>
    </w:p>
    <w:p w14:paraId="2D6BA17A">
      <w:pPr>
        <w:spacing w:line="360" w:lineRule="auto"/>
        <w:rPr>
          <w:rFonts w:hint="default" w:ascii="Times New Roman" w:hAnsi="Times New Roman" w:eastAsia="Times New Roman" w:cs="Times New Roman"/>
          <w:color w:val="auto"/>
        </w:rPr>
      </w:pPr>
    </w:p>
    <w:p w14:paraId="151E80E2">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GUILHERME DE PAULA LEMOS</w:t>
      </w:r>
    </w:p>
    <w:p w14:paraId="4E4311D7">
      <w:pPr>
        <w:spacing w:line="360" w:lineRule="auto"/>
        <w:rPr>
          <w:rFonts w:hint="default" w:ascii="Times New Roman" w:hAnsi="Times New Roman" w:eastAsia="Times New Roman" w:cs="Times New Roman"/>
          <w:color w:val="auto"/>
        </w:rPr>
      </w:pPr>
    </w:p>
    <w:p w14:paraId="7E103BFB">
      <w:pPr>
        <w:spacing w:line="360" w:lineRule="auto"/>
        <w:rPr>
          <w:rFonts w:hint="default" w:ascii="Times New Roman" w:hAnsi="Times New Roman" w:eastAsia="Times New Roman" w:cs="Times New Roman"/>
          <w:color w:val="auto"/>
        </w:rPr>
      </w:pPr>
    </w:p>
    <w:p w14:paraId="4FDA10A8">
      <w:pPr>
        <w:spacing w:line="360" w:lineRule="auto"/>
        <w:rPr>
          <w:rFonts w:hint="default" w:ascii="Times New Roman" w:hAnsi="Times New Roman" w:eastAsia="Times New Roman" w:cs="Times New Roman"/>
          <w:color w:val="auto"/>
        </w:rPr>
      </w:pPr>
    </w:p>
    <w:p w14:paraId="7BBDDC43">
      <w:pPr>
        <w:spacing w:line="360" w:lineRule="auto"/>
        <w:rPr>
          <w:rFonts w:hint="default" w:ascii="Times New Roman" w:hAnsi="Times New Roman" w:eastAsia="Times New Roman" w:cs="Times New Roman"/>
          <w:color w:val="auto"/>
        </w:rPr>
      </w:pPr>
    </w:p>
    <w:p w14:paraId="3DB7F15F">
      <w:pPr>
        <w:spacing w:line="360" w:lineRule="auto"/>
        <w:jc w:val="center"/>
        <w:rPr>
          <w:rFonts w:hint="default" w:ascii="Times New Roman" w:hAnsi="Times New Roman" w:eastAsia="Times New Roman" w:cs="Times New Roman"/>
          <w:i/>
          <w:color w:val="auto"/>
          <w:vertAlign w:val="superscript"/>
        </w:rPr>
      </w:pPr>
      <w:r>
        <w:rPr>
          <w:rFonts w:ascii="Times New Roman" w:hAnsi="Times New Roman" w:cs="Times New Roman"/>
          <w:color w:val="auto"/>
        </w:rPr>
        <w:t xml:space="preserve">ANÁLISE DE FATORES ASSOCIADOS AO DESEMPENHO NO </w:t>
      </w:r>
      <w:r>
        <w:rPr>
          <w:rFonts w:ascii="Times New Roman" w:hAnsi="Times New Roman" w:cs="Times New Roman"/>
          <w:i/>
          <w:iCs/>
          <w:color w:val="auto"/>
        </w:rPr>
        <w:t xml:space="preserve">HANDSTAND </w:t>
      </w:r>
      <w:r>
        <w:rPr>
          <w:rFonts w:ascii="Times New Roman" w:hAnsi="Times New Roman" w:cs="Times New Roman"/>
          <w:color w:val="auto"/>
        </w:rPr>
        <w:t xml:space="preserve">E </w:t>
      </w:r>
      <w:r>
        <w:rPr>
          <w:rFonts w:ascii="Times New Roman" w:hAnsi="Times New Roman" w:cs="Times New Roman"/>
          <w:i/>
          <w:iCs/>
          <w:color w:val="auto"/>
        </w:rPr>
        <w:t>HANDSTAND WALK</w:t>
      </w:r>
      <w:r>
        <w:rPr>
          <w:rFonts w:ascii="Times New Roman" w:hAnsi="Times New Roman" w:cs="Times New Roman"/>
          <w:color w:val="auto"/>
        </w:rPr>
        <w:t xml:space="preserve"> </w:t>
      </w:r>
    </w:p>
    <w:p w14:paraId="54B3AD3E">
      <w:pPr>
        <w:spacing w:line="360" w:lineRule="auto"/>
        <w:jc w:val="center"/>
        <w:rPr>
          <w:rFonts w:hint="default" w:ascii="Times New Roman" w:hAnsi="Times New Roman" w:eastAsia="Times New Roman" w:cs="Times New Roman"/>
          <w:color w:val="auto"/>
        </w:rPr>
      </w:pPr>
    </w:p>
    <w:p w14:paraId="0C09F44D">
      <w:pPr>
        <w:spacing w:line="360" w:lineRule="auto"/>
        <w:ind w:left="4320" w:right="18"/>
        <w:rPr>
          <w:rFonts w:hint="default" w:ascii="Times New Roman" w:hAnsi="Times New Roman" w:eastAsia="Times New Roman" w:cs="Times New Roman"/>
          <w:color w:val="auto"/>
        </w:rPr>
      </w:pPr>
      <w:r>
        <w:rPr>
          <w:rFonts w:ascii="Times New Roman" w:hAnsi="Times New Roman" w:cs="Times New Roman"/>
          <w:color w:val="auto"/>
        </w:rPr>
        <w:t>Candidato: Guilherme de Paula Lemos</w:t>
      </w:r>
    </w:p>
    <w:p w14:paraId="74EDDA1A">
      <w:pPr>
        <w:spacing w:line="360" w:lineRule="auto"/>
        <w:ind w:left="4320" w:right="18"/>
        <w:rPr>
          <w:rFonts w:hint="default" w:ascii="Times New Roman" w:hAnsi="Times New Roman" w:eastAsia="Times New Roman" w:cs="Times New Roman"/>
          <w:color w:val="auto"/>
        </w:rPr>
      </w:pPr>
      <w:r>
        <w:rPr>
          <w:rFonts w:ascii="Times New Roman" w:hAnsi="Times New Roman" w:cs="Times New Roman"/>
          <w:color w:val="auto"/>
        </w:rPr>
        <w:t>Orientador: Matheus Machado Gomes</w:t>
      </w:r>
    </w:p>
    <w:p w14:paraId="63D5171F">
      <w:pPr>
        <w:spacing w:line="360" w:lineRule="auto"/>
        <w:ind w:left="4320" w:right="18"/>
        <w:rPr>
          <w:rFonts w:hint="default" w:ascii="Times New Roman" w:hAnsi="Times New Roman" w:eastAsia="Times New Roman" w:cs="Times New Roman"/>
          <w:color w:val="auto"/>
        </w:rPr>
      </w:pPr>
      <w:r>
        <w:rPr>
          <w:rFonts w:ascii="Times New Roman" w:hAnsi="Times New Roman" w:cs="Times New Roman"/>
          <w:color w:val="auto"/>
        </w:rPr>
        <w:t xml:space="preserve">Linha de Pesquisa: </w:t>
      </w:r>
      <w:r>
        <w:rPr>
          <w:rFonts w:ascii="Times New Roman" w:hAnsi="Times New Roman" w:cs="Times New Roman"/>
          <w:i/>
          <w:iCs/>
          <w:color w:val="auto"/>
        </w:rPr>
        <w:t>Aspectos biodinâmicos da atividade física e do esporte</w:t>
      </w:r>
    </w:p>
    <w:p w14:paraId="00E4EDE3">
      <w:pPr>
        <w:spacing w:line="360" w:lineRule="auto"/>
        <w:rPr>
          <w:rFonts w:hint="default" w:ascii="Times New Roman" w:hAnsi="Times New Roman" w:eastAsia="Times New Roman" w:cs="Times New Roman"/>
          <w:color w:val="auto"/>
        </w:rPr>
      </w:pPr>
    </w:p>
    <w:p w14:paraId="6986C6F9">
      <w:pPr>
        <w:spacing w:line="360" w:lineRule="auto"/>
        <w:rPr>
          <w:rFonts w:hint="default" w:ascii="Times New Roman" w:hAnsi="Times New Roman" w:eastAsia="Times New Roman" w:cs="Times New Roman"/>
          <w:color w:val="auto"/>
        </w:rPr>
      </w:pPr>
    </w:p>
    <w:p w14:paraId="728C306C">
      <w:pPr>
        <w:spacing w:line="360" w:lineRule="auto"/>
        <w:rPr>
          <w:rFonts w:hint="default" w:ascii="Times New Roman" w:hAnsi="Times New Roman" w:eastAsia="Times New Roman" w:cs="Times New Roman"/>
          <w:color w:val="auto"/>
        </w:rPr>
      </w:pPr>
    </w:p>
    <w:p w14:paraId="072A8F1B">
      <w:pPr>
        <w:spacing w:line="360" w:lineRule="auto"/>
        <w:rPr>
          <w:rFonts w:hint="default" w:ascii="Times New Roman" w:hAnsi="Times New Roman" w:eastAsia="Times New Roman" w:cs="Times New Roman"/>
          <w:color w:val="auto"/>
        </w:rPr>
      </w:pPr>
    </w:p>
    <w:p w14:paraId="06C0B9A2">
      <w:pPr>
        <w:spacing w:line="360" w:lineRule="auto"/>
        <w:rPr>
          <w:rFonts w:hint="default" w:ascii="Times New Roman" w:hAnsi="Times New Roman" w:eastAsia="Times New Roman" w:cs="Times New Roman"/>
          <w:color w:val="auto"/>
        </w:rPr>
      </w:pPr>
    </w:p>
    <w:p w14:paraId="2A9E1F85">
      <w:pPr>
        <w:spacing w:line="360" w:lineRule="auto"/>
        <w:rPr>
          <w:rFonts w:hint="default" w:ascii="Times New Roman" w:hAnsi="Times New Roman" w:eastAsia="Times New Roman" w:cs="Times New Roman"/>
          <w:color w:val="auto"/>
        </w:rPr>
      </w:pPr>
    </w:p>
    <w:p w14:paraId="0F2BF67B">
      <w:pPr>
        <w:spacing w:line="360" w:lineRule="auto"/>
        <w:rPr>
          <w:rFonts w:hint="default" w:ascii="Times New Roman" w:hAnsi="Times New Roman" w:eastAsia="Times New Roman" w:cs="Times New Roman"/>
          <w:color w:val="auto"/>
        </w:rPr>
      </w:pPr>
    </w:p>
    <w:p w14:paraId="249B72E6">
      <w:pPr>
        <w:spacing w:line="360" w:lineRule="auto"/>
        <w:rPr>
          <w:rFonts w:hint="default" w:ascii="Times New Roman" w:hAnsi="Times New Roman" w:eastAsia="Times New Roman" w:cs="Times New Roman"/>
          <w:color w:val="auto"/>
        </w:rPr>
      </w:pPr>
    </w:p>
    <w:p w14:paraId="7A93AD74">
      <w:pPr>
        <w:spacing w:line="360" w:lineRule="auto"/>
        <w:rPr>
          <w:rFonts w:hint="default" w:ascii="Times New Roman" w:hAnsi="Times New Roman" w:eastAsia="Times New Roman" w:cs="Times New Roman"/>
          <w:color w:val="auto"/>
        </w:rPr>
      </w:pPr>
    </w:p>
    <w:p w14:paraId="0E723B6C">
      <w:pPr>
        <w:spacing w:line="360" w:lineRule="auto"/>
        <w:rPr>
          <w:rFonts w:hint="default" w:ascii="Times New Roman" w:hAnsi="Times New Roman" w:eastAsia="Times New Roman" w:cs="Times New Roman"/>
          <w:color w:val="auto"/>
        </w:rPr>
      </w:pPr>
    </w:p>
    <w:p w14:paraId="4F5E5083">
      <w:pPr>
        <w:spacing w:line="360" w:lineRule="auto"/>
        <w:rPr>
          <w:rFonts w:hint="default" w:ascii="Times New Roman" w:hAnsi="Times New Roman" w:eastAsia="Times New Roman" w:cs="Times New Roman"/>
          <w:color w:val="auto"/>
        </w:rPr>
      </w:pPr>
    </w:p>
    <w:p w14:paraId="704386DB">
      <w:pPr>
        <w:spacing w:line="360" w:lineRule="auto"/>
        <w:rPr>
          <w:rFonts w:hint="default" w:ascii="Times New Roman" w:hAnsi="Times New Roman" w:eastAsia="Times New Roman" w:cs="Times New Roman"/>
          <w:color w:val="auto"/>
        </w:rPr>
      </w:pPr>
    </w:p>
    <w:p w14:paraId="69997485">
      <w:pPr>
        <w:spacing w:line="360" w:lineRule="auto"/>
        <w:rPr>
          <w:rFonts w:hint="default" w:ascii="Times New Roman" w:hAnsi="Times New Roman" w:eastAsia="Times New Roman" w:cs="Times New Roman"/>
          <w:color w:val="auto"/>
        </w:rPr>
      </w:pPr>
    </w:p>
    <w:p w14:paraId="3F1800FC">
      <w:pPr>
        <w:spacing w:line="360" w:lineRule="auto"/>
        <w:jc w:val="center"/>
        <w:rPr>
          <w:rFonts w:hint="default" w:ascii="Times New Roman" w:hAnsi="Times New Roman" w:eastAsia="Times New Roman" w:cs="Times New Roman"/>
          <w:color w:val="auto"/>
        </w:rPr>
      </w:pPr>
      <w:r>
        <w:rPr>
          <w:rFonts w:ascii="Times New Roman" w:hAnsi="Times New Roman" w:cs="Times New Roman"/>
          <w:color w:val="auto"/>
        </w:rPr>
        <w:t xml:space="preserve">Ribeirão Preto - </w:t>
      </w:r>
      <w:r>
        <w:rPr>
          <w:rFonts w:ascii="Times New Roman" w:hAnsi="Times New Roman" w:cs="Times New Roman"/>
          <w:i/>
          <w:iCs/>
          <w:color w:val="auto"/>
        </w:rPr>
        <w:t>SP</w:t>
      </w:r>
    </w:p>
    <w:p w14:paraId="16EAA841">
      <w:pPr>
        <w:spacing w:line="360" w:lineRule="auto"/>
        <w:jc w:val="center"/>
        <w:rPr>
          <w:rFonts w:hint="default" w:ascii="Times New Roman" w:hAnsi="Times New Roman" w:eastAsia="Times New Roman" w:cs="Times New Roman"/>
          <w:color w:val="auto"/>
        </w:rPr>
        <w:sectPr>
          <w:pgSz w:w="11906" w:h="16838"/>
          <w:pgMar w:top="1418" w:right="1418" w:bottom="1418" w:left="1418" w:header="0" w:footer="0" w:gutter="0"/>
          <w:pgNumType w:start="1"/>
          <w:cols w:space="720" w:num="1"/>
          <w:formProt w:val="0"/>
          <w:docGrid w:linePitch="100" w:charSpace="0"/>
        </w:sectPr>
      </w:pPr>
      <w:r>
        <w:rPr>
          <w:rFonts w:ascii="Times New Roman" w:hAnsi="Times New Roman" w:cs="Times New Roman"/>
          <w:color w:val="auto"/>
        </w:rPr>
        <w:t>2026</w:t>
      </w:r>
    </w:p>
    <w:p w14:paraId="43457DE2">
      <w:pPr>
        <w:spacing w:line="360" w:lineRule="auto"/>
        <w:jc w:val="center"/>
        <w:rPr>
          <w:rFonts w:hint="default" w:ascii="Times New Roman" w:hAnsi="Times New Roman" w:eastAsia="Times New Roman" w:cs="Times New Roman"/>
          <w:i/>
          <w:color w:val="auto"/>
          <w:vertAlign w:val="superscript"/>
        </w:rPr>
      </w:pPr>
      <w:bookmarkStart w:id="1" w:name="_heading=h.o5ku8cknwnit"/>
      <w:bookmarkEnd w:id="1"/>
      <w:r>
        <w:rPr>
          <w:rFonts w:ascii="Times New Roman" w:hAnsi="Times New Roman" w:cs="Times New Roman"/>
          <w:color w:val="auto"/>
        </w:rPr>
        <w:t xml:space="preserve">ANÁLISE DE FATORES ASSOCIADOS AO DESEMPENHO NO </w:t>
      </w:r>
      <w:r>
        <w:rPr>
          <w:rFonts w:ascii="Times New Roman" w:hAnsi="Times New Roman" w:cs="Times New Roman"/>
          <w:i/>
          <w:iCs/>
          <w:color w:val="auto"/>
        </w:rPr>
        <w:t xml:space="preserve">HANDSTAND </w:t>
      </w:r>
      <w:r>
        <w:rPr>
          <w:rFonts w:ascii="Times New Roman" w:hAnsi="Times New Roman" w:cs="Times New Roman"/>
          <w:color w:val="auto"/>
        </w:rPr>
        <w:t xml:space="preserve">E </w:t>
      </w:r>
      <w:r>
        <w:rPr>
          <w:rFonts w:ascii="Times New Roman" w:hAnsi="Times New Roman" w:cs="Times New Roman"/>
          <w:i/>
          <w:iCs/>
          <w:color w:val="auto"/>
        </w:rPr>
        <w:t>HANDSTAND WALK</w:t>
      </w:r>
      <w:r>
        <w:rPr>
          <w:rFonts w:ascii="Times New Roman" w:hAnsi="Times New Roman" w:cs="Times New Roman"/>
          <w:color w:val="auto"/>
        </w:rPr>
        <w:t xml:space="preserve"> </w:t>
      </w:r>
    </w:p>
    <w:p w14:paraId="5BFB30C0">
      <w:pPr>
        <w:spacing w:line="360" w:lineRule="auto"/>
        <w:jc w:val="left"/>
        <w:rPr>
          <w:rFonts w:hint="default" w:ascii="Times New Roman" w:hAnsi="Times New Roman" w:eastAsia="Times New Roman" w:cs="Times New Roman"/>
          <w:b/>
          <w:color w:val="auto"/>
        </w:rPr>
      </w:pPr>
      <w:r>
        <w:rPr>
          <w:rFonts w:ascii="Times New Roman" w:hAnsi="Times New Roman" w:cs="Times New Roman"/>
          <w:b/>
          <w:bCs/>
          <w:color w:val="auto"/>
        </w:rPr>
        <w:t>RESUMO</w:t>
      </w:r>
    </w:p>
    <w:p w14:paraId="092F70AB">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O </w:t>
      </w:r>
      <w:r>
        <w:rPr>
          <w:rFonts w:ascii="Times New Roman" w:hAnsi="Times New Roman" w:cs="Times New Roman"/>
          <w:i/>
          <w:iCs/>
          <w:color w:val="auto"/>
        </w:rPr>
        <w:t>handstand (HS)</w:t>
      </w:r>
      <w:r>
        <w:rPr>
          <w:rFonts w:ascii="Times New Roman" w:hAnsi="Times New Roman" w:cs="Times New Roman"/>
          <w:color w:val="auto"/>
        </w:rPr>
        <w:t xml:space="preserve"> é uma tarefa motora caracterizada pelo equilíbrio estático em posição invertida sobre as mãos, enquanto o </w:t>
      </w:r>
      <w:r>
        <w:rPr>
          <w:rFonts w:ascii="Times New Roman" w:hAnsi="Times New Roman" w:cs="Times New Roman"/>
          <w:i/>
          <w:iCs/>
          <w:color w:val="auto"/>
        </w:rPr>
        <w:t>handstand walk (HSW)</w:t>
      </w:r>
      <w:r>
        <w:rPr>
          <w:rFonts w:ascii="Times New Roman" w:hAnsi="Times New Roman" w:cs="Times New Roman"/>
          <w:color w:val="auto"/>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ascii="Times New Roman" w:hAnsi="Times New Roman" w:cs="Times New Roman"/>
          <w:i/>
          <w:iCs/>
          <w:color w:val="auto"/>
        </w:rPr>
        <w:t>HS</w:t>
      </w:r>
      <w:r>
        <w:rPr>
          <w:rFonts w:ascii="Times New Roman" w:hAnsi="Times New Roman" w:cs="Times New Roman"/>
          <w:color w:val="auto"/>
        </w:rPr>
        <w:t xml:space="preserve"> e o </w:t>
      </w:r>
      <w:r>
        <w:rPr>
          <w:rFonts w:ascii="Times New Roman" w:hAnsi="Times New Roman" w:cs="Times New Roman"/>
          <w:i/>
          <w:iCs/>
          <w:color w:val="auto"/>
        </w:rPr>
        <w:t>HSW</w:t>
      </w:r>
      <w:r>
        <w:rPr>
          <w:rFonts w:ascii="Times New Roman" w:hAnsi="Times New Roman" w:cs="Times New Roman"/>
          <w:color w:val="auto"/>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ascii="Times New Roman" w:hAnsi="Times New Roman" w:cs="Times New Roman"/>
          <w:i/>
          <w:iCs/>
          <w:color w:val="auto"/>
        </w:rPr>
        <w:t>HS</w:t>
      </w:r>
      <w:r>
        <w:rPr>
          <w:rFonts w:ascii="Times New Roman" w:hAnsi="Times New Roman" w:cs="Times New Roman"/>
          <w:color w:val="auto"/>
        </w:rPr>
        <w:t xml:space="preserve"> e/ou </w:t>
      </w:r>
      <w:r>
        <w:rPr>
          <w:rFonts w:ascii="Times New Roman" w:hAnsi="Times New Roman" w:cs="Times New Roman"/>
          <w:i/>
          <w:iCs/>
          <w:color w:val="auto"/>
        </w:rPr>
        <w:t>HSW</w:t>
      </w:r>
      <w:r>
        <w:rPr>
          <w:rFonts w:ascii="Times New Roman" w:hAnsi="Times New Roman" w:cs="Times New Roman"/>
          <w:color w:val="auto"/>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ascii="Times New Roman" w:hAnsi="Times New Roman" w:cs="Times New Roman"/>
          <w:i/>
          <w:iCs/>
          <w:color w:val="auto"/>
        </w:rPr>
        <w:t>shoulder press</w:t>
      </w:r>
      <w:r>
        <w:rPr>
          <w:rFonts w:ascii="Times New Roman" w:hAnsi="Times New Roman" w:cs="Times New Roman"/>
          <w:color w:val="auto"/>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ascii="Times New Roman" w:hAnsi="Times New Roman" w:cs="Times New Roman"/>
          <w:i/>
          <w:iCs/>
          <w:color w:val="auto"/>
        </w:rPr>
        <w:t>HSW</w:t>
      </w:r>
      <w:r>
        <w:rPr>
          <w:rFonts w:ascii="Times New Roman" w:hAnsi="Times New Roman" w:cs="Times New Roman"/>
          <w:color w:val="auto"/>
        </w:rPr>
        <w:t xml:space="preserve">, como tempo, velocidade, cadência e variabilidade espacial e temporal das passadas. No </w:t>
      </w:r>
      <w:r>
        <w:rPr>
          <w:rFonts w:ascii="Times New Roman" w:hAnsi="Times New Roman" w:cs="Times New Roman"/>
          <w:i/>
          <w:iCs/>
          <w:color w:val="auto"/>
        </w:rPr>
        <w:t>HS</w:t>
      </w:r>
      <w:r>
        <w:rPr>
          <w:rFonts w:ascii="Times New Roman" w:hAnsi="Times New Roman" w:cs="Times New Roman"/>
          <w:color w:val="auto"/>
        </w:rPr>
        <w:t xml:space="preserve">, o desempenho será avaliado pelo melhor tempo de sustentação (pico) na condição assistida e pelo sucesso na estabilização de entradas livres, enquanto no </w:t>
      </w:r>
      <w:r>
        <w:rPr>
          <w:rFonts w:ascii="Times New Roman" w:hAnsi="Times New Roman" w:cs="Times New Roman"/>
          <w:i/>
          <w:iCs/>
          <w:color w:val="auto"/>
        </w:rPr>
        <w:t>HSW</w:t>
      </w:r>
      <w:r>
        <w:rPr>
          <w:rFonts w:ascii="Times New Roman" w:hAnsi="Times New Roman" w:cs="Times New Roman"/>
          <w:color w:val="auto"/>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color w:val="auto"/>
        </w:rPr>
      </w:pPr>
    </w:p>
    <w:p w14:paraId="222B9E07">
      <w:pPr>
        <w:spacing w:line="360" w:lineRule="auto"/>
        <w:rPr>
          <w:rFonts w:hint="default" w:ascii="Times New Roman" w:hAnsi="Times New Roman" w:eastAsia="Times New Roman" w:cs="Times New Roman"/>
          <w:color w:val="auto"/>
          <w:lang w:val="en-US"/>
        </w:rPr>
      </w:pPr>
      <w:r>
        <w:rPr>
          <w:rFonts w:ascii="Times New Roman" w:hAnsi="Times New Roman" w:cs="Times New Roman"/>
          <w:color w:val="auto"/>
        </w:rPr>
        <w:t xml:space="preserve">Palavras-chave: Parada de mãos; Andar sobre as mãos; Ginástica; </w:t>
      </w:r>
      <w:r>
        <w:rPr>
          <w:rFonts w:ascii="Times New Roman" w:hAnsi="Times New Roman" w:cs="Times New Roman"/>
          <w:i/>
          <w:iCs/>
          <w:color w:val="auto"/>
        </w:rPr>
        <w:t>CrossFit</w:t>
      </w:r>
      <w:r>
        <w:rPr>
          <w:rFonts w:ascii="Times New Roman" w:hAnsi="Times New Roman" w:cs="Times New Roman"/>
          <w:color w:val="auto"/>
        </w:rPr>
        <w:t>®; Calistenia.</w:t>
      </w:r>
    </w:p>
    <w:p w14:paraId="7E5A4316">
      <w:pPr>
        <w:pStyle w:val="2"/>
        <w:numPr>
          <w:ilvl w:val="0"/>
          <w:numId w:val="1"/>
        </w:numPr>
        <w:spacing w:line="360" w:lineRule="auto"/>
        <w:ind w:left="720" w:hanging="360"/>
        <w:rPr>
          <w:rFonts w:hint="default" w:ascii="Times New Roman" w:hAnsi="Times New Roman" w:eastAsia="Times New Roman" w:cs="Times New Roman"/>
          <w:color w:val="auto"/>
        </w:rPr>
      </w:pPr>
      <w:r>
        <w:rPr>
          <w:rFonts w:ascii="Times New Roman" w:hAnsi="Times New Roman" w:cs="Times New Roman"/>
          <w:color w:val="auto"/>
        </w:rPr>
        <w:t>INTRODUÇÃO</w:t>
      </w:r>
    </w:p>
    <w:p w14:paraId="67CCAD4F">
      <w:pPr>
        <w:spacing w:line="360" w:lineRule="auto"/>
        <w:ind w:firstLine="360"/>
        <w:rPr>
          <w:rFonts w:hint="default" w:ascii="Times New Roman" w:hAnsi="Times New Roman" w:eastAsia="Times New Roman" w:cs="Times New Roman"/>
          <w:color w:val="auto"/>
        </w:rPr>
      </w:pPr>
      <w:r>
        <w:rPr>
          <w:rFonts w:ascii="Times New Roman" w:hAnsi="Times New Roman" w:cs="Times New Roman"/>
          <w:i/>
          <w:iCs/>
          <w:color w:val="auto"/>
        </w:rPr>
        <w:t xml:space="preserve">Handstand (HS) </w:t>
      </w:r>
      <w:r>
        <w:rPr>
          <w:rFonts w:ascii="Times New Roman" w:hAnsi="Times New Roman" w:cs="Times New Roman"/>
          <w:color w:val="auto"/>
        </w:rPr>
        <w:t xml:space="preserve">constitui uma tarefa motora de equilíbrio estático em posição invertida sobre as mãos enquanto </w:t>
      </w:r>
      <w:r>
        <w:rPr>
          <w:rFonts w:ascii="Times New Roman" w:hAnsi="Times New Roman" w:cs="Times New Roman"/>
          <w:i/>
          <w:iCs/>
          <w:color w:val="auto"/>
        </w:rPr>
        <w:t xml:space="preserve">Handstand Walking (HSW) </w:t>
      </w:r>
      <w:r>
        <w:rPr>
          <w:rFonts w:ascii="Times New Roman" w:hAnsi="Times New Roman" w:cs="Times New Roman"/>
          <w:color w:val="auto"/>
        </w:rPr>
        <w:t xml:space="preserve">é caracterizado por um equilíbrio dinâmico em posição invertida sobre as mãos gerando um deslocamento. Ambos são considerados elementos essenciais da ginástica artística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 também estão presentes em diversas outras modalidades como, por exemplo, calistenia, </w:t>
      </w:r>
      <w:r>
        <w:rPr>
          <w:rFonts w:ascii="Times New Roman" w:hAnsi="Times New Roman" w:cs="Times New Roman"/>
          <w:i/>
          <w:iCs/>
          <w:color w:val="auto"/>
        </w:rPr>
        <w:t>CrossFit®</w:t>
      </w:r>
      <w:r>
        <w:rPr>
          <w:rFonts w:ascii="Times New Roman" w:hAnsi="Times New Roman" w:cs="Times New Roman"/>
          <w:color w:val="auto"/>
        </w:rPr>
        <w:t xml:space="preserve">, yoga, 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p>
    <w:p w14:paraId="32219587">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Há vários trabalhos relacionados ao </w:t>
      </w:r>
      <w:r>
        <w:rPr>
          <w:rFonts w:ascii="Times New Roman" w:hAnsi="Times New Roman" w:cs="Times New Roman"/>
          <w:i/>
          <w:iCs/>
          <w:color w:val="auto"/>
        </w:rPr>
        <w:t>HS</w:t>
      </w:r>
      <w:r>
        <w:rPr>
          <w:rFonts w:ascii="Times New Roman" w:hAnsi="Times New Roman" w:cs="Times New Roman"/>
          <w:color w:val="auto"/>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[3], [4]</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 </w:t>
      </w:r>
      <w:r>
        <w:rPr>
          <w:rFonts w:ascii="Times New Roman" w:hAnsi="Times New Roman" w:cs="Times New Roman"/>
          <w:i/>
          <w:iCs/>
          <w:color w:val="auto"/>
        </w:rPr>
        <w:t xml:space="preserve">HS </w:t>
      </w:r>
      <w:r>
        <w:rPr>
          <w:rFonts w:ascii="Times New Roman" w:hAnsi="Times New Roman" w:cs="Times New Roman"/>
          <w:color w:val="auto"/>
        </w:rPr>
        <w:t>apresenta alta variabilidade articular, especialmente em ombros, punhos e quadris, enquanto o CoM e o CoP permanecem estáveis, evidenciando que a estabilidade é resultado do ajuste coletivo entre segmentos</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 [3], [7]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ascii="Times New Roman" w:hAnsi="Times New Roman" w:cs="Times New Roman"/>
          <w:color w:val="auto"/>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ascii="Times New Roman" w:hAnsi="Times New Roman" w:cs="Times New Roman"/>
          <w:color w:val="auto"/>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[5]</w:t>
      </w:r>
      <w:r>
        <w:rPr>
          <w:rFonts w:hint="default" w:ascii="Times New Roman" w:hAnsi="Times New Roman" w:cs="Times New Roman"/>
          <w:color w:val="auto"/>
        </w:rPr>
        <w:fldChar w:fldCharType="end"/>
      </w:r>
      <w:r>
        <w:rPr>
          <w:rFonts w:ascii="Times New Roman" w:hAnsi="Times New Roman" w:cs="Times New Roman"/>
          <w:color w:val="auto"/>
        </w:rPr>
        <w:t>. Ginastas mais experientes apresentam menor deslocamento do CoP e possuem ativação muscular mais eficiente</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 padrão de ativação muscular é adaptativo, durante maior instabilidade, há incremento da coativação para reforçar a rigidez articular, indicando que a manutenção do </w:t>
      </w:r>
      <w:r>
        <w:rPr>
          <w:rFonts w:ascii="Times New Roman" w:hAnsi="Times New Roman" w:cs="Times New Roman"/>
          <w:i/>
          <w:iCs/>
          <w:color w:val="auto"/>
        </w:rPr>
        <w:t>HS</w:t>
      </w:r>
      <w:r>
        <w:rPr>
          <w:rFonts w:ascii="Times New Roman" w:hAnsi="Times New Roman" w:cs="Times New Roman"/>
          <w:color w:val="auto"/>
        </w:rPr>
        <w:t xml:space="preserve"> requer não apenas força, mas a otimização da coordenação muscular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[11], [12]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Além disso, análise cinemática com ginastas experientes mostrou que a capacidade de se manter na </w:t>
      </w:r>
      <w:r>
        <w:rPr>
          <w:rFonts w:ascii="Times New Roman" w:hAnsi="Times New Roman" w:cs="Times New Roman"/>
          <w:i/>
          <w:iCs/>
          <w:color w:val="auto"/>
        </w:rPr>
        <w:t xml:space="preserve">HS </w:t>
      </w:r>
      <w:r>
        <w:rPr>
          <w:rFonts w:ascii="Times New Roman" w:hAnsi="Times New Roman" w:cs="Times New Roman"/>
          <w:color w:val="auto"/>
        </w:rPr>
        <w:t xml:space="preserve">está associado ao alinhamento corporal, sobretudo à sobreposição de ombros e quadris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[13], [14]</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ascii="Times New Roman" w:hAnsi="Times New Roman" w:cs="Times New Roman"/>
          <w:color w:val="auto"/>
        </w:rPr>
        <w:t xml:space="preserve">. Quanto à configuração da base de suporte, um estudo com o </w:t>
      </w:r>
      <w:r>
        <w:rPr>
          <w:rFonts w:ascii="Times New Roman" w:hAnsi="Times New Roman" w:cs="Times New Roman"/>
          <w:i/>
          <w:iCs/>
          <w:color w:val="auto"/>
        </w:rPr>
        <w:t>HS</w:t>
      </w:r>
      <w:r>
        <w:rPr>
          <w:rFonts w:ascii="Times New Roman" w:hAnsi="Times New Roman" w:cs="Times New Roman"/>
          <w:color w:val="auto"/>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ascii="Times New Roman" w:hAnsi="Times New Roman" w:cs="Times New Roman"/>
          <w:color w:val="auto"/>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A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ascii="Times New Roman" w:hAnsi="Times New Roman" w:cs="Times New Roman"/>
          <w:color w:val="auto"/>
        </w:rPr>
        <w:t xml:space="preserve">. Além dos ajustes mecânicos, o controle sensorial desempenha um papel determinante na estabilização da postura invertida. Estudos clássicos demonstram que o </w:t>
      </w:r>
      <w:r>
        <w:rPr>
          <w:rFonts w:ascii="Times New Roman" w:hAnsi="Times New Roman" w:cs="Times New Roman"/>
          <w:i/>
          <w:iCs/>
          <w:color w:val="auto"/>
        </w:rPr>
        <w:t>HS</w:t>
      </w:r>
      <w:r>
        <w:rPr>
          <w:rFonts w:ascii="Times New Roman" w:hAnsi="Times New Roman" w:cs="Times New Roman"/>
          <w:color w:val="auto"/>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[13],[25]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 fadiga muscular, como seria de se esperar, tem um grande impacto negativo sobre o </w:t>
      </w:r>
      <w:r>
        <w:rPr>
          <w:rFonts w:ascii="Times New Roman" w:hAnsi="Times New Roman" w:cs="Times New Roman"/>
          <w:i/>
          <w:iCs/>
          <w:color w:val="auto"/>
        </w:rPr>
        <w:t>HS</w:t>
      </w:r>
      <w:r>
        <w:rPr>
          <w:rFonts w:ascii="Times New Roman" w:hAnsi="Times New Roman" w:cs="Times New Roman"/>
          <w:color w:val="auto"/>
        </w:rPr>
        <w:t xml:space="preserve">, sugerindo que quanto maior a resistência muscular, maior a capacidade de manter o equilíbrio nessa posição. 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[19]</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Outros fatores psicológicos também influenciam na qualidade do equilíbrio: em ginastas com maior ansiedade, observou-se pior desempenho, com maiores oscilações posturais. Já atletas com maior autoconfiança apresentaram maior tempo de sustentação e menor variabilidade postural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Estudos comparando ginastas juniores e seniores demonstraram que a experiência esportiva se traduz em maior estabilidade tanto em pé quanto em posição invertida, indicando que o nível de equilíbrio no </w:t>
      </w:r>
      <w:r>
        <w:rPr>
          <w:rFonts w:ascii="Times New Roman" w:hAnsi="Times New Roman" w:cs="Times New Roman"/>
          <w:i/>
          <w:iCs/>
          <w:color w:val="auto"/>
        </w:rPr>
        <w:t>HS</w:t>
      </w:r>
      <w:r>
        <w:rPr>
          <w:rFonts w:ascii="Times New Roman" w:hAnsi="Times New Roman" w:cs="Times New Roman"/>
          <w:color w:val="auto"/>
        </w:rPr>
        <w:t xml:space="preserve"> funciona como um parâmetro de desenvolvimento técnico e de desempenho competitivo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[21], [22]</w:t>
      </w:r>
      <w:r>
        <w:rPr>
          <w:rFonts w:hint="default" w:ascii="Times New Roman" w:hAnsi="Times New Roman" w:cs="Times New Roman"/>
          <w:color w:val="auto"/>
        </w:rPr>
        <w:fldChar w:fldCharType="end"/>
      </w:r>
      <w:r>
        <w:rPr>
          <w:rFonts w:ascii="Times New Roman" w:hAnsi="Times New Roman" w:cs="Times New Roman"/>
          <w:color w:val="auto"/>
        </w:rPr>
        <w:t>.</w:t>
      </w:r>
    </w:p>
    <w:p w14:paraId="4D72301D">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Em relação ao </w:t>
      </w:r>
      <w:r>
        <w:rPr>
          <w:rFonts w:ascii="Times New Roman" w:hAnsi="Times New Roman" w:cs="Times New Roman"/>
          <w:i/>
          <w:iCs/>
          <w:color w:val="auto"/>
        </w:rPr>
        <w:t xml:space="preserve">HSW </w:t>
      </w:r>
      <w:r>
        <w:rPr>
          <w:rFonts w:ascii="Times New Roman" w:hAnsi="Times New Roman" w:cs="Times New Roman"/>
          <w:color w:val="auto"/>
        </w:rPr>
        <w:t>estudos demonstram que a iniciação movimento envolve ajustes posturais antecipatórios (</w:t>
      </w:r>
      <w:r>
        <w:rPr>
          <w:rFonts w:ascii="Times New Roman" w:hAnsi="Times New Roman" w:cs="Times New Roman"/>
          <w:i/>
          <w:iCs/>
          <w:color w:val="auto"/>
        </w:rPr>
        <w:t>APAs</w:t>
      </w:r>
      <w:r>
        <w:rPr>
          <w:rFonts w:ascii="Times New Roman" w:hAnsi="Times New Roman" w:cs="Times New Roman"/>
          <w:color w:val="auto"/>
        </w:rPr>
        <w:t xml:space="preserve">) que promovem um deslocamento intencional do CoP, por estratégias posteriores ou anteriores, para propulsionar o centro de massa (CoM) à frente. 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Além disso, verificou-se que a aplicação de uma carga externa nos tornozelos não alterou o padrão desses </w:t>
      </w:r>
      <w:r>
        <w:rPr>
          <w:rFonts w:ascii="Times New Roman" w:hAnsi="Times New Roman" w:cs="Times New Roman"/>
          <w:i/>
          <w:iCs/>
          <w:color w:val="auto"/>
        </w:rPr>
        <w:t>APAs</w:t>
      </w:r>
      <w:r>
        <w:rPr>
          <w:rFonts w:ascii="Times New Roman" w:hAnsi="Times New Roman" w:cs="Times New Roman"/>
          <w:color w:val="auto"/>
        </w:rPr>
        <w:t xml:space="preserve">,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Embora a cadência do </w:t>
      </w:r>
      <w:r>
        <w:rPr>
          <w:rFonts w:ascii="Times New Roman" w:hAnsi="Times New Roman" w:cs="Times New Roman"/>
          <w:i/>
          <w:iCs/>
          <w:color w:val="auto"/>
        </w:rPr>
        <w:t>HSW</w:t>
      </w:r>
      <w:r>
        <w:rPr>
          <w:rFonts w:ascii="Times New Roman" w:hAnsi="Times New Roman" w:cs="Times New Roman"/>
          <w:color w:val="auto"/>
        </w:rPr>
        <w:t xml:space="preserve"> se assemelhe à da marcha bípede, o </w:t>
      </w:r>
      <w:r>
        <w:rPr>
          <w:rFonts w:ascii="Times New Roman" w:hAnsi="Times New Roman" w:cs="Times New Roman"/>
          <w:i/>
          <w:iCs/>
          <w:color w:val="auto"/>
        </w:rPr>
        <w:t>HSW</w:t>
      </w:r>
      <w:r>
        <w:rPr>
          <w:rFonts w:ascii="Times New Roman" w:hAnsi="Times New Roman" w:cs="Times New Roman"/>
          <w:color w:val="auto"/>
        </w:rPr>
        <w:t xml:space="preserve"> é caracterizado por</w:t>
      </w:r>
      <w:r>
        <w:rPr>
          <w:rFonts w:ascii="Times New Roman" w:hAnsi="Times New Roman" w:cs="Times New Roman"/>
          <w:b/>
          <w:bCs/>
          <w:color w:val="auto"/>
        </w:rPr>
        <w:t xml:space="preserve"> </w:t>
      </w:r>
      <w:r>
        <w:rPr>
          <w:rFonts w:ascii="Times New Roman" w:hAnsi="Times New Roman" w:cs="Times New Roman"/>
          <w:color w:val="auto"/>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 contraste ao </w:t>
      </w:r>
      <w:r>
        <w:rPr>
          <w:rFonts w:ascii="Times New Roman" w:hAnsi="Times New Roman" w:cs="Times New Roman"/>
          <w:i/>
          <w:iCs/>
          <w:color w:val="auto"/>
        </w:rPr>
        <w:t>HS</w:t>
      </w:r>
      <w:r>
        <w:rPr>
          <w:rFonts w:ascii="Times New Roman" w:hAnsi="Times New Roman" w:cs="Times New Roman"/>
          <w:color w:val="auto"/>
        </w:rPr>
        <w:t xml:space="preserve">, o </w:t>
      </w:r>
      <w:r>
        <w:rPr>
          <w:rFonts w:ascii="Times New Roman" w:hAnsi="Times New Roman" w:cs="Times New Roman"/>
          <w:i/>
          <w:iCs/>
          <w:color w:val="auto"/>
        </w:rPr>
        <w:t>HSW</w:t>
      </w:r>
      <w:r>
        <w:rPr>
          <w:rFonts w:ascii="Times New Roman" w:hAnsi="Times New Roman" w:cs="Times New Roman"/>
          <w:color w:val="auto"/>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 </w:t>
      </w:r>
    </w:p>
    <w:p w14:paraId="30AC9ABC">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Sendo assim, torna-se relevante examinar de maneira integrada as variáveis que influenciam o desempenho tanto no </w:t>
      </w:r>
      <w:r>
        <w:rPr>
          <w:rFonts w:ascii="Times New Roman" w:hAnsi="Times New Roman" w:cs="Times New Roman"/>
          <w:i/>
          <w:iCs/>
          <w:color w:val="auto"/>
        </w:rPr>
        <w:t>HS</w:t>
      </w:r>
      <w:r>
        <w:rPr>
          <w:rFonts w:ascii="Times New Roman" w:hAnsi="Times New Roman" w:cs="Times New Roman"/>
          <w:color w:val="auto"/>
        </w:rPr>
        <w:t xml:space="preserve"> quanto no </w:t>
      </w:r>
      <w:r>
        <w:rPr>
          <w:rFonts w:ascii="Times New Roman" w:hAnsi="Times New Roman" w:cs="Times New Roman"/>
          <w:i/>
          <w:iCs/>
          <w:color w:val="auto"/>
        </w:rPr>
        <w:t>HSW</w:t>
      </w:r>
      <w:r>
        <w:rPr>
          <w:rFonts w:ascii="Times New Roman" w:hAnsi="Times New Roman" w:cs="Times New Roman"/>
          <w:color w:val="auto"/>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 [3], [7], [10]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[1], [3], [7], [13]</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Ao contemplar participantes de diferentes contextos esportivos e investigar essas variáveis de maneira integrada, este estudo busca preencher essa lacuna e ampliar a compreensão sobre os elementos que sustentam a performance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p>
    <w:p w14:paraId="03565C45">
      <w:pPr>
        <w:spacing w:line="360" w:lineRule="auto"/>
        <w:ind w:firstLine="426"/>
        <w:rPr>
          <w:rFonts w:hint="default" w:ascii="Times New Roman" w:hAnsi="Times New Roman" w:eastAsia="Times New Roman" w:cs="Times New Roman"/>
          <w:color w:val="auto"/>
          <w:highlight w:val="none"/>
        </w:rPr>
      </w:pPr>
      <w:r>
        <w:rPr>
          <w:rFonts w:ascii="Times New Roman" w:hAnsi="Times New Roman" w:cs="Times New Roman"/>
          <w:color w:val="auto"/>
        </w:rPr>
        <w:t xml:space="preserve">Dentre as variáveis de força, a literatura sugere que a estabilidade no </w:t>
      </w:r>
      <w:r>
        <w:rPr>
          <w:rFonts w:ascii="Times New Roman" w:hAnsi="Times New Roman" w:cs="Times New Roman"/>
          <w:i/>
          <w:iCs/>
          <w:color w:val="auto"/>
        </w:rPr>
        <w:t xml:space="preserve">HS </w:t>
      </w:r>
      <w:r>
        <w:rPr>
          <w:rFonts w:ascii="Times New Roman" w:hAnsi="Times New Roman" w:cs="Times New Roman"/>
          <w:color w:val="auto"/>
        </w:rPr>
        <w:t xml:space="preserve">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Pr>
          <w:rFonts w:hint="default" w:ascii="Times New Roman" w:hAnsi="Times New Roman" w:eastAsia="Times New Roman" w:cs="Times New Roman"/>
          <w:color w:val="auto"/>
          <w:highlight w:val="none"/>
          <w:lang w:val="pt-BR"/>
        </w:rPr>
        <w:fldChar w:fldCharType="begin"/>
      </w:r>
      <w:r>
        <w:rPr>
          <w:rFonts w:hint="default" w:ascii="Times New Roman" w:hAnsi="Times New Roman" w:eastAsia="Times New Roman" w:cs="Times New Roman"/>
          <w:color w:val="auto"/>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highlight w:val="none"/>
          <w:lang w:val="pt-BR"/>
        </w:rPr>
        <w:fldChar w:fldCharType="separate"/>
      </w:r>
      <w:r>
        <w:rPr>
          <w:rFonts w:hint="default" w:ascii="Times New Roman" w:hAnsi="Times New Roman" w:eastAsia="Times New Roman" w:cs="Times New Roman"/>
          <w:color w:val="auto"/>
          <w:highlight w:val="none"/>
          <w:lang w:val="pt-BR"/>
        </w:rPr>
        <w:t>[6], [7]</w:t>
      </w:r>
      <w:r>
        <w:rPr>
          <w:rFonts w:hint="default" w:ascii="Times New Roman" w:hAnsi="Times New Roman" w:eastAsia="Times New Roman" w:cs="Times New Roman"/>
          <w:color w:val="auto"/>
          <w:highlight w:val="none"/>
          <w:lang w:val="pt-BR"/>
        </w:rPr>
        <w:fldChar w:fldCharType="end"/>
      </w:r>
      <w:r>
        <w:rPr>
          <w:rFonts w:ascii="Times New Roman" w:hAnsi="Times New Roman" w:cs="Times New Roman"/>
          <w:color w:val="auto"/>
        </w:rPr>
        <w:t xml:space="preserve">. Evidências indicam que a força relativa no </w:t>
      </w:r>
      <w:r>
        <w:rPr>
          <w:rFonts w:ascii="Times New Roman" w:hAnsi="Times New Roman" w:cs="Times New Roman"/>
          <w:i/>
          <w:iCs/>
          <w:color w:val="auto"/>
        </w:rPr>
        <w:t>SP</w:t>
      </w:r>
      <w:r>
        <w:rPr>
          <w:rFonts w:ascii="Times New Roman" w:hAnsi="Times New Roman" w:cs="Times New Roman"/>
          <w:color w:val="auto"/>
        </w:rPr>
        <w:t xml:space="preserve">, quando ajustada à massa corporal, apresenta forte correlação com o desempenho no </w:t>
      </w:r>
      <w:r>
        <w:rPr>
          <w:rFonts w:ascii="Times New Roman" w:hAnsi="Times New Roman" w:cs="Times New Roman"/>
          <w:i/>
          <w:iCs/>
          <w:color w:val="auto"/>
        </w:rPr>
        <w:t>strict handstand push up</w:t>
      </w:r>
      <w:r>
        <w:rPr>
          <w:rFonts w:ascii="Times New Roman" w:hAnsi="Times New Roman" w:cs="Times New Roman"/>
          <w:color w:val="auto"/>
        </w:rPr>
        <w:t xml:space="preserve"> [36], sugerindo que a força de empurrar acima da cabeça é um componente fundamental para executar movimentos dinâmicos. O que poderia tornar essa capacidade de produção de força máxima acima da cabeça também importante para tarefas de locomoção como o </w:t>
      </w:r>
      <w:r>
        <w:rPr>
          <w:rFonts w:ascii="Times New Roman" w:hAnsi="Times New Roman" w:cs="Times New Roman"/>
          <w:i/>
          <w:iCs/>
          <w:color w:val="auto"/>
        </w:rPr>
        <w:t>HSW</w:t>
      </w:r>
      <w:r>
        <w:rPr>
          <w:rFonts w:ascii="Times New Roman" w:hAnsi="Times New Roman" w:cs="Times New Roman"/>
          <w:color w:val="auto"/>
        </w:rPr>
        <w:t>. Contudo, quando a demanda passa a ser a manutenção do equilíbrio na parada de mão estática (</w:t>
      </w:r>
      <w:r>
        <w:rPr>
          <w:rFonts w:ascii="Times New Roman" w:hAnsi="Times New Roman" w:cs="Times New Roman"/>
          <w:i/>
          <w:iCs/>
          <w:color w:val="auto"/>
        </w:rPr>
        <w:t>HS</w:t>
      </w:r>
      <w:r>
        <w:rPr>
          <w:rFonts w:ascii="Times New Roman" w:hAnsi="Times New Roman" w:cs="Times New Roman"/>
          <w:color w:val="auto"/>
        </w:rPr>
        <w:t xml:space="preserve">), investigações recentes utilizando modelos de </w:t>
      </w:r>
      <w:r>
        <w:rPr>
          <w:rFonts w:ascii="Times New Roman" w:hAnsi="Times New Roman" w:cs="Times New Roman"/>
          <w:i/>
          <w:iCs/>
          <w:color w:val="auto"/>
        </w:rPr>
        <w:t xml:space="preserve">machine learning </w:t>
      </w:r>
      <w:r>
        <w:rPr>
          <w:rFonts w:ascii="Times New Roman" w:hAnsi="Times New Roman" w:cs="Times New Roman"/>
          <w:color w:val="auto"/>
        </w:rPr>
        <w:t xml:space="preserve">demonstraram que testes de força geral apresentam acurácia preditiva reduzida (0,44) para determinar o desempenho técnico </w:t>
      </w:r>
      <w:r>
        <w:rPr>
          <w:rFonts w:hint="default" w:ascii="Times New Roman" w:hAnsi="Times New Roman" w:eastAsia="Times New Roman" w:cs="Times New Roman"/>
          <w:color w:val="auto"/>
          <w:highlight w:val="none"/>
          <w:lang w:val="pt-BR"/>
        </w:rPr>
        <w:fldChar w:fldCharType="begin"/>
      </w:r>
      <w:r>
        <w:rPr>
          <w:rFonts w:hint="default" w:ascii="Times New Roman" w:hAnsi="Times New Roman" w:eastAsia="Times New Roman" w:cs="Times New Roman"/>
          <w:color w:val="auto"/>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color w:val="auto"/>
          <w:highlight w:val="none"/>
          <w:lang w:val="pt-BR"/>
        </w:rPr>
        <w:fldChar w:fldCharType="separate"/>
      </w:r>
      <w:r>
        <w:rPr>
          <w:rFonts w:hint="default" w:ascii="Times New Roman" w:hAnsi="Times New Roman" w:eastAsia="Times New Roman" w:cs="Times New Roman"/>
          <w:color w:val="auto"/>
          <w:highlight w:val="none"/>
          <w:lang w:val="pt-BR"/>
        </w:rPr>
        <w:t>[26]</w:t>
      </w:r>
      <w:r>
        <w:rPr>
          <w:rFonts w:hint="default" w:ascii="Times New Roman" w:hAnsi="Times New Roman" w:eastAsia="Times New Roman" w:cs="Times New Roman"/>
          <w:color w:val="auto"/>
          <w:highlight w:val="none"/>
          <w:lang w:val="pt-BR"/>
        </w:rPr>
        <w:fldChar w:fldCharType="end"/>
      </w:r>
      <w:r>
        <w:rPr>
          <w:rFonts w:ascii="Times New Roman" w:hAnsi="Times New Roman" w:cs="Times New Roman"/>
          <w:color w:val="auto"/>
        </w:rPr>
        <w:t xml:space="preserve">. Fato este evidencia que na postura isométrica a força geral atua primordialmente como um limiar de suporte estrutural, justificando  avaliar capacidades neuromusculares com maior especificidade biomecânica à tarefa, como o torque isolado de punho e a preensão manual. Embora estudos prévios tenham reportado correlações entre testes genéricos, como o número de flexões de braço, e o tempo de sustentação no </w:t>
      </w:r>
      <w:r>
        <w:rPr>
          <w:rFonts w:ascii="Times New Roman" w:hAnsi="Times New Roman" w:cs="Times New Roman"/>
          <w:i/>
          <w:iCs/>
          <w:color w:val="auto"/>
        </w:rPr>
        <w:t xml:space="preserve">HS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[27]</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tais achados estão concentrados em ginastas jovens. 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[28]</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No entanto, para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 </w:t>
      </w:r>
      <w:r>
        <w:rPr>
          <w:rFonts w:hint="default" w:ascii="Times New Roman" w:hAnsi="Times New Roman" w:eastAsia="Times New Roman" w:cs="Times New Roman"/>
          <w:color w:val="auto"/>
          <w:highlight w:val="none"/>
          <w:lang w:val="pt-BR"/>
        </w:rPr>
        <w:fldChar w:fldCharType="begin"/>
      </w:r>
      <w:r>
        <w:rPr>
          <w:rFonts w:hint="default" w:ascii="Times New Roman" w:hAnsi="Times New Roman" w:eastAsia="Times New Roman" w:cs="Times New Roman"/>
          <w:color w:val="auto"/>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highlight w:val="none"/>
          <w:lang w:val="pt-BR"/>
        </w:rPr>
        <w:fldChar w:fldCharType="separate"/>
      </w:r>
      <w:r>
        <w:rPr>
          <w:rFonts w:hint="default" w:ascii="Times New Roman" w:hAnsi="Times New Roman" w:eastAsia="Times New Roman" w:cs="Times New Roman"/>
          <w:color w:val="auto"/>
          <w:highlight w:val="none"/>
          <w:lang w:val="pt-BR"/>
        </w:rPr>
        <w:t>[14], [19]</w:t>
      </w:r>
      <w:r>
        <w:rPr>
          <w:rFonts w:hint="default" w:ascii="Times New Roman" w:hAnsi="Times New Roman" w:eastAsia="Times New Roman" w:cs="Times New Roman"/>
          <w:color w:val="auto"/>
          <w:highlight w:val="none"/>
          <w:lang w:val="pt-BR"/>
        </w:rPr>
        <w:fldChar w:fldCharType="end"/>
      </w:r>
      <w:r>
        <w:rPr>
          <w:rFonts w:ascii="Times New Roman" w:hAnsi="Times New Roman" w:cs="Times New Roman"/>
          <w:color w:val="auto"/>
        </w:rPr>
        <w:t>. Visto isso, a interação combinada entre resistência muscular específica na inversão, capacidade máxima de força distal e alinhamento articular no desempenho dessas diferentes habilidades permanece inexplorada .</w:t>
      </w:r>
    </w:p>
    <w:p w14:paraId="16D2B967">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[29], [30]</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[31], [32]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[33]</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w:t>
      </w:r>
    </w:p>
    <w:p w14:paraId="2D1F72CB">
      <w:pPr>
        <w:spacing w:line="360" w:lineRule="auto"/>
        <w:ind w:firstLine="426"/>
        <w:rPr>
          <w:rFonts w:hint="default" w:ascii="Times New Roman" w:hAnsi="Times New Roman" w:eastAsia="Times New Roman" w:cs="Times New Roman"/>
          <w:color w:val="auto"/>
          <w:highlight w:val="none"/>
        </w:rPr>
      </w:pPr>
      <w:r>
        <w:rPr>
          <w:rFonts w:ascii="Times New Roman" w:hAnsi="Times New Roman" w:cs="Times New Roman"/>
          <w:color w:val="auto"/>
        </w:rPr>
        <w:t xml:space="preserve">Adicionalmente, indicadores de controle postural têm sido amplamente empregados para caracterizar a estabilidade em posição invertida. No </w:t>
      </w:r>
      <w:r>
        <w:rPr>
          <w:rFonts w:ascii="Times New Roman" w:hAnsi="Times New Roman" w:cs="Times New Roman"/>
          <w:i/>
          <w:iCs/>
          <w:color w:val="auto"/>
        </w:rPr>
        <w:t>HS</w:t>
      </w:r>
      <w:r>
        <w:rPr>
          <w:rFonts w:ascii="Times New Roman" w:hAnsi="Times New Roman" w:cs="Times New Roman"/>
          <w:color w:val="auto"/>
        </w:rPr>
        <w:t>, espera-se que uma maior proficiência e tempo de sustentação estejam associados a menores oscilações do CoP e a uma menor entropia aproximada (</w:t>
      </w:r>
      <w:r>
        <w:rPr>
          <w:rFonts w:ascii="Times New Roman" w:hAnsi="Times New Roman" w:cs="Times New Roman"/>
          <w:i/>
          <w:iCs/>
          <w:color w:val="auto"/>
        </w:rPr>
        <w:t>ApEn</w:t>
      </w:r>
      <w:r>
        <w:rPr>
          <w:rFonts w:ascii="Times New Roman" w:hAnsi="Times New Roman" w:cs="Times New Roman"/>
          <w:color w:val="auto"/>
        </w:rPr>
        <w:t xml:space="preserve">), refletindo maior regularidade e automaticidade neuromotora </w:t>
      </w:r>
      <w:r>
        <w:rPr>
          <w:rFonts w:hint="default" w:ascii="Times New Roman" w:hAnsi="Times New Roman" w:eastAsia="SimSun" w:cs="Times New Roman"/>
          <w:color w:val="auto"/>
          <w:sz w:val="24"/>
          <w:szCs w:val="24"/>
          <w:highlight w:val="none"/>
          <w:lang w:val="pt-BR"/>
        </w:rPr>
        <w:fldChar w:fldCharType="begin"/>
      </w:r>
      <w:r>
        <w:rPr>
          <w:rFonts w:hint="default" w:ascii="Times New Roman" w:hAnsi="Times New Roman" w:eastAsia="SimSun" w:cs="Times New Roman"/>
          <w:color w:val="auto"/>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color w:val="auto"/>
          <w:sz w:val="24"/>
          <w:szCs w:val="24"/>
          <w:highlight w:val="none"/>
          <w:lang w:val="pt-BR"/>
        </w:rPr>
        <w:fldChar w:fldCharType="separate"/>
      </w:r>
      <w:r>
        <w:rPr>
          <w:rFonts w:hint="default" w:ascii="Times New Roman" w:hAnsi="Times New Roman" w:eastAsia="SimSun" w:cs="Times New Roman"/>
          <w:color w:val="auto"/>
          <w:sz w:val="24"/>
          <w:szCs w:val="24"/>
          <w:highlight w:val="none"/>
          <w:lang w:val="pt-BR"/>
        </w:rPr>
        <w:t>[4]</w:t>
      </w:r>
      <w:r>
        <w:rPr>
          <w:rFonts w:hint="default" w:ascii="Times New Roman" w:hAnsi="Times New Roman" w:eastAsia="SimSun" w:cs="Times New Roman"/>
          <w:color w:val="auto"/>
          <w:sz w:val="24"/>
          <w:szCs w:val="24"/>
          <w:highlight w:val="none"/>
          <w:lang w:val="pt-BR"/>
        </w:rPr>
        <w:fldChar w:fldCharType="end"/>
      </w:r>
      <w:r>
        <w:rPr>
          <w:rFonts w:ascii="Times New Roman" w:hAnsi="Times New Roman" w:cs="Times New Roman"/>
          <w:color w:val="auto"/>
        </w:rPr>
        <w:t xml:space="preserve"> . No entanto, diferentemente da análise isolada da variabilidade do CoP, que expressa primordialmente a magnitude e a frequência do esforço neuromuscular corretivo aplicado sobre a base de apoio, a distância instantânea entre o CoP e a projeção vertical CoM assume papel central como medida primária do erro real de equilíbrio </w:t>
      </w:r>
      <w:r>
        <w:rPr>
          <w:rFonts w:hint="default" w:ascii="Times New Roman" w:hAnsi="Times New Roman" w:eastAsia="SimSun" w:cs="Times New Roman"/>
          <w:color w:val="auto"/>
          <w:sz w:val="24"/>
          <w:szCs w:val="24"/>
          <w:highlight w:val="none"/>
          <w:lang w:val="pt-BR"/>
        </w:rPr>
        <w:fldChar w:fldCharType="begin"/>
      </w:r>
      <w:r>
        <w:rPr>
          <w:rFonts w:hint="default" w:ascii="Times New Roman" w:hAnsi="Times New Roman" w:eastAsia="SimSun" w:cs="Times New Roman"/>
          <w:color w:val="auto"/>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color w:val="auto"/>
          <w:sz w:val="24"/>
          <w:szCs w:val="24"/>
          <w:highlight w:val="none"/>
          <w:lang w:val="pt-BR"/>
        </w:rPr>
        <w:fldChar w:fldCharType="separate"/>
      </w:r>
      <w:r>
        <w:rPr>
          <w:rFonts w:hint="default" w:ascii="Times New Roman" w:hAnsi="Times New Roman" w:eastAsia="SimSun" w:cs="Times New Roman"/>
          <w:color w:val="auto"/>
          <w:sz w:val="24"/>
          <w:szCs w:val="24"/>
          <w:highlight w:val="none"/>
          <w:lang w:val="pt-BR"/>
        </w:rPr>
        <w:t>[34], [35]</w:t>
      </w:r>
      <w:r>
        <w:rPr>
          <w:rFonts w:hint="default" w:ascii="Times New Roman" w:hAnsi="Times New Roman" w:eastAsia="SimSun" w:cs="Times New Roman"/>
          <w:color w:val="auto"/>
          <w:sz w:val="24"/>
          <w:szCs w:val="24"/>
          <w:highlight w:val="none"/>
          <w:lang w:val="pt-BR"/>
        </w:rPr>
        <w:fldChar w:fldCharType="end"/>
      </w:r>
      <w:r>
        <w:rPr>
          <w:rFonts w:ascii="Times New Roman" w:hAnsi="Times New Roman" w:cs="Times New Roman"/>
          <w:color w:val="auto"/>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color w:val="auto"/>
          <w:sz w:val="24"/>
          <w:szCs w:val="24"/>
          <w:highlight w:val="none"/>
        </w:rPr>
        <w:fldChar w:fldCharType="begin"/>
      </w:r>
      <w:r>
        <w:rPr>
          <w:rFonts w:hint="default" w:ascii="Times New Roman" w:hAnsi="Times New Roman" w:eastAsia="SimSun" w:cs="Times New Roman"/>
          <w:color w:val="auto"/>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color w:val="auto"/>
          <w:sz w:val="24"/>
          <w:szCs w:val="24"/>
          <w:highlight w:val="none"/>
        </w:rPr>
        <w:fldChar w:fldCharType="separate"/>
      </w:r>
      <w:r>
        <w:rPr>
          <w:rFonts w:hint="default" w:ascii="Times New Roman" w:hAnsi="Times New Roman" w:eastAsia="SimSun" w:cs="Times New Roman"/>
          <w:color w:val="auto"/>
          <w:sz w:val="24"/>
          <w:szCs w:val="24"/>
          <w:highlight w:val="none"/>
          <w:lang w:val="pt-BR"/>
        </w:rPr>
        <w:t>[34], [35]</w:t>
      </w:r>
      <w:r>
        <w:rPr>
          <w:rFonts w:hint="default" w:ascii="Times New Roman" w:hAnsi="Times New Roman" w:eastAsia="SimSun" w:cs="Times New Roman"/>
          <w:color w:val="auto"/>
          <w:sz w:val="24"/>
          <w:szCs w:val="24"/>
          <w:highlight w:val="none"/>
        </w:rPr>
        <w:fldChar w:fldCharType="end"/>
      </w:r>
      <w:r>
        <w:rPr>
          <w:rFonts w:ascii="Times New Roman" w:hAnsi="Times New Roman" w:cs="Times New Roman"/>
          <w:color w:val="auto"/>
        </w:rPr>
        <w:t xml:space="preserve">. </w:t>
      </w:r>
    </w:p>
    <w:p w14:paraId="2A83AF70">
      <w:pPr>
        <w:spacing w:line="360" w:lineRule="auto"/>
        <w:ind w:firstLine="426"/>
        <w:rPr>
          <w:rFonts w:hint="default" w:ascii="Times New Roman" w:hAnsi="Times New Roman" w:eastAsia="Times New Roman" w:cs="Times New Roman"/>
          <w:color w:val="auto"/>
          <w:lang w:val="pt-BR"/>
        </w:rPr>
      </w:pPr>
      <w:r>
        <w:rPr>
          <w:rFonts w:ascii="Times New Roman" w:hAnsi="Times New Roman" w:cs="Times New Roman"/>
          <w:color w:val="auto"/>
        </w:rPr>
        <w:t xml:space="preserve">A análise cinemática dos ângulos articulares dos punhos, ombros, quadril e cabeça tem sido apontada como relevante, uma vez que o alinhamento segmentar influencia diretamente a distribuição do CoM e as demandas de torque sobre os estabilizadores articulares, podendo determinar estratégias distintas de manutenção do equilíbrio no </w:t>
      </w:r>
      <w:r>
        <w:rPr>
          <w:rFonts w:ascii="Times New Roman" w:hAnsi="Times New Roman" w:cs="Times New Roman"/>
          <w:i/>
          <w:iCs/>
          <w:color w:val="auto"/>
        </w:rPr>
        <w:t>HS</w:t>
      </w:r>
      <w:r>
        <w:rPr>
          <w:rFonts w:hint="default" w:ascii="Times New Roman" w:hAnsi="Times New Roman" w:eastAsia="Times New Roman" w:cs="Times New Roman"/>
          <w:i/>
          <w:iCs/>
          <w:color w:val="auto"/>
        </w:rPr>
        <w:fldChar w:fldCharType="begin"/>
      </w:r>
      <w:r>
        <w:rPr>
          <w:rFonts w:hint="default" w:ascii="Times New Roman" w:hAnsi="Times New Roman" w:eastAsia="Times New Roman" w:cs="Times New Roman"/>
          <w:i/>
          <w:iCs/>
          <w:color w:val="auto"/>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color w:val="auto"/>
        </w:rPr>
        <w:fldChar w:fldCharType="separate"/>
      </w:r>
      <w:r>
        <w:rPr>
          <w:rFonts w:hint="default" w:ascii="Times New Roman" w:hAnsi="Times New Roman" w:cs="Times New Roman"/>
          <w:color w:val="auto"/>
        </w:rPr>
        <w:t>[1]</w:t>
      </w:r>
      <w:r>
        <w:rPr>
          <w:rFonts w:hint="default" w:ascii="Times New Roman" w:hAnsi="Times New Roman" w:eastAsia="Times New Roman" w:cs="Times New Roman"/>
          <w:i/>
          <w:iCs/>
          <w:color w:val="auto"/>
        </w:rPr>
        <w:fldChar w:fldCharType="end"/>
      </w:r>
      <w:r>
        <w:rPr>
          <w:rFonts w:ascii="Times New Roman" w:hAnsi="Times New Roman" w:cs="Times New Roman"/>
          <w:color w:val="auto"/>
        </w:rPr>
        <w:t xml:space="preserve">. Apesar de amplamente abordado em trabalhos sobre o </w:t>
      </w:r>
      <w:r>
        <w:rPr>
          <w:rFonts w:ascii="Times New Roman" w:hAnsi="Times New Roman" w:cs="Times New Roman"/>
          <w:i/>
          <w:iCs/>
          <w:color w:val="auto"/>
        </w:rPr>
        <w:t>HS</w:t>
      </w:r>
      <w:r>
        <w:rPr>
          <w:rFonts w:ascii="Times New Roman" w:hAnsi="Times New Roman" w:cs="Times New Roman"/>
          <w:color w:val="auto"/>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hAnsi="Times New Roman" w:cs="Times New Roman"/>
          <w:i/>
          <w:iCs/>
          <w:color w:val="auto"/>
        </w:rPr>
        <w:t>HS</w:t>
      </w:r>
      <w:r>
        <w:rPr>
          <w:rFonts w:hint="default" w:ascii="Times New Roman" w:hAnsi="Times New Roman" w:eastAsia="Times New Roman" w:cs="Times New Roman"/>
          <w:i/>
          <w:color w:val="auto"/>
        </w:rPr>
        <w:fldChar w:fldCharType="begin"/>
      </w:r>
      <w:r>
        <w:rPr>
          <w:rFonts w:hint="default" w:ascii="Times New Roman" w:hAnsi="Times New Roman" w:eastAsia="Times New Roman" w:cs="Times New Roman"/>
          <w:i/>
          <w:color w:val="auto"/>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color w:val="auto"/>
        </w:rPr>
        <w:fldChar w:fldCharType="separate"/>
      </w:r>
      <w:r>
        <w:rPr>
          <w:rFonts w:hint="default" w:ascii="Times New Roman" w:hAnsi="Times New Roman" w:cs="Times New Roman"/>
          <w:color w:val="auto"/>
        </w:rPr>
        <w:t>[2]</w:t>
      </w:r>
      <w:r>
        <w:rPr>
          <w:rFonts w:hint="default" w:ascii="Times New Roman" w:hAnsi="Times New Roman" w:eastAsia="Times New Roman" w:cs="Times New Roman"/>
          <w:i/>
          <w:color w:val="auto"/>
        </w:rPr>
        <w:fldChar w:fldCharType="end"/>
      </w:r>
      <w:r>
        <w:rPr>
          <w:rFonts w:ascii="Times New Roman" w:hAnsi="Times New Roman" w:cs="Times New Roman"/>
          <w:i/>
          <w:iCs/>
          <w:color w:val="auto"/>
        </w:rPr>
        <w:t>.</w:t>
      </w:r>
      <w:r>
        <w:rPr>
          <w:rFonts w:ascii="Times New Roman" w:hAnsi="Times New Roman" w:cs="Times New Roman"/>
          <w:color w:val="auto"/>
        </w:rPr>
        <w:t xml:space="preserve"> Essa incerteza é ampliada pela escassez de estudos que investiguem o </w:t>
      </w:r>
      <w:r>
        <w:rPr>
          <w:rFonts w:ascii="Times New Roman" w:hAnsi="Times New Roman" w:cs="Times New Roman"/>
          <w:i/>
          <w:iCs/>
          <w:color w:val="auto"/>
        </w:rPr>
        <w:t>HS</w:t>
      </w:r>
      <w:r>
        <w:rPr>
          <w:rFonts w:ascii="Times New Roman" w:hAnsi="Times New Roman" w:cs="Times New Roman"/>
          <w:color w:val="auto"/>
        </w:rPr>
        <w:t xml:space="preserve"> em modalidades além da ginástica artística, nas quais se observam estratégias de equilíbrio eficazes mesmo em alinhamentos distintos. Nesse contexto, a cadeia cinética invertida opera sob papéis funcionais distintos: enquanto os punhos atuam no solo como efetores dinâmicos de alta frequência (</w:t>
      </w:r>
      <w:r>
        <w:rPr>
          <w:rFonts w:ascii="Times New Roman" w:hAnsi="Times New Roman" w:cs="Times New Roman"/>
          <w:i/>
          <w:iCs/>
          <w:color w:val="auto"/>
        </w:rPr>
        <w:t>wrist strategy</w:t>
      </w:r>
      <w:r>
        <w:rPr>
          <w:rFonts w:ascii="Times New Roman" w:hAnsi="Times New Roman" w:cs="Times New Roman"/>
          <w:color w:val="auto"/>
        </w:rPr>
        <w:t xml:space="preserve">, análoga ao tornozelo na postura ereta)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[2], [3], [7]</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 ombros e quadril definem o empilhamento articular do tronco (</w:t>
      </w:r>
      <w:r>
        <w:rPr>
          <w:rFonts w:ascii="Times New Roman" w:hAnsi="Times New Roman" w:cs="Times New Roman"/>
          <w:i/>
          <w:iCs/>
          <w:color w:val="auto"/>
        </w:rPr>
        <w:t>joint stacking</w:t>
      </w:r>
      <w:r>
        <w:rPr>
          <w:rFonts w:ascii="Times New Roman" w:hAnsi="Times New Roman" w:cs="Times New Roman"/>
          <w:color w:val="auto"/>
        </w:rPr>
        <w:t xml:space="preserve">), onde restrições de mobilidade exigem compensações na curvatura lombar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[1], [14]</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 Paralelamente, na extremidade oposta, a flexão plantar ativa (“ponta de pé”) promove irradiação motora e coativação nos membros inferiores, convertendo o corpo em um pêndulo rígido de haste única (</w:t>
      </w:r>
      <w:r>
        <w:rPr>
          <w:rFonts w:ascii="Times New Roman" w:hAnsi="Times New Roman" w:cs="Times New Roman"/>
          <w:i/>
          <w:iCs/>
          <w:color w:val="auto"/>
        </w:rPr>
        <w:t>single-link</w:t>
      </w:r>
      <w:r>
        <w:rPr>
          <w:rFonts w:ascii="Times New Roman" w:hAnsi="Times New Roman" w:cs="Times New Roman"/>
          <w:color w:val="auto"/>
        </w:rPr>
        <w:t xml:space="preserv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[28], [31]</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Em contraste, tornozelos neutros ou relaxados (comuns no </w:t>
      </w:r>
      <w:r>
        <w:rPr>
          <w:rFonts w:ascii="Times New Roman" w:hAnsi="Times New Roman" w:cs="Times New Roman"/>
          <w:i/>
          <w:iCs/>
          <w:color w:val="auto"/>
        </w:rPr>
        <w:t>CrossFit e Calistenia</w:t>
      </w:r>
      <w:r>
        <w:rPr>
          <w:rFonts w:ascii="Times New Roman" w:hAnsi="Times New Roman" w:cs="Times New Roman"/>
          <w:color w:val="auto"/>
        </w:rPr>
        <w:t>) induzem um comportamento multiarticulado (</w:t>
      </w:r>
      <w:r>
        <w:rPr>
          <w:rFonts w:ascii="Times New Roman" w:hAnsi="Times New Roman" w:cs="Times New Roman"/>
          <w:i/>
          <w:iCs/>
          <w:color w:val="auto"/>
        </w:rPr>
        <w:t>multi-link)</w:t>
      </w:r>
      <w:r>
        <w:rPr>
          <w:rFonts w:ascii="Times New Roman" w:hAnsi="Times New Roman" w:cs="Times New Roman"/>
          <w:color w:val="auto"/>
        </w:rPr>
        <w:t>, gerando oscilações inerciais distais que podem sobrecarregar os mecanismos de controle postural na base. Avaliar essas configurações segmentares esclarecerá se a verticalidade estrita e a rigidez distal são indispensáveis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No </w:t>
      </w:r>
      <w:r>
        <w:rPr>
          <w:rFonts w:ascii="Times New Roman" w:hAnsi="Times New Roman" w:cs="Times New Roman"/>
          <w:i/>
          <w:iCs/>
          <w:color w:val="auto"/>
        </w:rPr>
        <w:t>HS</w:t>
      </w:r>
      <w:r>
        <w:rPr>
          <w:rFonts w:ascii="Times New Roman" w:hAnsi="Times New Roman" w:cs="Times New Roman"/>
          <w:color w:val="auto"/>
        </w:rPr>
        <w:t xml:space="preserve">, o tempo máximo de sustentação tem sido utilizado como parâmetro de desempenho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[2], [20], [22], [27]</w:t>
      </w:r>
      <w:r>
        <w:rPr>
          <w:rFonts w:hint="default" w:ascii="Times New Roman" w:hAnsi="Times New Roman" w:cs="Times New Roman"/>
          <w:color w:val="auto"/>
        </w:rPr>
        <w:fldChar w:fldCharType="end"/>
      </w:r>
      <w:r>
        <w:rPr>
          <w:rFonts w:ascii="Times New Roman" w:hAnsi="Times New Roman" w:cs="Times New Roman"/>
          <w:color w:val="auto"/>
        </w:rPr>
        <w:t xml:space="preserve">. Enquanto que no </w:t>
      </w:r>
      <w:r>
        <w:rPr>
          <w:rFonts w:ascii="Times New Roman" w:hAnsi="Times New Roman" w:cs="Times New Roman"/>
          <w:i/>
          <w:iCs/>
          <w:color w:val="auto"/>
        </w:rPr>
        <w:t>HSW</w:t>
      </w:r>
      <w:r>
        <w:rPr>
          <w:rFonts w:ascii="Times New Roman" w:hAnsi="Times New Roman" w:cs="Times New Roman"/>
          <w:color w:val="auto"/>
        </w:rPr>
        <w:t>, os poucos estudos publicados até o momento concentraram-se em aspectos de desempenho a partir de parâmetros iniciais do deslocamento e de controle motor, como as</w:t>
      </w:r>
      <w:r>
        <w:rPr>
          <w:rFonts w:ascii="Times New Roman" w:hAnsi="Times New Roman" w:cs="Times New Roman"/>
          <w:b/>
          <w:bCs/>
          <w:color w:val="auto"/>
        </w:rPr>
        <w:t xml:space="preserve"> </w:t>
      </w:r>
      <w:r>
        <w:rPr>
          <w:rFonts w:ascii="Times New Roman" w:hAnsi="Times New Roman" w:cs="Times New Roman"/>
          <w:b w:val="0"/>
          <w:bCs w:val="0"/>
          <w:color w:val="auto"/>
        </w:rPr>
        <w:t xml:space="preserve">forças de reação ao solo, coordenação intersegmentar e </w:t>
      </w:r>
      <w:r>
        <w:rPr>
          <w:rFonts w:ascii="Times New Roman" w:hAnsi="Times New Roman" w:cs="Times New Roman"/>
          <w:b w:val="0"/>
          <w:bCs w:val="0"/>
          <w:i/>
          <w:iCs/>
          <w:color w:val="auto"/>
        </w:rPr>
        <w:t>APAs</w:t>
      </w:r>
      <w:r>
        <w:rPr>
          <w:rFonts w:ascii="Times New Roman" w:hAnsi="Times New Roman" w:cs="Times New Roman"/>
          <w:b w:val="0"/>
          <w:bCs w:val="0"/>
          <w:color w:val="auto"/>
        </w:rPr>
        <w:t xml:space="preserve"> no momento da saída</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[23]</w:t>
      </w:r>
      <w:r>
        <w:rPr>
          <w:rFonts w:hint="default" w:ascii="Times New Roman" w:hAnsi="Times New Roman" w:cs="Times New Roman"/>
          <w:color w:val="auto"/>
        </w:rPr>
        <w:fldChar w:fldCharType="end"/>
      </w:r>
      <w:r>
        <w:rPr>
          <w:rFonts w:ascii="Times New Roman" w:hAnsi="Times New Roman" w:cs="Times New Roman"/>
          <w:color w:val="auto"/>
        </w:rPr>
        <w:t xml:space="preserve">, os efeitos de cargas adicionais sobre </w:t>
      </w:r>
      <w:r>
        <w:rPr>
          <w:rFonts w:ascii="Times New Roman" w:hAnsi="Times New Roman" w:cs="Times New Roman"/>
          <w:i/>
          <w:iCs/>
          <w:color w:val="auto"/>
        </w:rPr>
        <w:t>APAs</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cs="Times New Roman"/>
          <w:color w:val="auto"/>
        </w:rPr>
        <w:fldChar w:fldCharType="end"/>
      </w:r>
      <w:r>
        <w:rPr>
          <w:rFonts w:ascii="Times New Roman" w:hAnsi="Times New Roman" w:cs="Times New Roman"/>
          <w:color w:val="auto"/>
        </w:rPr>
        <w:t xml:space="preserve"> e comparações de coordenação com a marcha bípede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cs="Times New Roman"/>
          <w:color w:val="auto"/>
        </w:rPr>
        <w:fldChar w:fldCharType="end"/>
      </w:r>
      <w:r>
        <w:rPr>
          <w:rFonts w:ascii="Times New Roman" w:hAnsi="Times New Roman" w:cs="Times New Roman"/>
          <w:color w:val="auto"/>
        </w:rPr>
        <w:t xml:space="preserve">. Sendo assim, avaliar também variáveis espaço-temporais, como distância percorrida, tempo de execução e velocidade média, poderiam oferecer uma visão mais integrada e completa dos padrões de deslocamento.  Verificou-se que </w:t>
      </w:r>
      <w:r>
        <w:rPr>
          <w:rFonts w:ascii="Times New Roman" w:hAnsi="Times New Roman" w:cs="Times New Roman"/>
          <w:i/>
          <w:iCs/>
          <w:color w:val="auto"/>
        </w:rPr>
        <w:t>HSW</w:t>
      </w:r>
      <w:r>
        <w:rPr>
          <w:rFonts w:ascii="Times New Roman" w:hAnsi="Times New Roman" w:cs="Times New Roman"/>
          <w:color w:val="auto"/>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ascii="Times New Roman" w:hAnsi="Times New Roman" w:cs="Times New Roman"/>
          <w:i/>
          <w:iCs/>
          <w:color w:val="auto"/>
        </w:rPr>
        <w:t>HSW</w:t>
      </w:r>
      <w:r>
        <w:rPr>
          <w:rFonts w:ascii="Times New Roman" w:hAnsi="Times New Roman" w:cs="Times New Roman"/>
          <w:color w:val="auto"/>
        </w:rPr>
        <w:t xml:space="preserve"> ao passo que passadas mais curtas e rápidas podem indicar estratégias voltadas à propulsão e velocidade. Nesse contexto, o tempo máximo de sustentação no </w:t>
      </w:r>
      <w:r>
        <w:rPr>
          <w:rFonts w:ascii="Times New Roman" w:hAnsi="Times New Roman" w:cs="Times New Roman"/>
          <w:i/>
          <w:iCs/>
          <w:color w:val="auto"/>
        </w:rPr>
        <w:t>HS</w:t>
      </w:r>
      <w:r>
        <w:rPr>
          <w:rFonts w:ascii="Times New Roman" w:hAnsi="Times New Roman" w:cs="Times New Roman"/>
          <w:color w:val="auto"/>
        </w:rPr>
        <w:t xml:space="preserve"> poderia influenciar também nos parâmetros espaço-temporais do </w:t>
      </w:r>
      <w:r>
        <w:rPr>
          <w:rFonts w:ascii="Times New Roman" w:hAnsi="Times New Roman" w:cs="Times New Roman"/>
          <w:i/>
          <w:iCs/>
          <w:color w:val="auto"/>
        </w:rPr>
        <w:t>HSW</w:t>
      </w:r>
      <w:r>
        <w:rPr>
          <w:rFonts w:ascii="Times New Roman" w:hAnsi="Times New Roman" w:cs="Times New Roman"/>
          <w:color w:val="auto"/>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color w:val="auto"/>
        </w:rPr>
      </w:pPr>
      <w:r>
        <w:rPr>
          <w:rFonts w:ascii="Times New Roman" w:hAnsi="Times New Roman" w:cs="Times New Roman"/>
          <w:color w:val="auto"/>
        </w:rPr>
        <w:t xml:space="preserve">O tempo de prática na modalidade em que o </w:t>
      </w:r>
      <w:r>
        <w:rPr>
          <w:rFonts w:ascii="Times New Roman" w:hAnsi="Times New Roman" w:cs="Times New Roman"/>
          <w:i/>
          <w:iCs/>
          <w:color w:val="auto"/>
        </w:rPr>
        <w:t>HS</w:t>
      </w:r>
      <w:r>
        <w:rPr>
          <w:rFonts w:ascii="Times New Roman" w:hAnsi="Times New Roman" w:cs="Times New Roman"/>
          <w:color w:val="auto"/>
        </w:rPr>
        <w:t xml:space="preserve"> é treinado parece exercer papel importante na estabilidade e no controle postural. 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[22]</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No contexto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 xml:space="preserve">, maior tempo de prática tende a refletir não apenas em maior resistência de sustentação e controle postural estático, mas também em proficiência no deslocamento em inversão. 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[36], [37]</w:t>
      </w:r>
      <w:r>
        <w:rPr>
          <w:rFonts w:hint="default" w:ascii="Times New Roman" w:hAnsi="Times New Roman" w:cs="Times New Roman"/>
          <w:color w:val="auto"/>
        </w:rPr>
        <w:fldChar w:fldCharType="end"/>
      </w:r>
      <w:r>
        <w:rPr>
          <w:rFonts w:ascii="Times New Roman" w:hAnsi="Times New Roman" w:cs="Times New Roman"/>
          <w:color w:val="auto"/>
        </w:rPr>
        <w:t xml:space="preserve">. Embora a idade cronológica naturalmente poderia influenciar a capacidade de equilíbrio invertido, a proficiência no </w:t>
      </w:r>
      <w:r>
        <w:rPr>
          <w:rFonts w:ascii="Times New Roman" w:hAnsi="Times New Roman" w:cs="Times New Roman"/>
          <w:i/>
          <w:iCs/>
          <w:color w:val="auto"/>
        </w:rPr>
        <w:t>HS</w:t>
      </w:r>
      <w:r>
        <w:rPr>
          <w:rFonts w:ascii="Times New Roman" w:hAnsi="Times New Roman" w:cs="Times New Roman"/>
          <w:color w:val="auto"/>
        </w:rPr>
        <w:t xml:space="preserve"> pode ser menos limitada por esses fatores biológicos.  Isso porque o </w:t>
      </w:r>
      <w:r>
        <w:rPr>
          <w:rFonts w:ascii="Times New Roman" w:hAnsi="Times New Roman" w:cs="Times New Roman"/>
          <w:i/>
          <w:iCs/>
          <w:color w:val="auto"/>
        </w:rPr>
        <w:t>HS</w:t>
      </w:r>
      <w:r>
        <w:rPr>
          <w:rFonts w:ascii="Times New Roman" w:hAnsi="Times New Roman" w:cs="Times New Roman"/>
          <w:color w:val="auto"/>
        </w:rPr>
        <w:t xml:space="preserve"> é uma habilidade motora complexa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[5], [13]</w:t>
      </w:r>
      <w:r>
        <w:rPr>
          <w:rFonts w:hint="default" w:ascii="Times New Roman" w:hAnsi="Times New Roman" w:cs="Times New Roman"/>
          <w:color w:val="auto"/>
        </w:rPr>
        <w:fldChar w:fldCharType="end"/>
      </w:r>
      <w:r>
        <w:rPr>
          <w:rFonts w:ascii="Times New Roman" w:hAnsi="Times New Roman" w:cs="Times New Roman"/>
          <w:color w:val="auto"/>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[3], [6], [7], [10]</w:t>
      </w:r>
      <w:r>
        <w:rPr>
          <w:rFonts w:hint="default" w:ascii="Times New Roman" w:hAnsi="Times New Roman" w:cs="Times New Roman"/>
          <w:color w:val="auto"/>
        </w:rPr>
        <w:fldChar w:fldCharType="end"/>
      </w:r>
      <w:r>
        <w:rPr>
          <w:rFonts w:ascii="Times New Roman" w:hAnsi="Times New Roman" w:cs="Times New Roman"/>
          <w:color w:val="auto"/>
        </w:rPr>
        <w:t xml:space="preserve">, que podem compensar os declínios fisiológicos associados à idade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[38], [39]</w:t>
      </w:r>
      <w:r>
        <w:rPr>
          <w:rFonts w:hint="default" w:ascii="Times New Roman" w:hAnsi="Times New Roman" w:cs="Times New Roman"/>
          <w:color w:val="auto"/>
        </w:rPr>
        <w:fldChar w:fldCharType="end"/>
      </w:r>
      <w:r>
        <w:rPr>
          <w:rFonts w:ascii="Times New Roman" w:hAnsi="Times New Roman" w:cs="Times New Roman"/>
          <w:color w:val="auto"/>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color w:val="auto"/>
        </w:rPr>
      </w:pPr>
      <w:bookmarkStart w:id="2" w:name="_heading=h.3d7ijnhyh4lu"/>
      <w:bookmarkEnd w:id="2"/>
      <w:r>
        <w:rPr>
          <w:rFonts w:ascii="Times New Roman" w:hAnsi="Times New Roman" w:cs="Times New Roman"/>
          <w:color w:val="auto"/>
        </w:rPr>
        <w:t xml:space="preserve">O estudo proposto pretende integrar diferentes variáveis do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considerando essas variáveis de força, controle postural, antropometria e alinhamento articular como potenciais preditores. Assim,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color w:val="auto"/>
        </w:rPr>
      </w:pPr>
      <w:r>
        <w:rPr>
          <w:rFonts w:ascii="Times New Roman" w:hAnsi="Times New Roman" w:cs="Times New Roman"/>
          <w:color w:val="auto"/>
        </w:rPr>
        <w:t xml:space="preserve">No </w:t>
      </w:r>
      <w:r>
        <w:rPr>
          <w:rFonts w:ascii="Times New Roman" w:hAnsi="Times New Roman" w:cs="Times New Roman"/>
          <w:i/>
          <w:iCs/>
          <w:color w:val="auto"/>
        </w:rPr>
        <w:t>HS</w:t>
      </w:r>
      <w:r>
        <w:rPr>
          <w:rFonts w:ascii="Times New Roman" w:hAnsi="Times New Roman" w:cs="Times New Roman"/>
          <w:color w:val="auto"/>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ascii="Times New Roman" w:hAnsi="Times New Roman" w:cs="Times New Roman"/>
          <w:i/>
          <w:iCs/>
          <w:color w:val="auto"/>
        </w:rPr>
        <w:t>HSW</w:t>
      </w:r>
      <w:r>
        <w:rPr>
          <w:rFonts w:ascii="Times New Roman" w:hAnsi="Times New Roman" w:cs="Times New Roman"/>
          <w:color w:val="auto"/>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ascii="Times New Roman" w:hAnsi="Times New Roman" w:cs="Times New Roman"/>
          <w:i/>
          <w:iCs/>
          <w:color w:val="auto"/>
        </w:rPr>
        <w:t>HS</w:t>
      </w:r>
      <w:r>
        <w:rPr>
          <w:rFonts w:ascii="Times New Roman" w:hAnsi="Times New Roman" w:cs="Times New Roman"/>
          <w:color w:val="auto"/>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hAnsi="Times New Roman" w:cs="Times New Roman"/>
          <w:i/>
          <w:iCs/>
          <w:color w:val="auto"/>
        </w:rPr>
        <w:t>HS</w:t>
      </w:r>
      <w:r>
        <w:rPr>
          <w:rFonts w:ascii="Times New Roman" w:hAnsi="Times New Roman" w:cs="Times New Roman"/>
          <w:color w:val="auto"/>
        </w:rPr>
        <w:t xml:space="preserve"> e no </w:t>
      </w:r>
      <w:r>
        <w:rPr>
          <w:rFonts w:ascii="Times New Roman" w:hAnsi="Times New Roman" w:cs="Times New Roman"/>
          <w:i/>
          <w:iCs/>
          <w:color w:val="auto"/>
        </w:rPr>
        <w:t>HSW</w:t>
      </w:r>
      <w:r>
        <w:rPr>
          <w:rFonts w:ascii="Times New Roman" w:hAnsi="Times New Roman" w:cs="Times New Roman"/>
          <w:color w:val="auto"/>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2    OBJETIVO GERAL</w:t>
      </w:r>
    </w:p>
    <w:p w14:paraId="4E56C355">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Investigar os fatores preditores do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2.1 Objetivos Específicos</w:t>
      </w:r>
    </w:p>
    <w:p w14:paraId="07337297">
      <w:pPr>
        <w:pStyle w:val="10"/>
        <w:spacing w:after="0" w:line="360" w:lineRule="auto"/>
        <w:rPr>
          <w:rFonts w:ascii="Times New Roman" w:hAnsi="Times New Roman" w:cs="Times New Roman"/>
          <w:i/>
          <w:iCs/>
          <w:color w:val="auto"/>
        </w:rPr>
      </w:pPr>
      <w:r>
        <w:rPr>
          <w:rFonts w:ascii="Times New Roman" w:hAnsi="Times New Roman" w:cs="Times New Roman"/>
          <w:color w:val="auto"/>
        </w:rPr>
        <w:t xml:space="preserve">a) Averiguar a contribuição relativa das capacidades neuromusculares (força máxima relativa no </w:t>
      </w:r>
      <w:r>
        <w:rPr>
          <w:rFonts w:ascii="Times New Roman" w:hAnsi="Times New Roman" w:cs="Times New Roman"/>
          <w:i/>
          <w:iCs/>
          <w:color w:val="auto"/>
        </w:rPr>
        <w:t>SP</w:t>
      </w:r>
      <w:r>
        <w:rPr>
          <w:rFonts w:ascii="Times New Roman" w:hAnsi="Times New Roman" w:cs="Times New Roman"/>
          <w:color w:val="auto"/>
        </w:rPr>
        <w:t xml:space="preserve">, força muscular distal e resistência isométrica em inversão) para o melhor tempo de sustentação no </w:t>
      </w:r>
      <w:r>
        <w:rPr>
          <w:rFonts w:ascii="Times New Roman" w:hAnsi="Times New Roman" w:cs="Times New Roman"/>
          <w:i/>
          <w:iCs/>
          <w:color w:val="auto"/>
        </w:rPr>
        <w:t>HS</w:t>
      </w:r>
      <w:r>
        <w:rPr>
          <w:rFonts w:ascii="Times New Roman" w:hAnsi="Times New Roman" w:cs="Times New Roman"/>
          <w:color w:val="auto"/>
        </w:rPr>
        <w:t>, bem como da simetria bilateral de força dos flexores de punho (</w:t>
      </w:r>
      <w:r>
        <w:rPr>
          <w:rFonts w:ascii="Times New Roman" w:hAnsi="Times New Roman" w:cs="Times New Roman"/>
          <w:i/>
          <w:iCs/>
          <w:color w:val="auto"/>
        </w:rPr>
        <w:t>LSI</w:t>
      </w:r>
      <w:r>
        <w:rPr>
          <w:rFonts w:ascii="Times New Roman" w:hAnsi="Times New Roman" w:cs="Times New Roman"/>
          <w:color w:val="auto"/>
        </w:rPr>
        <w:t xml:space="preserve">) para a mediana da distância percorrida no </w:t>
      </w:r>
      <w:r>
        <w:rPr>
          <w:rFonts w:ascii="Times New Roman" w:hAnsi="Times New Roman" w:cs="Times New Roman"/>
          <w:i/>
          <w:iCs/>
          <w:color w:val="auto"/>
        </w:rPr>
        <w:t>HSW</w:t>
      </w:r>
      <w:r>
        <w:rPr>
          <w:rFonts w:ascii="Times New Roman" w:hAnsi="Times New Roman" w:cs="Times New Roman"/>
          <w:color w:val="auto"/>
        </w:rPr>
        <w:t>.</w:t>
      </w:r>
      <w:r>
        <w:rPr>
          <w:rFonts w:ascii="Times New Roman" w:hAnsi="Times New Roman" w:cs="Times New Roman"/>
          <w:i/>
          <w:iCs/>
          <w:color w:val="auto"/>
        </w:rPr>
        <w:t>SP</w:t>
      </w:r>
    </w:p>
    <w:p w14:paraId="6A0542F6">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b) Avaliar a relação entre parâmetros de controle postural (distância média entre CoM e CoP, velocidade do CoP e </w:t>
      </w:r>
      <w:r>
        <w:rPr>
          <w:rFonts w:ascii="Times New Roman" w:hAnsi="Times New Roman" w:cs="Times New Roman"/>
          <w:i/>
          <w:iCs/>
          <w:color w:val="auto"/>
        </w:rPr>
        <w:t>ApEn</w:t>
      </w:r>
      <w:r>
        <w:rPr>
          <w:rFonts w:ascii="Times New Roman" w:hAnsi="Times New Roman" w:cs="Times New Roman"/>
          <w:color w:val="auto"/>
        </w:rPr>
        <w:t xml:space="preserve">) para o melhor tempo de sustentação no </w:t>
      </w:r>
      <w:r>
        <w:rPr>
          <w:rFonts w:ascii="Times New Roman" w:hAnsi="Times New Roman" w:cs="Times New Roman"/>
          <w:i/>
          <w:iCs/>
          <w:color w:val="auto"/>
        </w:rPr>
        <w:t>HS</w:t>
      </w:r>
      <w:r>
        <w:rPr>
          <w:rFonts w:ascii="Times New Roman" w:hAnsi="Times New Roman" w:cs="Times New Roman"/>
          <w:color w:val="auto"/>
        </w:rPr>
        <w:t>.</w:t>
      </w:r>
    </w:p>
    <w:p w14:paraId="66E6CF66">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c) Analisar a influência de variáveis antropométricas (comprimento de membros, altura do CoM e composição corporal) sobre a estabilidade estática </w:t>
      </w:r>
      <w:r>
        <w:rPr>
          <w:rFonts w:ascii="Times New Roman" w:hAnsi="Times New Roman" w:cs="Times New Roman"/>
          <w:i/>
          <w:iCs/>
          <w:color w:val="auto"/>
        </w:rPr>
        <w:t>HS</w:t>
      </w:r>
      <w:r>
        <w:rPr>
          <w:rFonts w:ascii="Times New Roman" w:hAnsi="Times New Roman" w:cs="Times New Roman"/>
          <w:color w:val="auto"/>
        </w:rPr>
        <w:t xml:space="preserve"> e a eficiência do deslocamento no </w:t>
      </w:r>
      <w:r>
        <w:rPr>
          <w:rFonts w:ascii="Times New Roman" w:hAnsi="Times New Roman" w:cs="Times New Roman"/>
          <w:i/>
          <w:iCs/>
          <w:color w:val="auto"/>
        </w:rPr>
        <w:t>HSW</w:t>
      </w:r>
      <w:r>
        <w:rPr>
          <w:rFonts w:ascii="Times New Roman" w:hAnsi="Times New Roman" w:cs="Times New Roman"/>
          <w:color w:val="auto"/>
        </w:rPr>
        <w:t>.</w:t>
      </w:r>
    </w:p>
    <w:p w14:paraId="3FAF7BCF">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d) Comparar os padrões cinemáticos de alinhamento articular, por meio de um índice de verticalidade entre ombros e quadril, extensão cervical, ângulo de flexão plantar do tornozelo, largura da base de apoio e orientação angular das mãos, adotados por praticantes de diferentes níveis de proficiência e modalidades durante a execução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 xml:space="preserve">. ângulo de flexão plantar do tornozelo, largura da base de apoio e orientação angular das mãos, adotados por praticantes de diferentes níveis de proficiência e modalidades durante a execução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w:t>
      </w:r>
    </w:p>
    <w:p w14:paraId="4A2D826D">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e) Determinar a associação entre o tempo de prática específica e a idade cronológica com 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testando a hipótese de que a experiência prática apresenta peso preditivo preponderante em relação à idade.</w:t>
      </w:r>
    </w:p>
    <w:p w14:paraId="4EF15B59">
      <w:pPr>
        <w:pStyle w:val="10"/>
        <w:spacing w:after="0"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f) Identificar como os parâmetros espaço-temporais (comprimento médio, cadência e variabilidades espacial e temporal das passadas) influenciam no desempenho do </w:t>
      </w:r>
      <w:r>
        <w:rPr>
          <w:rFonts w:ascii="Times New Roman" w:hAnsi="Times New Roman" w:cs="Times New Roman"/>
          <w:i/>
          <w:iCs/>
          <w:color w:val="auto"/>
        </w:rPr>
        <w:t>HSW</w:t>
      </w:r>
      <w:r>
        <w:rPr>
          <w:rFonts w:ascii="Times New Roman" w:hAnsi="Times New Roman" w:cs="Times New Roman"/>
          <w:color w:val="auto"/>
        </w:rPr>
        <w:t>, bem como descrever as estratégias de locomoção adotadas por praticantes de diferentes modalidades por meio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color w:val="auto"/>
        </w:rPr>
      </w:pPr>
      <w:r>
        <w:rPr>
          <w:rFonts w:ascii="Times New Roman" w:hAnsi="Times New Roman" w:cs="Times New Roman"/>
          <w:color w:val="auto"/>
        </w:rPr>
        <w:t xml:space="preserve">g) Verificar a existência de transferência de habilidades entre o </w:t>
      </w:r>
      <w:r>
        <w:rPr>
          <w:rFonts w:ascii="Times New Roman" w:hAnsi="Times New Roman" w:cs="Times New Roman"/>
          <w:i/>
          <w:iCs/>
          <w:color w:val="auto"/>
        </w:rPr>
        <w:t>HS</w:t>
      </w:r>
      <w:r>
        <w:rPr>
          <w:rFonts w:ascii="Times New Roman" w:hAnsi="Times New Roman" w:cs="Times New Roman"/>
          <w:color w:val="auto"/>
        </w:rPr>
        <w:t xml:space="preserve"> e o </w:t>
      </w:r>
      <w:r>
        <w:rPr>
          <w:rFonts w:ascii="Times New Roman" w:hAnsi="Times New Roman" w:cs="Times New Roman"/>
          <w:i/>
          <w:iCs/>
          <w:color w:val="auto"/>
        </w:rPr>
        <w:t>HSW</w:t>
      </w:r>
      <w:r>
        <w:rPr>
          <w:rFonts w:ascii="Times New Roman" w:hAnsi="Times New Roman" w:cs="Times New Roman"/>
          <w:color w:val="auto"/>
        </w:rPr>
        <w:t>, correlacionando o melhor tempo de sustentação e a entropia aproximada (</w:t>
      </w:r>
      <w:r>
        <w:rPr>
          <w:rFonts w:ascii="Times New Roman" w:hAnsi="Times New Roman" w:cs="Times New Roman"/>
          <w:i/>
          <w:iCs/>
          <w:color w:val="auto"/>
        </w:rPr>
        <w:t>ApEn</w:t>
      </w:r>
      <w:r>
        <w:rPr>
          <w:rFonts w:ascii="Times New Roman" w:hAnsi="Times New Roman" w:cs="Times New Roman"/>
          <w:color w:val="auto"/>
        </w:rPr>
        <w:t xml:space="preserve">) no </w:t>
      </w:r>
      <w:r>
        <w:rPr>
          <w:rFonts w:ascii="Times New Roman" w:hAnsi="Times New Roman" w:cs="Times New Roman"/>
          <w:i/>
          <w:iCs/>
          <w:color w:val="auto"/>
        </w:rPr>
        <w:t>HS</w:t>
      </w:r>
      <w:r>
        <w:rPr>
          <w:rFonts w:ascii="Times New Roman" w:hAnsi="Times New Roman" w:cs="Times New Roman"/>
          <w:color w:val="auto"/>
        </w:rPr>
        <w:t xml:space="preserve"> com a mediana da distância percorrida no </w:t>
      </w:r>
      <w:r>
        <w:rPr>
          <w:rFonts w:ascii="Times New Roman" w:hAnsi="Times New Roman" w:cs="Times New Roman"/>
          <w:i/>
          <w:iCs/>
          <w:color w:val="auto"/>
        </w:rPr>
        <w:t>HSW</w:t>
      </w:r>
      <w:r>
        <w:rPr>
          <w:rFonts w:ascii="Times New Roman" w:hAnsi="Times New Roman" w:cs="Times New Roman"/>
          <w:color w:val="auto"/>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color w:val="auto"/>
        </w:rPr>
      </w:pPr>
      <w:r>
        <w:rPr>
          <w:rFonts w:ascii="Times New Roman" w:hAnsi="Times New Roman" w:cs="Times New Roman"/>
          <w:color w:val="auto"/>
        </w:rPr>
        <w:t xml:space="preserve">h) Identificar os fatores determinantes para o sucesso na autonomia de estabilização do </w:t>
      </w:r>
      <w:r>
        <w:rPr>
          <w:rFonts w:ascii="Times New Roman" w:hAnsi="Times New Roman" w:cs="Times New Roman"/>
          <w:i/>
          <w:iCs/>
          <w:color w:val="auto"/>
        </w:rPr>
        <w:t>HS</w:t>
      </w:r>
      <w:r>
        <w:rPr>
          <w:rFonts w:ascii="Times New Roman" w:hAnsi="Times New Roman" w:cs="Times New Roman"/>
          <w:color w:val="auto"/>
        </w:rPr>
        <w:t xml:space="preserve"> livre por meio de regressão logística binária, testando a contribuição relativa da força máxima de empurrar no </w:t>
      </w:r>
      <w:r>
        <w:rPr>
          <w:rFonts w:ascii="Times New Roman" w:hAnsi="Times New Roman" w:cs="Times New Roman"/>
          <w:i/>
          <w:iCs/>
          <w:color w:val="auto"/>
        </w:rPr>
        <w:t>SP</w:t>
      </w:r>
      <w:r>
        <w:rPr>
          <w:rFonts w:ascii="Times New Roman" w:hAnsi="Times New Roman" w:cs="Times New Roman"/>
          <w:color w:val="auto"/>
        </w:rPr>
        <w:t>, do melhor tempo de sustentação prévio no bloco assistido e do volume de prática acumulada (horas).</w:t>
      </w:r>
    </w:p>
    <w:p w14:paraId="3688E4AB">
      <w:pPr>
        <w:pStyle w:val="2"/>
        <w:spacing w:before="0" w:after="140" w:line="360" w:lineRule="auto"/>
        <w:rPr>
          <w:rFonts w:hint="default" w:ascii="Times New Roman" w:hAnsi="Times New Roman" w:eastAsia="Times New Roman" w:cs="Times New Roman"/>
          <w:color w:val="auto"/>
        </w:rPr>
      </w:pPr>
      <w:r>
        <w:rPr>
          <w:rFonts w:ascii="Times New Roman" w:hAnsi="Times New Roman" w:cs="Times New Roman"/>
          <w:color w:val="auto"/>
        </w:rPr>
        <w:t>3    MÉTODO</w:t>
      </w:r>
    </w:p>
    <w:p w14:paraId="3CB949C4">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color w:val="auto"/>
          <w:sz w:val="24"/>
          <w:szCs w:val="24"/>
          <w:lang w:val="pt-BR" w:eastAsia="pt-BR" w:bidi="ar-SA"/>
        </w:rPr>
      </w:pPr>
      <w:r>
        <w:rPr>
          <w:rFonts w:ascii="Times New Roman" w:hAnsi="Times New Roman" w:cs="Times New Roman"/>
          <w:color w:val="auto"/>
        </w:rPr>
        <w:t>Trata-se de um estudo observacional, transversal e analítico. O protocolo experimental foi estruturado para investigar os fatores determinantes e preditores do desempenho estático (</w:t>
      </w:r>
      <w:r>
        <w:rPr>
          <w:rFonts w:ascii="Times New Roman" w:hAnsi="Times New Roman" w:cs="Times New Roman"/>
          <w:i/>
          <w:iCs/>
          <w:color w:val="auto"/>
        </w:rPr>
        <w:t>HS</w:t>
      </w:r>
      <w:r>
        <w:rPr>
          <w:rFonts w:ascii="Times New Roman" w:hAnsi="Times New Roman" w:cs="Times New Roman"/>
          <w:color w:val="auto"/>
        </w:rPr>
        <w:t>) e dinâmico (</w:t>
      </w:r>
      <w:r>
        <w:rPr>
          <w:rFonts w:ascii="Times New Roman" w:hAnsi="Times New Roman" w:cs="Times New Roman"/>
          <w:i/>
          <w:iCs/>
          <w:color w:val="auto"/>
        </w:rPr>
        <w:t>HSW</w:t>
      </w:r>
      <w:r>
        <w:rPr>
          <w:rFonts w:ascii="Times New Roman" w:hAnsi="Times New Roman" w:cs="Times New Roman"/>
          <w:color w:val="auto"/>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color w:val="auto"/>
        </w:rPr>
      </w:pPr>
      <w:r>
        <w:rPr>
          <w:rFonts w:ascii="Times New Roman" w:hAnsi="Times New Roman" w:cs="Times New Roman"/>
          <w:color w:val="auto"/>
        </w:rPr>
        <w:t xml:space="preserve">A coleta de dados será realizada em duas sessões distintas nas dependências da Escola de Educação Física e Esportes de Ribeirão Preto da Universidade de São Paulo (EEFERP-USP), localizada na Avenida Bandeirantes, 3900, Vila Monte Alegre, Ribeirão Preto – </w:t>
      </w:r>
      <w:r>
        <w:rPr>
          <w:rFonts w:ascii="Times New Roman" w:hAnsi="Times New Roman" w:cs="Times New Roman"/>
          <w:i/>
          <w:iCs/>
          <w:color w:val="auto"/>
        </w:rPr>
        <w:t>SP</w:t>
      </w:r>
      <w:r>
        <w:rPr>
          <w:rFonts w:ascii="Times New Roman" w:hAnsi="Times New Roman" w:cs="Times New Roman"/>
          <w:color w:val="auto"/>
        </w:rPr>
        <w:t>. A primeira sessão ocorrerá no Laboratório de Cineantropometria e Desempenho Humano (LaCiDH) e contemplará as avaliações força isométrica distal bilateral (força de preensão manual e pico de torque dos flexores de punho), teste de resistência em posição invertida (</w:t>
      </w:r>
      <w:r>
        <w:rPr>
          <w:rFonts w:ascii="Times New Roman" w:hAnsi="Times New Roman" w:cs="Times New Roman"/>
          <w:i/>
          <w:iCs/>
          <w:color w:val="auto"/>
        </w:rPr>
        <w:t>wall</w:t>
      </w:r>
      <w:r>
        <w:rPr>
          <w:rFonts w:ascii="Times New Roman" w:hAnsi="Times New Roman" w:cs="Times New Roman"/>
          <w:color w:val="auto"/>
        </w:rPr>
        <w:t>-</w:t>
      </w:r>
      <w:r>
        <w:rPr>
          <w:rFonts w:ascii="Times New Roman" w:hAnsi="Times New Roman" w:cs="Times New Roman"/>
          <w:i/>
          <w:iCs/>
          <w:color w:val="auto"/>
        </w:rPr>
        <w:t>supported</w:t>
      </w:r>
      <w:r>
        <w:rPr>
          <w:rFonts w:ascii="Times New Roman" w:hAnsi="Times New Roman" w:cs="Times New Roman"/>
          <w:color w:val="auto"/>
        </w:rPr>
        <w:t xml:space="preserve"> </w:t>
      </w:r>
      <w:r>
        <w:rPr>
          <w:rFonts w:ascii="Times New Roman" w:hAnsi="Times New Roman" w:cs="Times New Roman"/>
          <w:i/>
          <w:iCs/>
          <w:color w:val="auto"/>
        </w:rPr>
        <w:t>HS</w:t>
      </w:r>
      <w:r>
        <w:rPr>
          <w:rFonts w:ascii="Times New Roman" w:hAnsi="Times New Roman" w:cs="Times New Roman"/>
          <w:color w:val="auto"/>
        </w:rPr>
        <w:t xml:space="preserve">) e teste de uma repetição máxima (1-RM) no </w:t>
      </w:r>
      <w:r>
        <w:rPr>
          <w:rFonts w:ascii="Times New Roman" w:hAnsi="Times New Roman" w:cs="Times New Roman"/>
          <w:i/>
          <w:iCs/>
          <w:color w:val="auto"/>
        </w:rPr>
        <w:t>SP</w:t>
      </w:r>
      <w:r>
        <w:rPr>
          <w:rFonts w:ascii="Times New Roman" w:hAnsi="Times New Roman" w:cs="Times New Roman"/>
          <w:color w:val="auto"/>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ascii="Times New Roman" w:hAnsi="Times New Roman" w:cs="Times New Roman"/>
          <w:i/>
          <w:iCs/>
          <w:color w:val="auto"/>
        </w:rPr>
        <w:t>HS</w:t>
      </w:r>
      <w:r>
        <w:rPr>
          <w:rFonts w:ascii="Times New Roman" w:hAnsi="Times New Roman" w:cs="Times New Roman"/>
          <w:color w:val="auto"/>
        </w:rPr>
        <w:t xml:space="preserve"> e do </w:t>
      </w:r>
      <w:r>
        <w:rPr>
          <w:rFonts w:ascii="Times New Roman" w:hAnsi="Times New Roman" w:cs="Times New Roman"/>
          <w:i/>
          <w:iCs/>
          <w:color w:val="auto"/>
        </w:rPr>
        <w:t>HSW</w:t>
      </w:r>
      <w:r>
        <w:rPr>
          <w:rFonts w:ascii="Times New Roman" w:hAnsi="Times New Roman" w:cs="Times New Roman"/>
          <w:color w:val="auto"/>
        </w:rPr>
        <w:t xml:space="preserve"> por meio de sistema de captura de movimento (Vicon®,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 CoP, distância CoP-CoM e </w:t>
      </w:r>
      <w:r>
        <w:rPr>
          <w:rFonts w:ascii="Times New Roman" w:hAnsi="Times New Roman" w:cs="Times New Roman"/>
          <w:i/>
          <w:iCs/>
          <w:color w:val="auto"/>
        </w:rPr>
        <w:t>ApEn</w:t>
      </w:r>
      <w:r>
        <w:rPr>
          <w:rFonts w:ascii="Times New Roman" w:hAnsi="Times New Roman" w:cs="Times New Roman"/>
          <w:color w:val="auto"/>
        </w:rPr>
        <w:t xml:space="preserve">. Para garantir a validade das medidas de força, em que os efeitos da fadiga neuromuscular são detrimentais, a coleta de dados sempre começará com a sessão das avaliações de força [34]. A sessão de avaliação do desempenho no </w:t>
      </w:r>
      <w:r>
        <w:rPr>
          <w:rFonts w:ascii="Times New Roman" w:hAnsi="Times New Roman" w:cs="Times New Roman"/>
          <w:i/>
          <w:iCs/>
          <w:color w:val="auto"/>
        </w:rPr>
        <w:t>HS</w:t>
      </w:r>
      <w:r>
        <w:rPr>
          <w:rFonts w:ascii="Times New Roman" w:hAnsi="Times New Roman" w:cs="Times New Roman"/>
          <w:color w:val="auto"/>
        </w:rPr>
        <w:t xml:space="preserve"> e </w:t>
      </w:r>
      <w:r>
        <w:rPr>
          <w:rFonts w:ascii="Times New Roman" w:hAnsi="Times New Roman" w:cs="Times New Roman"/>
          <w:i/>
          <w:iCs/>
          <w:color w:val="auto"/>
        </w:rPr>
        <w:t>HSW</w:t>
      </w:r>
      <w:r>
        <w:rPr>
          <w:rFonts w:ascii="Times New Roman" w:hAnsi="Times New Roman" w:cs="Times New Roman"/>
          <w:color w:val="auto"/>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color w:val="auto"/>
        </w:rPr>
      </w:pPr>
      <w:r>
        <w:rPr>
          <w:rFonts w:ascii="Times New Roman" w:hAnsi="Times New Roman" w:cs="Times New Roman"/>
          <w:color w:val="auto"/>
        </w:rPr>
        <w:t xml:space="preserve">O desempenho no </w:t>
      </w:r>
      <w:r>
        <w:rPr>
          <w:rFonts w:ascii="Times New Roman" w:hAnsi="Times New Roman" w:cs="Times New Roman"/>
          <w:i/>
          <w:iCs/>
          <w:color w:val="auto"/>
        </w:rPr>
        <w:t>HS</w:t>
      </w:r>
      <w:r>
        <w:rPr>
          <w:rFonts w:ascii="Times New Roman" w:hAnsi="Times New Roman" w:cs="Times New Roman"/>
          <w:color w:val="auto"/>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w:t>
      </w:r>
      <w:r>
        <w:rPr>
          <w:rFonts w:ascii="Times New Roman" w:hAnsi="Times New Roman" w:cs="Times New Roman"/>
          <w:i/>
          <w:iCs/>
          <w:color w:val="auto"/>
        </w:rPr>
        <w:t>HSW</w:t>
      </w:r>
      <w:r>
        <w:rPr>
          <w:rFonts w:ascii="Times New Roman" w:hAnsi="Times New Roman" w:cs="Times New Roman"/>
          <w:color w:val="auto"/>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[29]</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ascii="Times New Roman" w:hAnsi="Times New Roman" w:cs="Times New Roman"/>
          <w:i/>
          <w:iCs/>
          <w:color w:val="auto"/>
        </w:rPr>
        <w:t>HS</w:t>
      </w:r>
      <w:r>
        <w:rPr>
          <w:rFonts w:ascii="Times New Roman" w:hAnsi="Times New Roman" w:cs="Times New Roman"/>
          <w:color w:val="auto"/>
        </w:rPr>
        <w:t xml:space="preserve"> estão apresentadas no Quadro 1 </w:t>
      </w:r>
      <w:bookmarkStart w:id="3" w:name="docs-internal-guid-8216d3de-7fff-2599-8c"/>
      <w:bookmarkEnd w:id="3"/>
      <w:r>
        <w:rPr>
          <w:rFonts w:ascii="Times New Roman" w:hAnsi="Times New Roman" w:cs="Times New Roman"/>
          <w:color w:val="auto"/>
        </w:rPr>
        <w:t xml:space="preserve">e as correlacionadas ao nível de desempenho do </w:t>
      </w:r>
      <w:r>
        <w:rPr>
          <w:rFonts w:ascii="Times New Roman" w:hAnsi="Times New Roman" w:cs="Times New Roman"/>
          <w:i/>
          <w:iCs/>
          <w:color w:val="auto"/>
        </w:rPr>
        <w:t>HSW</w:t>
      </w:r>
      <w:r>
        <w:rPr>
          <w:rFonts w:ascii="Times New Roman" w:hAnsi="Times New Roman" w:cs="Times New Roman"/>
          <w:color w:val="auto"/>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color w:val="auto"/>
        </w:rPr>
      </w:pPr>
      <w:r>
        <w:rPr>
          <w:rFonts w:ascii="Times New Roman" w:hAnsi="Times New Roman" w:cs="Times New Roman"/>
          <w:color w:val="auto"/>
        </w:rPr>
        <w:t xml:space="preserve">QUADRO 1 – Variáveis relacionadas ao desempenho no </w:t>
      </w:r>
      <w:r>
        <w:rPr>
          <w:rFonts w:ascii="Times New Roman" w:hAnsi="Times New Roman" w:cs="Times New Roman"/>
          <w:i/>
          <w:iCs/>
          <w:color w:val="auto"/>
        </w:rPr>
        <w:t>HS</w:t>
      </w:r>
      <w:r>
        <w:rPr>
          <w:rFonts w:ascii="Times New Roman" w:hAnsi="Times New Roman" w:cs="Times New Roman"/>
          <w:color w:val="auto"/>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color w:val="auto"/>
                <w:lang w:val="pt-BR"/>
              </w:rPr>
            </w:pPr>
            <w:r>
              <w:rPr>
                <w:rFonts w:hint="default" w:ascii="Times New Roman" w:hAnsi="Times New Roman" w:eastAsia="Times New Roman" w:cs="Times New Roman"/>
                <w:b/>
                <w:bCs/>
                <w:color w:val="auto"/>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Melhor tempo de sustentação</w:t>
            </w:r>
            <w:r>
              <w:rPr>
                <w:rFonts w:hint="default" w:ascii="Times New Roman" w:hAnsi="Times New Roman" w:eastAsia="Times New Roman" w:cs="Times New Roman"/>
                <w:color w:val="auto"/>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49079A07">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D8ABFC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sz w:val="24"/>
                <w:szCs w:val="24"/>
                <w:lang w:val="en-US" w:eastAsia="zh-CN" w:bidi="ar-SA"/>
              </w:rPr>
              <w:t>Avalia o êxito na entrada autônoma e estabilização livre por ≥</w:t>
            </w:r>
            <w:r>
              <w:rPr>
                <w:rFonts w:hint="default" w:ascii="Times New Roman" w:hAnsi="Times New Roman" w:eastAsia="Times New Roman" w:cs="Times New Roman"/>
                <w:color w:val="auto"/>
                <w:sz w:val="24"/>
                <w:szCs w:val="24"/>
                <w:lang w:val="pt-BR" w:eastAsia="zh-CN" w:bidi="ar-SA"/>
              </w:rPr>
              <w:t>3</w:t>
            </w:r>
            <w:r>
              <w:rPr>
                <w:rFonts w:hint="default" w:ascii="Times New Roman" w:hAnsi="Times New Roman" w:eastAsia="Times New Roman" w:cs="Times New Roman"/>
                <w:color w:val="auto"/>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7716F3C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6CCF34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color w:val="auto"/>
                <w:sz w:val="24"/>
                <w:szCs w:val="24"/>
              </w:rPr>
            </w:pPr>
            <w:r>
              <w:rPr>
                <w:rFonts w:hint="default" w:ascii="Times New Roman" w:hAnsi="Times New Roman" w:eastAsia="sans-serif" w:cs="Times New Roman"/>
                <w:color w:val="auto"/>
                <w:kern w:val="0"/>
                <w:sz w:val="24"/>
                <w:szCs w:val="24"/>
                <w:lang w:val="en-US" w:eastAsia="zh-CN" w:bidi="ar"/>
              </w:rPr>
              <w:t>Influência da orientação da cabeça no feedback visual e organização postural.</w:t>
            </w:r>
            <w:r>
              <w:rPr>
                <w:rFonts w:hint="default" w:ascii="Times New Roman" w:hAnsi="Times New Roman" w:eastAsia="SimSun" w:cs="Times New Roman"/>
                <w:color w:val="auto"/>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color w:val="auto"/>
                <w:lang w:val="pt-BR"/>
              </w:rPr>
            </w:pPr>
            <w:r>
              <w:rPr>
                <w:rFonts w:hint="default" w:ascii="Times New Roman" w:hAnsi="Times New Roman" w:cs="Times New Roman"/>
                <w:color w:val="auto"/>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color w:val="auto"/>
                <w:lang w:val="pt-BR"/>
              </w:rPr>
            </w:pPr>
            <w:r>
              <w:rPr>
                <w:rFonts w:hint="default" w:ascii="Times New Roman" w:hAnsi="Times New Roman" w:cs="Times New Roman"/>
                <w:color w:val="auto"/>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color w:val="auto"/>
              </w:rPr>
            </w:pPr>
            <w:r>
              <w:rPr>
                <w:rFonts w:hint="default" w:ascii="Times New Roman" w:hAnsi="Times New Roman" w:cs="Times New Roman"/>
                <w:color w:val="auto"/>
              </w:rPr>
              <w:t xml:space="preserve">Captura de Movimento </w:t>
            </w:r>
          </w:p>
          <w:p w14:paraId="26CE6D70">
            <w:pPr>
              <w:rPr>
                <w:rFonts w:hint="default" w:ascii="Times New Roman" w:hAnsi="Times New Roman" w:cs="Times New Roman"/>
                <w:color w:val="auto"/>
              </w:rPr>
            </w:pPr>
            <w:r>
              <w:rPr>
                <w:rFonts w:hint="default" w:ascii="Times New Roman" w:hAnsi="Times New Roman" w:cs="Times New Roman"/>
                <w:color w:val="auto"/>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color w:val="auto"/>
                <w:lang w:val="pt-BR" w:eastAsia="zh-CN"/>
              </w:rPr>
            </w:pPr>
            <w:r>
              <w:rPr>
                <w:rFonts w:hint="default" w:ascii="Times New Roman" w:hAnsi="Times New Roman" w:cs="Times New Roman"/>
                <w:color w:val="auto"/>
              </w:rPr>
              <w:t xml:space="preserve">Avalia a rigidez segmentar distal e </w:t>
            </w:r>
            <w:r>
              <w:rPr>
                <w:rFonts w:hint="default" w:ascii="Times New Roman" w:hAnsi="Times New Roman" w:cs="Times New Roman"/>
                <w:color w:val="auto"/>
                <w:lang w:val="pt-BR"/>
              </w:rPr>
              <w:t>engajamento muscular</w:t>
            </w:r>
            <w:r>
              <w:rPr>
                <w:rFonts w:hint="default" w:ascii="Times New Roman" w:hAnsi="Times New Roman" w:cs="Times New Roman"/>
                <w:color w:val="auto"/>
              </w:rPr>
              <w:t xml:space="preserve"> </w:t>
            </w:r>
            <w:r>
              <w:rPr>
                <w:rFonts w:hint="default" w:ascii="Times New Roman" w:hAnsi="Times New Roman" w:cs="Times New Roman"/>
                <w:i/>
                <w:iCs/>
                <w:color w:val="auto"/>
              </w:rPr>
              <w:t>single-link</w:t>
            </w:r>
            <w:r>
              <w:rPr>
                <w:rFonts w:hint="default" w:ascii="Times New Roman" w:hAnsi="Times New Roman" w:cs="Times New Roman"/>
                <w:color w:val="auto"/>
                <w:lang w:val="pt-BR"/>
              </w:rPr>
              <w:t xml:space="preserve"> (rígido)</w:t>
            </w:r>
            <w:r>
              <w:rPr>
                <w:rFonts w:hint="default" w:ascii="Times New Roman" w:hAnsi="Times New Roman" w:cs="Times New Roman"/>
                <w:color w:val="auto"/>
              </w:rPr>
              <w:t> vs. </w:t>
            </w:r>
            <w:r>
              <w:rPr>
                <w:rFonts w:hint="default" w:ascii="Times New Roman" w:hAnsi="Times New Roman" w:cs="Times New Roman"/>
                <w:i/>
                <w:iCs/>
                <w:color w:val="auto"/>
              </w:rPr>
              <w:t>multi-link</w:t>
            </w:r>
            <w:r>
              <w:rPr>
                <w:rFonts w:hint="default" w:ascii="Times New Roman" w:hAnsi="Times New Roman" w:cs="Times New Roman"/>
                <w:color w:val="auto"/>
              </w:rPr>
              <w:t> </w:t>
            </w:r>
            <w:r>
              <w:rPr>
                <w:rFonts w:hint="default" w:ascii="Times New Roman" w:hAnsi="Times New Roman" w:cs="Times New Roman"/>
                <w:color w:val="auto"/>
                <w:lang w:val="pt-BR"/>
              </w:rPr>
              <w:t>(os</w:t>
            </w:r>
            <w:r>
              <w:rPr>
                <w:rFonts w:hint="default" w:ascii="Times New Roman" w:hAnsi="Times New Roman" w:cs="Times New Roman"/>
                <w:color w:val="auto"/>
              </w:rPr>
              <w:t>ila</w:t>
            </w:r>
            <w:r>
              <w:rPr>
                <w:rFonts w:hint="default" w:ascii="Times New Roman" w:hAnsi="Times New Roman" w:cs="Times New Roman"/>
                <w:color w:val="auto"/>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 xml:space="preserve">Largura da </w:t>
            </w:r>
            <w:r>
              <w:rPr>
                <w:rFonts w:hint="default" w:ascii="Times New Roman" w:hAnsi="Times New Roman" w:eastAsia="Times New Roman" w:cs="Times New Roman"/>
                <w:color w:val="auto"/>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A50CFE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C57F19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Entropia Aproximada (</w:t>
            </w:r>
            <w:r>
              <w:rPr>
                <w:rFonts w:hint="default" w:ascii="Times New Roman" w:hAnsi="Times New Roman" w:eastAsia="Times New Roman" w:cs="Times New Roman"/>
                <w:color w:val="auto"/>
              </w:rPr>
              <w:t>ApEn</w:t>
            </w:r>
            <w:r>
              <w:rPr>
                <w:rFonts w:hint="default" w:ascii="Times New Roman" w:hAnsi="Times New Roman" w:eastAsia="Times New Roman" w:cs="Times New Roman"/>
                <w:color w:val="auto"/>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color w:val="auto"/>
              </w:rPr>
            </w:pPr>
            <w:r>
              <w:rPr>
                <w:rFonts w:hint="default" w:ascii="Times New Roman" w:hAnsi="Times New Roman" w:eastAsia="SimSun" w:cs="Times New Roman"/>
                <w:color w:val="auto"/>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43B7C278">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Pico de torque</w:t>
            </w:r>
            <w:r>
              <w:rPr>
                <w:rFonts w:hint="default" w:ascii="Times New Roman" w:hAnsi="Times New Roman" w:eastAsia="Times New Roman" w:cs="Times New Roman"/>
                <w:color w:val="auto"/>
              </w:rPr>
              <w:t xml:space="preserve"> flexores de punhos</w:t>
            </w:r>
            <w:r>
              <w:rPr>
                <w:rFonts w:hint="default" w:ascii="Times New Roman" w:hAnsi="Times New Roman" w:eastAsia="Times New Roman" w:cs="Times New Roman"/>
                <w:color w:val="auto"/>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color w:val="auto"/>
                <w:lang w:val="pt-BR"/>
              </w:rPr>
            </w:pPr>
            <w:r>
              <w:rPr>
                <w:rFonts w:hint="default" w:ascii="Times New Roman" w:hAnsi="Times New Roman" w:eastAsia="Times New Roman" w:cs="Times New Roman"/>
                <w:color w:val="auto"/>
              </w:rPr>
              <w:t>Força máxima relativa à massa corporal no shoulder press</w:t>
            </w:r>
            <w:r>
              <w:rPr>
                <w:rFonts w:hint="default" w:ascii="Times New Roman" w:hAnsi="Times New Roman" w:eastAsia="Times New Roman" w:cs="Times New Roman"/>
                <w:color w:val="auto"/>
                <w:lang w:val="pt-BR"/>
              </w:rPr>
              <w:t xml:space="preserve"> (%</w:t>
            </w:r>
            <w:r>
              <w:rPr>
                <w:rFonts w:hint="default" w:ascii="Times New Roman" w:hAnsi="Times New Roman" w:eastAsia="Times New Roman" w:cs="Times New Roman"/>
                <w:i/>
                <w:iCs/>
                <w:color w:val="auto"/>
                <w:lang w:val="pt-BR"/>
              </w:rPr>
              <w:t>SP</w:t>
            </w:r>
            <w:r>
              <w:rPr>
                <w:rFonts w:hint="default" w:ascii="Times New Roman" w:hAnsi="Times New Roman" w:eastAsia="Times New Roman" w:cs="Times New Roman"/>
                <w:color w:val="auto"/>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Resistência em posição invertida (</w:t>
            </w:r>
            <w:r>
              <w:rPr>
                <w:rFonts w:hint="default" w:ascii="Times New Roman" w:hAnsi="Times New Roman" w:eastAsia="Times New Roman" w:cs="Times New Roman"/>
                <w:i/>
                <w:iCs/>
                <w:color w:val="auto"/>
              </w:rPr>
              <w:t>wall-supported HS</w:t>
            </w:r>
            <w:r>
              <w:rPr>
                <w:rFonts w:hint="default" w:ascii="Times New Roman" w:hAnsi="Times New Roman" w:eastAsia="Times New Roman" w:cs="Times New Roman"/>
                <w:color w:val="auto"/>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BC83EE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Comprimentos dos Membros</w:t>
            </w:r>
            <w:r>
              <w:rPr>
                <w:rFonts w:hint="default" w:ascii="Times New Roman" w:hAnsi="Times New Roman" w:eastAsia="Times New Roman" w:cs="Times New Roman"/>
                <w:color w:val="auto"/>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A01393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Composição Corporal: % de Gordura</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Impacto da adiposidade (lastro inerte desestabilizador) na capacidade de sustentação. A massa livre de gordura (kg) é aferida para caracterização geral da amostra.</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color w:val="auto"/>
              </w:rPr>
            </w:pPr>
            <w:r>
              <w:rPr>
                <w:rFonts w:hint="default" w:ascii="Times New Roman" w:hAnsi="Times New Roman" w:cs="Times New Roman"/>
                <w:color w:val="auto"/>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I</w:t>
            </w:r>
            <w:r>
              <w:rPr>
                <w:rFonts w:hint="default" w:ascii="Times New Roman" w:hAnsi="Times New Roman" w:eastAsia="Times New Roman" w:cs="Times New Roman"/>
                <w:color w:val="auto"/>
              </w:rPr>
              <w:t xml:space="preserve">dade </w:t>
            </w:r>
            <w:r>
              <w:rPr>
                <w:rFonts w:hint="default" w:ascii="Times New Roman" w:hAnsi="Times New Roman" w:eastAsia="Times New Roman" w:cs="Times New Roman"/>
                <w:color w:val="auto"/>
                <w:lang w:val="pt-BR"/>
              </w:rPr>
              <w:t>C</w:t>
            </w:r>
            <w:r>
              <w:rPr>
                <w:rFonts w:hint="default" w:ascii="Times New Roman" w:hAnsi="Times New Roman" w:eastAsia="Times New Roman" w:cs="Times New Roman"/>
                <w:color w:val="auto"/>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Fonte: Elaborado pelo autor (2025).</w:t>
      </w:r>
    </w:p>
    <w:p w14:paraId="5C2A99B7">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 xml:space="preserve">QUADRO 2 – Variáveis relacionadas ao desempenho no </w:t>
      </w:r>
      <w:r>
        <w:rPr>
          <w:rFonts w:ascii="Times New Roman" w:hAnsi="Times New Roman" w:cs="Times New Roman"/>
          <w:i/>
          <w:iCs/>
          <w:color w:val="auto"/>
        </w:rPr>
        <w:t>HSW</w:t>
      </w:r>
      <w:r>
        <w:rPr>
          <w:rFonts w:ascii="Times New Roman" w:hAnsi="Times New Roman" w:cs="Times New Roman"/>
          <w:color w:val="auto"/>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color w:val="auto"/>
                <w:lang w:val="pt-BR"/>
              </w:rPr>
            </w:pPr>
            <w:r>
              <w:rPr>
                <w:rFonts w:hint="default" w:ascii="Times New Roman" w:hAnsi="Times New Roman" w:eastAsia="Times New Roman" w:cs="Times New Roman"/>
                <w:b/>
                <w:bCs/>
                <w:color w:val="auto"/>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 xml:space="preserve">Mediana da </w:t>
            </w:r>
            <w:r>
              <w:rPr>
                <w:rFonts w:hint="default" w:ascii="Times New Roman" w:hAnsi="Times New Roman" w:eastAsia="Times New Roman" w:cs="Times New Roman"/>
                <w:color w:val="auto"/>
              </w:rPr>
              <w:t xml:space="preserve">Distância </w:t>
            </w:r>
            <w:r>
              <w:rPr>
                <w:rFonts w:hint="default" w:ascii="Times New Roman" w:hAnsi="Times New Roman" w:eastAsia="Times New Roman" w:cs="Times New Roman"/>
                <w:color w:val="auto"/>
                <w:lang w:val="pt-BR"/>
              </w:rPr>
              <w:t>P</w:t>
            </w:r>
            <w:r>
              <w:rPr>
                <w:rFonts w:hint="default" w:ascii="Times New Roman" w:hAnsi="Times New Roman" w:eastAsia="Times New Roman" w:cs="Times New Roman"/>
                <w:color w:val="auto"/>
              </w:rPr>
              <w:t>ercorrida</w:t>
            </w:r>
            <w:r>
              <w:rPr>
                <w:rFonts w:hint="default" w:ascii="Times New Roman" w:hAnsi="Times New Roman" w:eastAsia="Times New Roman" w:cs="Times New Roman"/>
                <w:color w:val="auto"/>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AD66AC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color w:val="auto"/>
              </w:rPr>
            </w:pPr>
            <w:r>
              <w:rPr>
                <w:rFonts w:hint="default" w:ascii="Times New Roman" w:hAnsi="Times New Roman" w:eastAsia="Times New Roman" w:cs="Times New Roman"/>
                <w:color w:val="auto"/>
              </w:rPr>
              <w:t xml:space="preserve">Melhor tempo de sustentação no </w:t>
            </w:r>
            <w:r>
              <w:rPr>
                <w:rFonts w:hint="default" w:ascii="Times New Roman" w:hAnsi="Times New Roman" w:eastAsia="Times New Roman" w:cs="Times New Roman"/>
                <w:i/>
                <w:iCs/>
                <w:color w:val="auto"/>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3374603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color w:val="auto"/>
              </w:rPr>
            </w:pPr>
            <w:r>
              <w:rPr>
                <w:rFonts w:hint="default" w:ascii="Times New Roman" w:hAnsi="Times New Roman" w:eastAsia="Times New Roman" w:cs="Times New Roman"/>
                <w:color w:val="auto"/>
              </w:rPr>
              <w:t xml:space="preserve">ApEn no </w:t>
            </w:r>
            <w:r>
              <w:rPr>
                <w:rFonts w:hint="default" w:ascii="Times New Roman" w:hAnsi="Times New Roman" w:eastAsia="Times New Roman" w:cs="Times New Roman"/>
                <w:i/>
                <w:iCs/>
                <w:color w:val="auto"/>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48560B9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50E1C98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Variabilidade </w:t>
            </w:r>
            <w:r>
              <w:rPr>
                <w:rFonts w:hint="default" w:ascii="Times New Roman" w:hAnsi="Times New Roman" w:eastAsia="Times New Roman" w:cs="Times New Roman"/>
                <w:color w:val="auto"/>
                <w:lang w:val="pt-BR"/>
              </w:rPr>
              <w:t>E</w:t>
            </w:r>
            <w:r>
              <w:rPr>
                <w:rFonts w:hint="default" w:ascii="Times New Roman" w:hAnsi="Times New Roman" w:eastAsia="Times New Roman" w:cs="Times New Roman"/>
                <w:color w:val="auto"/>
              </w:rPr>
              <w:t xml:space="preserve">spacial entre </w:t>
            </w:r>
            <w:r>
              <w:rPr>
                <w:rFonts w:hint="default" w:ascii="Times New Roman" w:hAnsi="Times New Roman" w:eastAsia="Times New Roman" w:cs="Times New Roman"/>
                <w:color w:val="auto"/>
                <w:lang w:val="pt-BR"/>
              </w:rPr>
              <w:t>P</w:t>
            </w:r>
            <w:r>
              <w:rPr>
                <w:rFonts w:hint="default" w:ascii="Times New Roman" w:hAnsi="Times New Roman" w:eastAsia="Times New Roman" w:cs="Times New Roman"/>
                <w:color w:val="auto"/>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63DE86D2">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Variabilidade </w:t>
            </w:r>
            <w:r>
              <w:rPr>
                <w:rFonts w:hint="default" w:ascii="Times New Roman" w:hAnsi="Times New Roman" w:eastAsia="Times New Roman" w:cs="Times New Roman"/>
                <w:color w:val="auto"/>
                <w:lang w:val="pt-BR"/>
              </w:rPr>
              <w:t>T</w:t>
            </w:r>
            <w:r>
              <w:rPr>
                <w:rFonts w:hint="default" w:ascii="Times New Roman" w:hAnsi="Times New Roman" w:eastAsia="Times New Roman" w:cs="Times New Roman"/>
                <w:color w:val="auto"/>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0D368F7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459713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color w:val="auto"/>
                <w:sz w:val="24"/>
                <w:szCs w:val="24"/>
                <w:lang w:val="pt-BR" w:eastAsia="pt-BR" w:bidi="ar-SA"/>
              </w:rPr>
            </w:pPr>
            <w:r>
              <w:rPr>
                <w:rFonts w:hint="default" w:ascii="Times New Roman" w:hAnsi="Times New Roman" w:eastAsia="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91FF67E">
            <w:pPr>
              <w:spacing w:line="360" w:lineRule="auto"/>
              <w:jc w:val="left"/>
              <w:rPr>
                <w:rFonts w:hint="default" w:ascii="Times New Roman" w:hAnsi="Times New Roman" w:eastAsia="Times New Roman" w:cs="Times New Roman"/>
                <w:color w:val="auto"/>
                <w:sz w:val="24"/>
                <w:szCs w:val="24"/>
                <w:lang w:val="pt-BR" w:eastAsia="pt-BR" w:bidi="ar-SA"/>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Times New Roman" w:cs="Times New Roman"/>
                <w:color w:val="auto"/>
                <w:sz w:val="24"/>
                <w:szCs w:val="24"/>
                <w:lang w:val="pt-BR" w:eastAsia="pt-BR" w:bidi="ar-SA"/>
              </w:rPr>
            </w:pPr>
            <w:r>
              <w:rPr>
                <w:rFonts w:hint="default" w:ascii="Times New Roman" w:hAnsi="Times New Roman" w:cs="Times New Roman"/>
                <w:color w:val="auto"/>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Times New Roman" w:cs="Times New Roman"/>
                <w:color w:val="auto"/>
                <w:sz w:val="24"/>
                <w:szCs w:val="24"/>
                <w:lang w:val="pt-BR" w:eastAsia="pt-BR" w:bidi="ar-SA"/>
              </w:rPr>
            </w:pPr>
            <w:r>
              <w:rPr>
                <w:rFonts w:hint="default" w:ascii="Times New Roman" w:hAnsi="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color w:val="auto"/>
              </w:rPr>
            </w:pPr>
            <w:r>
              <w:rPr>
                <w:rFonts w:hint="default" w:ascii="Times New Roman" w:hAnsi="Times New Roman" w:cs="Times New Roman"/>
                <w:color w:val="auto"/>
              </w:rPr>
              <w:t xml:space="preserve">Captura de Movimento </w:t>
            </w:r>
          </w:p>
          <w:p w14:paraId="3CC5A01D">
            <w:pPr>
              <w:rPr>
                <w:rFonts w:hint="default" w:ascii="Times New Roman" w:hAnsi="Times New Roman" w:eastAsia="Times New Roman" w:cs="Times New Roman"/>
                <w:color w:val="auto"/>
                <w:sz w:val="24"/>
                <w:szCs w:val="24"/>
                <w:lang w:val="pt-BR" w:eastAsia="pt-BR" w:bidi="ar-SA"/>
              </w:rPr>
            </w:pPr>
            <w:r>
              <w:rPr>
                <w:rFonts w:hint="default" w:ascii="Times New Roman" w:hAnsi="Times New Roman" w:cs="Times New Roman"/>
                <w:color w:val="auto"/>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Times New Roman" w:cs="Times New Roman"/>
                <w:color w:val="auto"/>
                <w:sz w:val="24"/>
                <w:szCs w:val="24"/>
                <w:lang w:val="pt-BR" w:eastAsia="zh-CN" w:bidi="ar-SA"/>
              </w:rPr>
            </w:pPr>
            <w:r>
              <w:rPr>
                <w:rFonts w:hint="default" w:ascii="Times New Roman" w:hAnsi="Times New Roman" w:cs="Times New Roman"/>
                <w:color w:val="auto"/>
              </w:rPr>
              <w:t xml:space="preserve">Avalia a rigidez segmentar distal e </w:t>
            </w:r>
            <w:r>
              <w:rPr>
                <w:rFonts w:hint="default" w:ascii="Times New Roman" w:hAnsi="Times New Roman" w:cs="Times New Roman"/>
                <w:color w:val="auto"/>
                <w:lang w:val="pt-BR"/>
              </w:rPr>
              <w:t>engajamento muscular</w:t>
            </w:r>
            <w:r>
              <w:rPr>
                <w:rFonts w:hint="default" w:ascii="Times New Roman" w:hAnsi="Times New Roman" w:cs="Times New Roman"/>
                <w:color w:val="auto"/>
              </w:rPr>
              <w:t xml:space="preserve"> </w:t>
            </w:r>
            <w:r>
              <w:rPr>
                <w:rFonts w:hint="default" w:ascii="Times New Roman" w:hAnsi="Times New Roman" w:cs="Times New Roman"/>
                <w:i/>
                <w:iCs/>
                <w:color w:val="auto"/>
              </w:rPr>
              <w:t>single-link</w:t>
            </w:r>
            <w:r>
              <w:rPr>
                <w:rFonts w:hint="default" w:ascii="Times New Roman" w:hAnsi="Times New Roman" w:cs="Times New Roman"/>
                <w:color w:val="auto"/>
                <w:lang w:val="pt-BR"/>
              </w:rPr>
              <w:t xml:space="preserve"> (rígido)</w:t>
            </w:r>
            <w:r>
              <w:rPr>
                <w:rFonts w:hint="default" w:ascii="Times New Roman" w:hAnsi="Times New Roman" w:cs="Times New Roman"/>
                <w:color w:val="auto"/>
              </w:rPr>
              <w:t> vs. </w:t>
            </w:r>
            <w:r>
              <w:rPr>
                <w:rFonts w:hint="default" w:ascii="Times New Roman" w:hAnsi="Times New Roman" w:cs="Times New Roman"/>
                <w:i/>
                <w:iCs/>
                <w:color w:val="auto"/>
              </w:rPr>
              <w:t>multi-link</w:t>
            </w:r>
            <w:r>
              <w:rPr>
                <w:rFonts w:hint="default" w:ascii="Times New Roman" w:hAnsi="Times New Roman" w:cs="Times New Roman"/>
                <w:color w:val="auto"/>
              </w:rPr>
              <w:t> </w:t>
            </w:r>
            <w:r>
              <w:rPr>
                <w:rFonts w:hint="default" w:ascii="Times New Roman" w:hAnsi="Times New Roman" w:cs="Times New Roman"/>
                <w:color w:val="auto"/>
                <w:lang w:val="pt-BR"/>
              </w:rPr>
              <w:t>(os</w:t>
            </w:r>
            <w:r>
              <w:rPr>
                <w:rFonts w:hint="default" w:ascii="Times New Roman" w:hAnsi="Times New Roman" w:cs="Times New Roman"/>
                <w:color w:val="auto"/>
              </w:rPr>
              <w:t>ila</w:t>
            </w:r>
            <w:r>
              <w:rPr>
                <w:rFonts w:hint="default" w:ascii="Times New Roman" w:hAnsi="Times New Roman" w:cs="Times New Roman"/>
                <w:color w:val="auto"/>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 xml:space="preserve">Largura da </w:t>
            </w:r>
            <w:r>
              <w:rPr>
                <w:rFonts w:hint="default" w:ascii="Times New Roman" w:hAnsi="Times New Roman" w:eastAsia="Times New Roman" w:cs="Times New Roman"/>
                <w:color w:val="auto"/>
              </w:rPr>
              <w:t xml:space="preserve">Base de </w:t>
            </w:r>
            <w:r>
              <w:rPr>
                <w:rFonts w:hint="default" w:ascii="Times New Roman" w:hAnsi="Times New Roman" w:eastAsia="Times New Roman" w:cs="Times New Roman"/>
                <w:color w:val="auto"/>
                <w:lang w:val="pt-BR"/>
              </w:rPr>
              <w:t>A</w:t>
            </w:r>
            <w:r>
              <w:rPr>
                <w:rFonts w:hint="default" w:ascii="Times New Roman" w:hAnsi="Times New Roman" w:eastAsia="Times New Roman" w:cs="Times New Roman"/>
                <w:color w:val="auto"/>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781050B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0281FE7F">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lang w:val="pt-BR"/>
              </w:rPr>
              <w:t>Í</w:t>
            </w:r>
            <w:r>
              <w:rPr>
                <w:rFonts w:hint="default" w:ascii="Times New Roman" w:hAnsi="Times New Roman" w:eastAsia="SimSun" w:cs="Times New Roman"/>
                <w:color w:val="auto"/>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 xml:space="preserve">Força máxima relativa à massa corporal no </w:t>
            </w:r>
            <w:r>
              <w:rPr>
                <w:rFonts w:hint="default" w:ascii="Times New Roman" w:hAnsi="Times New Roman" w:eastAsia="Times New Roman" w:cs="Times New Roman"/>
                <w:i/>
                <w:iCs/>
                <w:color w:val="auto"/>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lang w:val="pt-BR"/>
              </w:rPr>
              <w:t>K</w:t>
            </w:r>
            <w:r>
              <w:rPr>
                <w:rFonts w:hint="default" w:ascii="Times New Roman" w:hAnsi="Times New Roman" w:eastAsia="SimSun" w:cs="Times New Roman"/>
                <w:color w:val="auto"/>
                <w:sz w:val="24"/>
                <w:szCs w:val="24"/>
              </w:rPr>
              <w:t>g/</w:t>
            </w:r>
            <w:r>
              <w:rPr>
                <w:rFonts w:hint="default" w:ascii="Times New Roman" w:hAnsi="Times New Roman" w:eastAsia="SimSun" w:cs="Times New Roman"/>
                <w:color w:val="auto"/>
                <w:sz w:val="24"/>
                <w:szCs w:val="24"/>
                <w:lang w:val="pt-BR"/>
              </w:rPr>
              <w:t>K</w:t>
            </w:r>
            <w:r>
              <w:rPr>
                <w:rFonts w:hint="default" w:ascii="Times New Roman" w:hAnsi="Times New Roman" w:eastAsia="SimSun" w:cs="Times New Roman"/>
                <w:color w:val="auto"/>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color w:val="auto"/>
              </w:rPr>
            </w:pPr>
            <w:r>
              <w:rPr>
                <w:rFonts w:hint="default" w:ascii="Times New Roman" w:hAnsi="Times New Roman" w:eastAsia="sans-serif" w:cs="Times New Roman"/>
                <w:color w:val="auto"/>
                <w:kern w:val="0"/>
                <w:sz w:val="24"/>
                <w:szCs w:val="24"/>
                <w:lang w:val="en-US" w:eastAsia="zh-CN" w:bidi="ar"/>
              </w:rPr>
              <w:t>Capacidade de suportar o impacto dinâmico e transferir carga a cada ciclo.</w:t>
            </w:r>
            <w:r>
              <w:rPr>
                <w:rFonts w:hint="default" w:ascii="Times New Roman" w:hAnsi="Times New Roman" w:eastAsia="SimSun" w:cs="Times New Roman"/>
                <w:color w:val="auto"/>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Resistência em posição invertida (wall-supported </w:t>
            </w:r>
            <w:r>
              <w:rPr>
                <w:rFonts w:hint="default" w:ascii="Times New Roman" w:hAnsi="Times New Roman" w:eastAsia="Times New Roman" w:cs="Times New Roman"/>
                <w:i/>
                <w:iCs/>
                <w:color w:val="auto"/>
              </w:rPr>
              <w:t>HS</w:t>
            </w:r>
            <w:r>
              <w:rPr>
                <w:rFonts w:hint="default" w:ascii="Times New Roman" w:hAnsi="Times New Roman" w:eastAsia="Times New Roman" w:cs="Times New Roman"/>
                <w:color w:val="auto"/>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21045D9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color w:val="auto"/>
                <w:lang w:val="pt-BR"/>
              </w:rPr>
            </w:pPr>
            <w:r>
              <w:rPr>
                <w:rFonts w:hint="default" w:ascii="Times New Roman" w:hAnsi="Times New Roman" w:eastAsia="Times New Roman" w:cs="Times New Roman"/>
                <w:color w:val="auto"/>
              </w:rPr>
              <w:t xml:space="preserve">Comprimento dos </w:t>
            </w:r>
            <w:r>
              <w:rPr>
                <w:rFonts w:hint="default" w:ascii="Times New Roman" w:hAnsi="Times New Roman" w:eastAsia="Times New Roman" w:cs="Times New Roman"/>
                <w:color w:val="auto"/>
                <w:lang w:val="pt-BR"/>
              </w:rPr>
              <w:t>M</w:t>
            </w:r>
            <w:r>
              <w:rPr>
                <w:rFonts w:hint="default" w:ascii="Times New Roman" w:hAnsi="Times New Roman" w:eastAsia="Times New Roman" w:cs="Times New Roman"/>
                <w:color w:val="auto"/>
              </w:rPr>
              <w:t>embros</w:t>
            </w:r>
            <w:r>
              <w:rPr>
                <w:rFonts w:hint="default" w:ascii="Times New Roman" w:hAnsi="Times New Roman" w:eastAsia="Times New Roman" w:cs="Times New Roman"/>
                <w:color w:val="auto"/>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Captura de Movimento  </w:t>
            </w:r>
          </w:p>
          <w:p w14:paraId="7F647529">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Composição Corporal: % de Gordura</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Influência da adiposidade (lastro inerte) na eficiência locomotora. A massa livre de gordura (kg) é aferida para caracterização geral da amostra.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color w:val="auto"/>
              </w:rPr>
            </w:pPr>
            <w:r>
              <w:rPr>
                <w:rFonts w:hint="default" w:ascii="Times New Roman" w:hAnsi="Times New Roman" w:cs="Times New Roman"/>
                <w:color w:val="auto"/>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I</w:t>
            </w:r>
            <w:r>
              <w:rPr>
                <w:rFonts w:hint="default" w:ascii="Times New Roman" w:hAnsi="Times New Roman" w:eastAsia="Times New Roman" w:cs="Times New Roman"/>
                <w:color w:val="auto"/>
              </w:rPr>
              <w:t xml:space="preserve">dade </w:t>
            </w:r>
            <w:r>
              <w:rPr>
                <w:rFonts w:hint="default" w:ascii="Times New Roman" w:hAnsi="Times New Roman" w:eastAsia="Times New Roman" w:cs="Times New Roman"/>
                <w:color w:val="auto"/>
                <w:lang w:val="pt-BR"/>
              </w:rPr>
              <w:t>C</w:t>
            </w:r>
            <w:r>
              <w:rPr>
                <w:rFonts w:hint="default" w:ascii="Times New Roman" w:hAnsi="Times New Roman" w:eastAsia="Times New Roman" w:cs="Times New Roman"/>
                <w:color w:val="auto"/>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Questionário </w:t>
            </w:r>
            <w:r>
              <w:rPr>
                <w:rFonts w:hint="default" w:ascii="Times New Roman" w:hAnsi="Times New Roman" w:eastAsia="Times New Roman" w:cs="Times New Roman"/>
                <w:color w:val="auto"/>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color w:val="auto"/>
              </w:rPr>
            </w:pPr>
            <w:r>
              <w:rPr>
                <w:rFonts w:hint="default" w:ascii="Times New Roman" w:hAnsi="Times New Roman" w:eastAsia="SimSun" w:cs="Times New Roman"/>
                <w:color w:val="auto"/>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Fonte: Elaborado pelo autor (2025).</w:t>
      </w:r>
    </w:p>
    <w:p w14:paraId="2E34A555">
      <w:pPr>
        <w:spacing w:line="360" w:lineRule="auto"/>
        <w:rPr>
          <w:rFonts w:hint="default" w:ascii="Times New Roman" w:hAnsi="Times New Roman" w:eastAsia="Times New Roman" w:cs="Times New Roman"/>
          <w:color w:val="auto"/>
        </w:rPr>
      </w:pPr>
      <w:r>
        <w:rPr>
          <w:rFonts w:ascii="Times New Roman" w:hAnsi="Times New Roman" w:cs="Times New Roman"/>
          <w:color w:val="auto"/>
        </w:rPr>
        <w:t>3.2 Participantes</w:t>
      </w:r>
    </w:p>
    <w:p w14:paraId="34B76FD1">
      <w:pPr>
        <w:spacing w:line="360" w:lineRule="auto"/>
        <w:ind w:firstLine="708" w:firstLineChars="0"/>
        <w:rPr>
          <w:rFonts w:hint="default" w:ascii="Times New Roman" w:hAnsi="Times New Roman" w:eastAsia="Times New Roman" w:cs="Times New Roman"/>
          <w:color w:val="auto"/>
        </w:rPr>
      </w:pPr>
      <w:r>
        <w:rPr>
          <w:rFonts w:ascii="Times New Roman" w:hAnsi="Times New Roman" w:cs="Times New Roman"/>
          <w:color w:val="auto"/>
        </w:rPr>
        <w:t xml:space="preserve">Serão recrutados adultos, de ambos os sexos, com idade mínima de 18 anos, fisicamente ativos, praticantes de pelo menos uma modalidade que inclua o treinamento do </w:t>
      </w:r>
      <w:r>
        <w:rPr>
          <w:rFonts w:ascii="Times New Roman" w:hAnsi="Times New Roman" w:cs="Times New Roman"/>
          <w:i/>
          <w:iCs/>
          <w:color w:val="auto"/>
        </w:rPr>
        <w:t>handstand</w:t>
      </w:r>
      <w:r>
        <w:rPr>
          <w:rFonts w:ascii="Times New Roman" w:hAnsi="Times New Roman" w:cs="Times New Roman"/>
          <w:color w:val="auto"/>
        </w:rPr>
        <w:t xml:space="preserve">. Deverão ser capazes de manter o equilíbrio livre no </w:t>
      </w:r>
      <w:r>
        <w:rPr>
          <w:rFonts w:ascii="Times New Roman" w:hAnsi="Times New Roman" w:cs="Times New Roman"/>
          <w:i/>
          <w:iCs/>
          <w:color w:val="auto"/>
        </w:rPr>
        <w:t>HS</w:t>
      </w:r>
      <w:r>
        <w:rPr>
          <w:rFonts w:ascii="Times New Roman" w:hAnsi="Times New Roman" w:cs="Times New Roman"/>
          <w:color w:val="auto"/>
        </w:rPr>
        <w:t xml:space="preserve"> por pelo menos 3 segundos e/ou conseguir realizar três passadas no </w:t>
      </w:r>
      <w:r>
        <w:rPr>
          <w:rFonts w:ascii="Times New Roman" w:hAnsi="Times New Roman" w:cs="Times New Roman"/>
          <w:i/>
          <w:iCs/>
          <w:color w:val="auto"/>
        </w:rPr>
        <w:t xml:space="preserve">HSW, </w:t>
      </w:r>
      <w:r>
        <w:rPr>
          <w:rFonts w:ascii="Times New Roman" w:hAnsi="Times New Roman" w:cs="Times New Roman"/>
          <w:color w:val="auto"/>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ascii="Times New Roman" w:hAnsi="Times New Roman" w:cs="Times New Roman"/>
          <w:i/>
          <w:iCs/>
          <w:color w:val="auto"/>
        </w:rPr>
        <w:t>instagram</w:t>
      </w:r>
      <w:r>
        <w:rPr>
          <w:rFonts w:ascii="Times New Roman" w:hAnsi="Times New Roman" w:cs="Times New Roman"/>
          <w:color w:val="auto"/>
        </w:rPr>
        <w:t xml:space="preserve"> e </w:t>
      </w:r>
      <w:r>
        <w:rPr>
          <w:rFonts w:ascii="Times New Roman" w:hAnsi="Times New Roman" w:cs="Times New Roman"/>
          <w:i/>
          <w:iCs/>
          <w:color w:val="auto"/>
        </w:rPr>
        <w:t>facebook</w:t>
      </w:r>
      <w:r>
        <w:rPr>
          <w:rFonts w:ascii="Times New Roman" w:hAnsi="Times New Roman" w:cs="Times New Roman"/>
          <w:color w:val="auto"/>
        </w:rPr>
        <w:t xml:space="preserve">, e aplicativo de mensagem </w:t>
      </w:r>
      <w:r>
        <w:rPr>
          <w:rFonts w:ascii="Times New Roman" w:hAnsi="Times New Roman" w:cs="Times New Roman"/>
          <w:i/>
          <w:iCs/>
          <w:color w:val="auto"/>
        </w:rPr>
        <w:t xml:space="preserve">whatsapp, </w:t>
      </w:r>
      <w:r>
        <w:rPr>
          <w:rFonts w:ascii="Times New Roman" w:hAnsi="Times New Roman" w:cs="Times New Roman"/>
          <w:color w:val="auto"/>
        </w:rPr>
        <w:t>além de busca ativa por participantes</w:t>
      </w:r>
      <w:r>
        <w:rPr>
          <w:rFonts w:ascii="Times New Roman" w:hAnsi="Times New Roman" w:cs="Times New Roman"/>
          <w:i/>
          <w:iCs/>
          <w:color w:val="auto"/>
        </w:rPr>
        <w:t xml:space="preserve"> </w:t>
      </w:r>
      <w:r>
        <w:rPr>
          <w:rFonts w:ascii="Times New Roman" w:hAnsi="Times New Roman" w:cs="Times New Roman"/>
          <w:color w:val="auto"/>
        </w:rPr>
        <w:t xml:space="preserve">junto a academias de ginástica, </w:t>
      </w:r>
      <w:r>
        <w:rPr>
          <w:rFonts w:ascii="Times New Roman" w:hAnsi="Times New Roman" w:cs="Times New Roman"/>
          <w:i/>
          <w:iCs/>
          <w:color w:val="auto"/>
        </w:rPr>
        <w:t>boxes</w:t>
      </w:r>
      <w:r>
        <w:rPr>
          <w:rFonts w:ascii="Times New Roman" w:hAnsi="Times New Roman" w:cs="Times New Roman"/>
          <w:color w:val="auto"/>
        </w:rPr>
        <w:t xml:space="preserve"> de </w:t>
      </w:r>
      <w:r>
        <w:rPr>
          <w:rFonts w:ascii="Times New Roman" w:hAnsi="Times New Roman" w:cs="Times New Roman"/>
          <w:i/>
          <w:iCs/>
          <w:color w:val="auto"/>
        </w:rPr>
        <w:t>CrossFit</w:t>
      </w:r>
      <w:r>
        <w:rPr>
          <w:rFonts w:ascii="Times New Roman" w:hAnsi="Times New Roman" w:cs="Times New Roman"/>
          <w:color w:val="auto"/>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Cada voluntário preencherá um formulário online padronizado na plataforma </w:t>
      </w:r>
      <w:r>
        <w:rPr>
          <w:rFonts w:ascii="Times New Roman" w:hAnsi="Times New Roman" w:cs="Times New Roman"/>
          <w:i/>
          <w:iCs/>
          <w:color w:val="auto"/>
        </w:rPr>
        <w:t>Google Forms</w:t>
      </w:r>
      <w:r>
        <w:rPr>
          <w:rFonts w:ascii="Times New Roman" w:hAnsi="Times New Roman" w:cs="Times New Roman"/>
          <w:color w:val="auto"/>
        </w:rPr>
        <w:t xml:space="preserve">, estruturado em: dados sociodemográficos e de contato (idade, sexo, telefone e e-mail), triagem de segurança em saúde por meio do Questionário de Prontidão para Atividade Física (PAR-Q), garantindo a aptidão cardiovascular e osteomuscular para os testes de esforço físico máximo, histórico de lesões musculoesqueléticas nos membros superiores nos últimos 12 meses, modalidades praticadas que tenha </w:t>
      </w:r>
      <w:r>
        <w:rPr>
          <w:rFonts w:ascii="Times New Roman" w:hAnsi="Times New Roman" w:cs="Times New Roman"/>
          <w:i/>
          <w:iCs/>
          <w:color w:val="auto"/>
        </w:rPr>
        <w:t>HS como habilidade</w:t>
      </w:r>
      <w:r>
        <w:rPr>
          <w:rFonts w:ascii="Times New Roman" w:hAnsi="Times New Roman" w:cs="Times New Roman"/>
          <w:color w:val="auto"/>
        </w:rPr>
        <w:t xml:space="preserve"> (permitindo seleção única ou múltipla entre Calistenia, </w:t>
      </w:r>
      <w:r>
        <w:rPr>
          <w:rFonts w:ascii="Times New Roman" w:hAnsi="Times New Roman" w:cs="Times New Roman"/>
          <w:i/>
          <w:iCs/>
          <w:color w:val="auto"/>
        </w:rPr>
        <w:t>CrossFit</w:t>
      </w:r>
      <w:r>
        <w:rPr>
          <w:rFonts w:ascii="Times New Roman" w:hAnsi="Times New Roman" w:cs="Times New Roman"/>
          <w:color w:val="auto"/>
        </w:rPr>
        <w:t xml:space="preserve">®, Ginástica Artística, Circo, Dança, Yoga, </w:t>
      </w:r>
      <w:r>
        <w:rPr>
          <w:rFonts w:ascii="Times New Roman" w:hAnsi="Times New Roman" w:cs="Times New Roman"/>
          <w:i/>
          <w:iCs/>
          <w:color w:val="auto"/>
        </w:rPr>
        <w:t>Movement culture, Prática isolada da HS</w:t>
      </w:r>
      <w:r>
        <w:rPr>
          <w:rFonts w:ascii="Times New Roman" w:hAnsi="Times New Roman" w:cs="Times New Roman"/>
          <w:color w:val="auto"/>
        </w:rPr>
        <w:t xml:space="preserve"> e Outras) e histórico de treinamento no </w:t>
      </w:r>
      <w:r>
        <w:rPr>
          <w:rFonts w:ascii="Times New Roman" w:hAnsi="Times New Roman" w:cs="Times New Roman"/>
          <w:i/>
          <w:iCs/>
          <w:color w:val="auto"/>
        </w:rPr>
        <w:t>HS</w:t>
      </w:r>
      <w:r>
        <w:rPr>
          <w:rFonts w:ascii="Times New Roman" w:hAnsi="Times New Roman" w:cs="Times New Roman"/>
          <w:color w:val="auto"/>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3.3 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color w:val="auto"/>
        </w:rPr>
      </w:pPr>
      <w:r>
        <w:rPr>
          <w:rFonts w:ascii="Times New Roman" w:hAnsi="Times New Roman" w:cs="Times New Roman"/>
          <w:color w:val="auto"/>
        </w:rPr>
        <w:t xml:space="preserve">O dimensionamento amostral foi calculado a priori por meio do software </w:t>
      </w:r>
      <w:r>
        <w:rPr>
          <w:rFonts w:ascii="Times New Roman" w:hAnsi="Times New Roman" w:cs="Times New Roman"/>
          <w:i/>
          <w:iCs/>
          <w:color w:val="auto"/>
        </w:rPr>
        <w:t>G*Power</w:t>
      </w:r>
      <w:r>
        <w:rPr>
          <w:rFonts w:ascii="Times New Roman" w:hAnsi="Times New Roman" w:cs="Times New Roman"/>
          <w:color w:val="auto"/>
        </w:rPr>
        <w:t xml:space="preserve"> (versão 3.1.9.7)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[40], [41]</w:t>
      </w:r>
      <w:r>
        <w:rPr>
          <w:rFonts w:hint="default" w:ascii="Times New Roman" w:hAnsi="Times New Roman" w:cs="Times New Roman"/>
          <w:color w:val="auto"/>
        </w:rPr>
        <w:fldChar w:fldCharType="end"/>
      </w:r>
      <w:r>
        <w:rPr>
          <w:rFonts w:ascii="Times New Roman" w:hAnsi="Times New Roman" w:cs="Times New Roman"/>
          <w:color w:val="auto"/>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color w:val="auto"/>
        </w:rPr>
      </w:pPr>
      <w:r>
        <w:rPr>
          <w:rFonts w:ascii="Times New Roman" w:hAnsi="Times New Roman" w:cs="Times New Roman"/>
          <w:color w:val="auto"/>
        </w:rPr>
        <w:t>Modelos Temáticos de Regressão Linear Múltipla: Para as análises organizadas por domínios, considerando o modelo linear fixo de desvio do R² em relação a zero (</w:t>
      </w:r>
      <w:r>
        <w:rPr>
          <w:rFonts w:ascii="Times New Roman" w:hAnsi="Times New Roman" w:cs="Times New Roman"/>
          <w:i/>
          <w:iCs/>
          <w:color w:val="auto"/>
        </w:rPr>
        <w:t>Linear</w:t>
      </w:r>
      <w:r>
        <w:rPr>
          <w:rFonts w:ascii="Times New Roman" w:hAnsi="Times New Roman" w:cs="Times New Roman"/>
          <w:color w:val="auto"/>
        </w:rPr>
        <w:t xml:space="preserve"> </w:t>
      </w:r>
      <w:r>
        <w:rPr>
          <w:rFonts w:ascii="Times New Roman" w:hAnsi="Times New Roman" w:cs="Times New Roman"/>
          <w:i/>
          <w:iCs/>
          <w:color w:val="auto"/>
        </w:rPr>
        <w:t>multiple</w:t>
      </w:r>
      <w:r>
        <w:rPr>
          <w:rFonts w:ascii="Times New Roman" w:hAnsi="Times New Roman" w:cs="Times New Roman"/>
          <w:color w:val="auto"/>
        </w:rPr>
        <w:t xml:space="preserve"> </w:t>
      </w:r>
      <w:r>
        <w:rPr>
          <w:rFonts w:ascii="Times New Roman" w:hAnsi="Times New Roman" w:cs="Times New Roman"/>
          <w:i/>
          <w:iCs/>
          <w:color w:val="auto"/>
        </w:rPr>
        <w:t>regression</w:t>
      </w:r>
      <w:r>
        <w:rPr>
          <w:rFonts w:ascii="Times New Roman" w:hAnsi="Times New Roman" w:cs="Times New Roman"/>
          <w:color w:val="auto"/>
        </w:rPr>
        <w:t xml:space="preserve">: </w:t>
      </w:r>
      <w:r>
        <w:rPr>
          <w:rFonts w:ascii="Times New Roman" w:hAnsi="Times New Roman" w:cs="Times New Roman"/>
          <w:i/>
          <w:iCs/>
          <w:color w:val="auto"/>
        </w:rPr>
        <w:t>Fixed</w:t>
      </w:r>
      <w:r>
        <w:rPr>
          <w:rFonts w:ascii="Times New Roman" w:hAnsi="Times New Roman" w:cs="Times New Roman"/>
          <w:color w:val="auto"/>
        </w:rPr>
        <w:t xml:space="preserve"> </w:t>
      </w:r>
      <w:r>
        <w:rPr>
          <w:rFonts w:ascii="Times New Roman" w:hAnsi="Times New Roman" w:cs="Times New Roman"/>
          <w:i/>
          <w:iCs/>
          <w:color w:val="auto"/>
        </w:rPr>
        <w:t>model</w:t>
      </w:r>
      <w:r>
        <w:rPr>
          <w:rFonts w:ascii="Times New Roman" w:hAnsi="Times New Roman" w:cs="Times New Roman"/>
          <w:color w:val="auto"/>
        </w:rPr>
        <w:t xml:space="preserve">, R² </w:t>
      </w:r>
      <w:r>
        <w:rPr>
          <w:rFonts w:ascii="Times New Roman" w:hAnsi="Times New Roman" w:cs="Times New Roman"/>
          <w:i/>
          <w:iCs/>
          <w:color w:val="auto"/>
        </w:rPr>
        <w:t>deviation</w:t>
      </w:r>
      <w:r>
        <w:rPr>
          <w:rFonts w:ascii="Times New Roman" w:hAnsi="Times New Roman" w:cs="Times New Roman"/>
          <w:color w:val="auto"/>
        </w:rPr>
        <w:t xml:space="preserve"> </w:t>
      </w:r>
      <w:r>
        <w:rPr>
          <w:rFonts w:ascii="Times New Roman" w:hAnsi="Times New Roman" w:cs="Times New Roman"/>
          <w:i/>
          <w:iCs/>
          <w:color w:val="auto"/>
        </w:rPr>
        <w:t>from</w:t>
      </w:r>
      <w:r>
        <w:rPr>
          <w:rFonts w:ascii="Times New Roman" w:hAnsi="Times New Roman" w:cs="Times New Roman"/>
          <w:color w:val="auto"/>
        </w:rPr>
        <w:t xml:space="preserve"> </w:t>
      </w:r>
      <w:r>
        <w:rPr>
          <w:rFonts w:ascii="Times New Roman" w:hAnsi="Times New Roman" w:cs="Times New Roman"/>
          <w:i/>
          <w:iCs/>
          <w:color w:val="auto"/>
        </w:rPr>
        <w:t>zero</w:t>
      </w:r>
      <w:r>
        <w:rPr>
          <w:rFonts w:ascii="Times New Roman" w:hAnsi="Times New Roman" w:cs="Times New Roman"/>
          <w:color w:val="auto"/>
        </w:rPr>
        <w:t xml:space="preserve">), adotou-se um tamanho de efeito moderado (f² = 0,15, correspondente a um R² aproximado de 0,13 sob as convenções de Cohen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[42]</w:t>
      </w:r>
      <w:r>
        <w:rPr>
          <w:rFonts w:hint="default" w:ascii="Times New Roman" w:hAnsi="Times New Roman" w:cs="Times New Roman"/>
          <w:color w:val="auto"/>
        </w:rPr>
        <w:fldChar w:fldCharType="end"/>
      </w:r>
      <w:r>
        <w:rPr>
          <w:rFonts w:ascii="Times New Roman" w:hAnsi="Times New Roman" w:cs="Times New Roman"/>
          <w:color w:val="auto"/>
        </w:rPr>
        <w:t xml:space="preserve">), nível de significância de α = 0,05, poder estatístico de (1 - β) = 0,80 e o número máximo de até 5 preditores simultâneos (atendendo ao modelo de técnica cinemática). O cálculo indicou a necessidade de um tamanho amostral mínimo de N = 92 participantes (parâmetro de não-centralidade λ = 13,80; F crítico = 2,320; poder real = 0,804). </w:t>
      </w:r>
    </w:p>
    <w:p w14:paraId="398764AA">
      <w:pPr>
        <w:pStyle w:val="11"/>
        <w:numPr>
          <w:ilvl w:val="0"/>
          <w:numId w:val="2"/>
        </w:numPr>
        <w:spacing w:line="360" w:lineRule="auto"/>
        <w:jc w:val="both"/>
        <w:rPr>
          <w:rFonts w:hint="default" w:ascii="Times New Roman" w:hAnsi="Times New Roman" w:cs="Times New Roman"/>
          <w:color w:val="auto"/>
        </w:rPr>
      </w:pPr>
      <w:r>
        <w:rPr>
          <w:rFonts w:ascii="Times New Roman" w:hAnsi="Times New Roman" w:cs="Times New Roman"/>
          <w:color w:val="auto"/>
        </w:rPr>
        <w:t xml:space="preserve">Modelo de Regressão Logística Binária (Autonomia no </w:t>
      </w:r>
      <w:r>
        <w:rPr>
          <w:rFonts w:ascii="Times New Roman" w:hAnsi="Times New Roman" w:cs="Times New Roman"/>
          <w:i/>
          <w:iCs/>
          <w:color w:val="auto"/>
        </w:rPr>
        <w:t>HS</w:t>
      </w:r>
      <w:r>
        <w:rPr>
          <w:rFonts w:ascii="Times New Roman" w:hAnsi="Times New Roman" w:cs="Times New Roman"/>
          <w:color w:val="auto"/>
        </w:rPr>
        <w:t xml:space="preserve">): Para o modelo logístico de autonomia de estabilização com 3 preditores (força relativa no </w:t>
      </w:r>
      <w:r>
        <w:rPr>
          <w:rFonts w:ascii="Times New Roman" w:hAnsi="Times New Roman" w:cs="Times New Roman"/>
          <w:i/>
          <w:iCs/>
          <w:color w:val="auto"/>
        </w:rPr>
        <w:t>SP</w:t>
      </w:r>
      <w:r>
        <w:rPr>
          <w:rFonts w:ascii="Times New Roman" w:hAnsi="Times New Roman" w:cs="Times New Roman"/>
          <w:color w:val="auto"/>
        </w:rPr>
        <w:t>, melhor tempo de sustentação assistido e volume de prática acumulada em horas), adotou-se um nível de significância de α = 0,05, poder estatístico de (1 - β) = 0,80 e uma razão de chances (</w:t>
      </w:r>
      <w:r>
        <w:rPr>
          <w:rFonts w:ascii="Times New Roman" w:hAnsi="Times New Roman" w:cs="Times New Roman"/>
          <w:i/>
          <w:iCs/>
          <w:color w:val="auto"/>
        </w:rPr>
        <w:t>Odds</w:t>
      </w:r>
      <w:r>
        <w:rPr>
          <w:rFonts w:ascii="Times New Roman" w:hAnsi="Times New Roman" w:cs="Times New Roman"/>
          <w:color w:val="auto"/>
        </w:rPr>
        <w:t xml:space="preserve"> </w:t>
      </w:r>
      <w:r>
        <w:rPr>
          <w:rFonts w:ascii="Times New Roman" w:hAnsi="Times New Roman" w:cs="Times New Roman"/>
          <w:i/>
          <w:iCs/>
          <w:color w:val="auto"/>
        </w:rPr>
        <w:t>Ratio</w:t>
      </w:r>
      <w:r>
        <w:rPr>
          <w:rFonts w:ascii="Times New Roman" w:hAnsi="Times New Roman" w:cs="Times New Roman"/>
          <w:color w:val="auto"/>
        </w:rPr>
        <w:t xml:space="preserve">) mínima esperada de 2,0 para preditores contínuos padronizados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[41], [43]</w:t>
      </w:r>
      <w:r>
        <w:rPr>
          <w:rFonts w:hint="default" w:ascii="Times New Roman" w:hAnsi="Times New Roman" w:cs="Times New Roman"/>
          <w:color w:val="auto"/>
        </w:rPr>
        <w:fldChar w:fldCharType="end"/>
      </w:r>
      <w:r>
        <w:rPr>
          <w:rFonts w:ascii="Times New Roman" w:hAnsi="Times New Roman" w:cs="Times New Roman"/>
          <w:color w:val="auto"/>
        </w:rPr>
        <w:t>. O cálculo indicou a necessidade de uma amostra mínima entre 70 e 90 participantes, atendendo adicionalmente ao pressuposto clássico de eventos por variável (</w:t>
      </w:r>
      <w:r>
        <w:rPr>
          <w:rFonts w:ascii="Times New Roman" w:hAnsi="Times New Roman" w:cs="Times New Roman"/>
          <w:i/>
          <w:iCs/>
          <w:color w:val="auto"/>
        </w:rPr>
        <w:t>EPV</w:t>
      </w:r>
      <w:r>
        <w:rPr>
          <w:rFonts w:ascii="Times New Roman" w:hAnsi="Times New Roman" w:cs="Times New Roman"/>
          <w:color w:val="auto"/>
        </w:rPr>
        <w:t xml:space="preserve"> maior ou igual a 10 a 15 eventos para cada preditor no modelo)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[44]</w:t>
      </w:r>
      <w:r>
        <w:rPr>
          <w:rFonts w:hint="default" w:ascii="Times New Roman" w:hAnsi="Times New Roman" w:cs="Times New Roman"/>
          <w:color w:val="auto"/>
        </w:rPr>
        <w:fldChar w:fldCharType="end"/>
      </w:r>
      <w:r>
        <w:rPr>
          <w:rFonts w:ascii="Times New Roman" w:hAnsi="Times New Roman" w:cs="Times New Roman"/>
          <w:color w:val="auto"/>
        </w:rPr>
        <w:t xml:space="preserve">. </w:t>
      </w:r>
    </w:p>
    <w:p w14:paraId="6310C0E3">
      <w:pPr>
        <w:pStyle w:val="11"/>
        <w:spacing w:line="360" w:lineRule="auto"/>
        <w:ind w:firstLine="360"/>
        <w:jc w:val="both"/>
        <w:rPr>
          <w:rFonts w:hint="default" w:ascii="Times New Roman" w:hAnsi="Times New Roman" w:cs="Times New Roman"/>
          <w:color w:val="auto"/>
        </w:rPr>
      </w:pPr>
      <w:r>
        <w:rPr>
          <w:rFonts w:ascii="Times New Roman" w:hAnsi="Times New Roman" w:cs="Times New Roman"/>
          <w:color w:val="auto"/>
        </w:rPr>
        <w:t xml:space="preserve">Para mitigar a inflação da taxa de Erro Tipo I decorrente dos múltiplos modelos testados sem comprometer excessivamente o poder estatístico, será aplicada a correção de </w:t>
      </w:r>
      <w:r>
        <w:rPr>
          <w:rFonts w:ascii="Times New Roman" w:hAnsi="Times New Roman" w:cs="Times New Roman"/>
          <w:i/>
          <w:iCs/>
          <w:color w:val="auto"/>
        </w:rPr>
        <w:t>False Discovery Rate</w:t>
      </w:r>
      <w:r>
        <w:rPr>
          <w:rFonts w:ascii="Times New Roman" w:hAnsi="Times New Roman" w:cs="Times New Roman"/>
          <w:color w:val="auto"/>
        </w:rPr>
        <w:t xml:space="preserve"> (</w:t>
      </w:r>
      <w:r>
        <w:rPr>
          <w:rFonts w:ascii="Times New Roman" w:hAnsi="Times New Roman" w:cs="Times New Roman"/>
          <w:i/>
          <w:iCs/>
          <w:color w:val="auto"/>
        </w:rPr>
        <w:t>FDR</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[45]</w:t>
      </w:r>
      <w:r>
        <w:rPr>
          <w:rFonts w:hint="default" w:ascii="Times New Roman" w:hAnsi="Times New Roman" w:cs="Times New Roman"/>
          <w:color w:val="auto"/>
        </w:rPr>
        <w:fldChar w:fldCharType="end"/>
      </w:r>
      <w:r>
        <w:rPr>
          <w:rFonts w:ascii="Times New Roman" w:hAnsi="Times New Roman" w:cs="Times New Roman"/>
          <w:color w:val="auto"/>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color w:val="auto"/>
        </w:rPr>
      </w:pPr>
      <w:r>
        <w:rPr>
          <w:rFonts w:ascii="Times New Roman" w:hAnsi="Times New Roman" w:cs="Times New Roman"/>
          <w:color w:val="auto"/>
        </w:rPr>
        <w:t xml:space="preserve">Modelo Final Refinado: A partir dos modelos temáticos, os preditores que apresentarem significância estatística após o controle da </w:t>
      </w:r>
      <w:r>
        <w:rPr>
          <w:rFonts w:ascii="Times New Roman" w:hAnsi="Times New Roman" w:cs="Times New Roman"/>
          <w:i/>
          <w:iCs/>
          <w:color w:val="auto"/>
        </w:rPr>
        <w:t>FDR</w:t>
      </w:r>
      <w:r>
        <w:rPr>
          <w:rFonts w:ascii="Times New Roman" w:hAnsi="Times New Roman" w:cs="Times New Roman"/>
          <w:color w:val="auto"/>
        </w:rPr>
        <w:t xml:space="preserve"> e maior relevância prática (maiores coeficientes β padronizados) serão combinados em um modelo de regressão linear múltipla final consolidado para cada desfecho (</w:t>
      </w:r>
      <w:r>
        <w:rPr>
          <w:rFonts w:ascii="Times New Roman" w:hAnsi="Times New Roman" w:cs="Times New Roman"/>
          <w:i/>
          <w:iCs/>
          <w:color w:val="auto"/>
        </w:rPr>
        <w:t xml:space="preserve">HS </w:t>
      </w:r>
      <w:r>
        <w:rPr>
          <w:rFonts w:ascii="Times New Roman" w:hAnsi="Times New Roman" w:cs="Times New Roman"/>
          <w:color w:val="auto"/>
        </w:rPr>
        <w:t xml:space="preserve">e </w:t>
      </w:r>
      <w:r>
        <w:rPr>
          <w:rFonts w:ascii="Times New Roman" w:hAnsi="Times New Roman" w:cs="Times New Roman"/>
          <w:i/>
          <w:iCs/>
          <w:color w:val="auto"/>
        </w:rPr>
        <w:t>HSW</w:t>
      </w:r>
      <w:r>
        <w:rPr>
          <w:rFonts w:ascii="Times New Roman" w:hAnsi="Times New Roman" w:cs="Times New Roman"/>
          <w:color w:val="auto"/>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color w:val="auto"/>
        </w:rPr>
      </w:pPr>
      <w:r>
        <w:rPr>
          <w:rFonts w:ascii="Times New Roman" w:hAnsi="Times New Roman" w:cs="Times New Roman"/>
          <w:color w:val="auto"/>
        </w:rPr>
        <w:t xml:space="preserve">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  e assegura uma amostra substancialmente superior à literatura prévia de biomecânica em </w:t>
      </w:r>
      <w:r>
        <w:rPr>
          <w:rFonts w:ascii="Times New Roman" w:hAnsi="Times New Roman" w:cs="Times New Roman"/>
          <w:i/>
          <w:iCs/>
          <w:color w:val="auto"/>
        </w:rPr>
        <w:t>HS</w:t>
      </w:r>
      <w:r>
        <w:rPr>
          <w:rFonts w:ascii="Times New Roman" w:hAnsi="Times New Roman" w:cs="Times New Roman"/>
          <w:color w:val="auto"/>
        </w:rPr>
        <w:t>, caracterizada predominantemente por amostras reduzidas e restritas a populações homogêneas</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rPr>
        <w:t>[15]</w:t>
      </w:r>
      <w:r>
        <w:rPr>
          <w:rFonts w:hint="default" w:ascii="Times New Roman" w:hAnsi="Times New Roman" w:cs="Times New Roman"/>
          <w:color w:val="auto"/>
        </w:rPr>
        <w:fldChar w:fldCharType="end"/>
      </w:r>
      <w:r>
        <w:rPr>
          <w:rFonts w:ascii="Times New Roman" w:hAnsi="Times New Roman" w:cs="Times New Roman"/>
          <w:color w:val="auto"/>
        </w:rPr>
        <w:t>.</w:t>
      </w:r>
    </w:p>
    <w:p w14:paraId="205AB1AA">
      <w:pPr>
        <w:spacing w:line="360" w:lineRule="auto"/>
        <w:rPr>
          <w:rFonts w:hint="default" w:ascii="Times New Roman" w:hAnsi="Times New Roman" w:eastAsia="Times New Roman" w:cs="Times New Roman"/>
          <w:color w:val="auto"/>
          <w:lang w:val="pt-BR"/>
        </w:rPr>
      </w:pPr>
      <w:r>
        <w:rPr>
          <w:rFonts w:ascii="Times New Roman" w:hAnsi="Times New Roman" w:cs="Times New Roman"/>
          <w:color w:val="auto"/>
        </w:rPr>
        <w:t>3.4 Procedimentos Experimentais</w:t>
      </w:r>
    </w:p>
    <w:p w14:paraId="525E84F3">
      <w:pPr>
        <w:widowControl w:val="0"/>
        <w:spacing w:line="360" w:lineRule="auto"/>
        <w:rPr>
          <w:rFonts w:hint="default" w:ascii="Times New Roman" w:hAnsi="Times New Roman" w:eastAsia="Times New Roman" w:cs="Times New Roman"/>
          <w:color w:val="auto"/>
          <w:u w:val="none"/>
        </w:rPr>
      </w:pPr>
      <w:r>
        <w:rPr>
          <w:rFonts w:ascii="Times New Roman" w:hAnsi="Times New Roman" w:cs="Times New Roman"/>
          <w:color w:val="auto"/>
        </w:rPr>
        <w:t>3.4.1 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color w:val="auto"/>
          <w:lang w:val="pt-BR"/>
        </w:rPr>
      </w:pPr>
      <w:r>
        <w:rPr>
          <w:rFonts w:ascii="Times New Roman" w:hAnsi="Times New Roman" w:cs="Times New Roman"/>
          <w:color w:val="auto"/>
        </w:rPr>
        <w:t xml:space="preserve">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[46], [47]</w:t>
      </w:r>
      <w:r>
        <w:rPr>
          <w:rFonts w:hint="default" w:ascii="Times New Roman" w:hAnsi="Times New Roman" w:cs="Times New Roman"/>
          <w:color w:val="auto"/>
          <w:lang w:val="pt-BR"/>
        </w:rPr>
        <w:fldChar w:fldCharType="end"/>
      </w:r>
      <w:r>
        <w:rPr>
          <w:rFonts w:ascii="Times New Roman" w:hAnsi="Times New Roman" w:cs="Times New Roman"/>
          <w:color w:val="auto"/>
        </w:rPr>
        <w:t>.</w:t>
      </w:r>
    </w:p>
    <w:p w14:paraId="3C4FDAFE">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 xml:space="preserve">A composição corporal (percentual de gordura corporal, massa livre de gordura e ângulo de fase) será avaliada por meio de um analisador de bioimpedância elétrica tetrapolar (Sanny®, modelo BIA1011AF, American Medical do Brasil, São Bernardo do Campo, </w:t>
      </w:r>
      <w:r>
        <w:rPr>
          <w:rFonts w:ascii="Times New Roman" w:hAnsi="Times New Roman" w:cs="Times New Roman"/>
          <w:i/>
          <w:iCs/>
          <w:color w:val="auto"/>
        </w:rPr>
        <w:t>SP</w:t>
      </w:r>
      <w:r>
        <w:rPr>
          <w:rFonts w:ascii="Times New Roman" w:hAnsi="Times New Roman" w:cs="Times New Roman"/>
          <w:color w:val="auto"/>
        </w:rPr>
        <w:t xml:space="preserve">,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[48], [49]</w:t>
      </w:r>
      <w:r>
        <w:rPr>
          <w:rFonts w:hint="default" w:ascii="Times New Roman" w:hAnsi="Times New Roman" w:cs="Times New Roman"/>
          <w:color w:val="auto"/>
          <w:lang w:val="pt-BR"/>
        </w:rPr>
        <w:fldChar w:fldCharType="end"/>
      </w:r>
      <w:r>
        <w:rPr>
          <w:rFonts w:ascii="Times New Roman" w:hAnsi="Times New Roman" w:cs="Times New Roman"/>
          <w:color w:val="auto"/>
        </w:rPr>
        <w:t xml:space="preserve">. Para a estimativa da massa livre de gordura e percentual de gordura corporal, será padronizada a equação preditiva desenvolvida por Sun et al. (2003) </w:t>
      </w:r>
      <w:r>
        <w:rPr>
          <w:rFonts w:hint="default" w:ascii="Times New Roman" w:hAnsi="Times New Roman" w:cs="Times New Roman"/>
          <w:color w:val="auto"/>
          <w:lang w:val="pt-BR"/>
        </w:rPr>
        <w:fldChar w:fldCharType="begin"/>
      </w:r>
      <w:r>
        <w:rPr>
          <w:rFonts w:hint="default" w:cs="Times New Roman"/>
          <w:color w:val="auto"/>
          <w:lang w:val="pt-BR"/>
        </w:rPr>
        <w:instrText xml:space="preserve"> ADDIN ZOTERO_ITEM CSL_CITATION {"citationID":"ZhKoA3QW","properties":{"unsorted":false,"formattedCitation":"[50]","plainCitation":"[50]","noteIndex":0},"citationItems":[{"id":453,"uris":["http://zotero.org/users/17274952/items/U3HW93FD"],"itemData":{"id":453,"type":"article-journal","container-title":"The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color w:val="auto"/>
          <w:lang w:val="pt-BR"/>
        </w:rPr>
        <w:fldChar w:fldCharType="separate"/>
      </w:r>
      <w:r>
        <w:rPr>
          <w:rFonts w:hint="default" w:cs="Times New Roman"/>
          <w:color w:val="auto"/>
          <w:lang w:val="pt-BR"/>
        </w:rPr>
        <w:t>[50]</w:t>
      </w:r>
      <w:r>
        <w:rPr>
          <w:rFonts w:hint="default" w:ascii="Times New Roman" w:hAnsi="Times New Roman" w:cs="Times New Roman"/>
          <w:color w:val="auto"/>
          <w:lang w:val="pt-BR"/>
        </w:rPr>
        <w:fldChar w:fldCharType="end"/>
      </w:r>
      <w:r>
        <w:rPr>
          <w:rFonts w:ascii="Times New Roman" w:hAnsi="Times New Roman" w:cs="Times New Roman"/>
          <w:color w:val="auto"/>
        </w:rPr>
        <w:t xml:space="preserve">,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(Estatura2/Resistência), apresentando elevada acurácia para populações ativas e com maior densidade musculoesquelética de membros superiores e tronco, evitando a superestimação de adiposidade.  A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[48]</w:t>
      </w:r>
      <w:r>
        <w:rPr>
          <w:rFonts w:hint="default" w:ascii="Times New Roman" w:hAnsi="Times New Roman" w:cs="Times New Roman"/>
          <w:color w:val="auto"/>
        </w:rPr>
        <w:fldChar w:fldCharType="end"/>
      </w:r>
      <w:r>
        <w:rPr>
          <w:rFonts w:ascii="Times New Roman" w:hAnsi="Times New Roman" w:cs="Times New Roman"/>
          <w:color w:val="auto"/>
        </w:rPr>
        <w:t>.</w:t>
      </w:r>
    </w:p>
    <w:p w14:paraId="014F066F">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b) Avaliação da Força de Preensão Manual (FPM)</w:t>
      </w:r>
    </w:p>
    <w:p w14:paraId="273EA8E8">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{"citationID":"RCHSxARg","properties":{"unsorted":false,"formattedCitation":"[51], [52]","plainCitation":"[51],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[51], [52]</w:t>
      </w:r>
      <w:r>
        <w:rPr>
          <w:rFonts w:hint="default" w:ascii="Times New Roman" w:hAnsi="Times New Roman" w:cs="Times New Roman"/>
          <w:color w:val="auto"/>
        </w:rPr>
        <w:fldChar w:fldCharType="end"/>
      </w:r>
      <w:r>
        <w:rPr>
          <w:rFonts w:ascii="Times New Roman" w:hAnsi="Times New Roman" w:cs="Times New Roman"/>
          <w:color w:val="auto"/>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ascii="Times New Roman" w:hAnsi="Times New Roman" w:cs="Times New Roman"/>
          <w:i/>
          <w:iCs/>
          <w:color w:val="auto"/>
        </w:rPr>
        <w:t>American Society of Hand Therapists</w:t>
      </w:r>
      <w:r>
        <w:rPr>
          <w:rFonts w:ascii="Times New Roman" w:hAnsi="Times New Roman" w:cs="Times New Roman"/>
          <w:color w:val="auto"/>
        </w:rPr>
        <w:t xml:space="preserve"> (ASHT)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{"citationID":"lTDhzuNi","properties":{"unsorted":false,"formattedCitation":"[51], [53]","plainCitation":"[51], [53]","noteIndex":0},"citationItems":[{"id":10,"uris":["http://zotero.org/users/17274952/items/2MPKBVK5"],"itemData":{"id":10,"type":"article-journal","abstract":"Abstract\n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[51], [53]</w:t>
      </w:r>
      <w:r>
        <w:rPr>
          <w:rFonts w:hint="default" w:ascii="Times New Roman" w:hAnsi="Times New Roman" w:cs="Times New Roman"/>
          <w:color w:val="auto"/>
        </w:rPr>
        <w:fldChar w:fldCharType="end"/>
      </w:r>
      <w:r>
        <w:rPr>
          <w:rFonts w:ascii="Times New Roman" w:hAnsi="Times New Roman" w:cs="Times New Roman"/>
          <w:color w:val="auto"/>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{"citationID":"sBVeGGZo","properties":{"unsorted":false,"formattedCitation":"[53]","plainCitation":"[53]","noteIndex":0},"citationItems":[{"id":308,"uris":["http://zotero.org/users/17274952/items/6363HPGD"],"itemData":{"id":308,"type":"article-journal","container-title":"Age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[53]</w:t>
      </w:r>
      <w:r>
        <w:rPr>
          <w:rFonts w:hint="default" w:ascii="Times New Roman" w:hAnsi="Times New Roman" w:cs="Times New Roman"/>
          <w:color w:val="auto"/>
        </w:rPr>
        <w:fldChar w:fldCharType="end"/>
      </w:r>
      <w:r>
        <w:rPr>
          <w:rFonts w:ascii="Times New Roman" w:hAnsi="Times New Roman" w:cs="Times New Roman"/>
          <w:color w:val="auto"/>
        </w:rPr>
        <w:t xml:space="preserve">. O maior valor de pico obtido em cada membro será registrado em quilogramas-força (Kgf) e posteriormente normalizado pela massa corporal total (Kgf/Kg)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{"citationID":"viSBB8Rj","properties":{"unsorted":false,"formattedCitation":"[54]","plainCitation":"[54]","noteIndex":0},"citationItems":[{"id":9,"uris":["http://zotero.org/users/17274952/items/PRWFRTC3"],"itemData":{"id":9,"type":"article-journal","container-title":"Sports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[54]</w:t>
      </w:r>
      <w:r>
        <w:rPr>
          <w:rFonts w:hint="default" w:ascii="Times New Roman" w:hAnsi="Times New Roman" w:cs="Times New Roman"/>
          <w:color w:val="auto"/>
        </w:rPr>
        <w:fldChar w:fldCharType="end"/>
      </w:r>
      <w:r>
        <w:rPr>
          <w:rFonts w:ascii="Times New Roman" w:hAnsi="Times New Roman" w:cs="Times New Roman"/>
          <w:color w:val="auto"/>
        </w:rPr>
        <w:t xml:space="preserve">. </w:t>
      </w:r>
    </w:p>
    <w:p w14:paraId="1E58B391">
      <w:pPr>
        <w:pStyle w:val="11"/>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 Pico de Torque Isométrico dos Flexores de Punho (FFP)</w:t>
      </w:r>
    </w:p>
    <w:p w14:paraId="7581F6A6">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ascii="Times New Roman" w:hAnsi="Times New Roman" w:cs="Times New Roman"/>
          <w:i/>
          <w:iCs/>
          <w:color w:val="auto"/>
        </w:rPr>
        <w:t>Limb-Support Pad</w:t>
      </w:r>
      <w:r>
        <w:rPr>
          <w:rFonts w:ascii="Times New Roman" w:hAnsi="Times New Roman" w:cs="Times New Roman"/>
          <w:color w:val="auto"/>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ascii="Times New Roman" w:hAnsi="Times New Roman" w:cs="Times New Roman"/>
          <w:i/>
          <w:iCs/>
          <w:color w:val="auto"/>
        </w:rPr>
        <w:t>wrist attachment</w:t>
      </w:r>
      <w:r>
        <w:rPr>
          <w:rFonts w:ascii="Times New Roman" w:hAnsi="Times New Roman" w:cs="Times New Roman"/>
          <w:color w:val="auto"/>
        </w:rPr>
        <w:t>) será travada no modo isométrico no ângulo articular de 70° de extensão de punho, simulando com alta especificidade a angulação funcional de suporte e a atuação da estratégia de punho (</w:t>
      </w:r>
      <w:r>
        <w:rPr>
          <w:rFonts w:ascii="Times New Roman" w:hAnsi="Times New Roman" w:cs="Times New Roman"/>
          <w:i/>
          <w:iCs/>
          <w:color w:val="auto"/>
        </w:rPr>
        <w:t>wrist strategy</w:t>
      </w:r>
      <w:r>
        <w:rPr>
          <w:rFonts w:ascii="Times New Roman" w:hAnsi="Times New Roman" w:cs="Times New Roman"/>
          <w:color w:val="auto"/>
        </w:rPr>
        <w:t xml:space="preserve">) durante o </w:t>
      </w:r>
      <w:r>
        <w:rPr>
          <w:rFonts w:ascii="Times New Roman" w:hAnsi="Times New Roman" w:cs="Times New Roman"/>
          <w:i/>
          <w:iCs/>
          <w:color w:val="auto"/>
        </w:rPr>
        <w:t xml:space="preserve">HS </w:t>
      </w:r>
      <w:r>
        <w:rPr>
          <w:rFonts w:hint="default" w:ascii="Times New Roman" w:hAnsi="Times New Roman" w:cs="Times New Roman"/>
          <w:i w:val="0"/>
          <w:iCs w:val="0"/>
          <w:color w:val="auto"/>
          <w:lang w:val="pt-BR"/>
        </w:rPr>
        <w:fldChar w:fldCharType="begin"/>
      </w:r>
      <w:r>
        <w:rPr>
          <w:rFonts w:hint="default" w:cs="Times New Roman"/>
          <w:i w:val="0"/>
          <w:iCs w:val="0"/>
          <w:color w:val="auto"/>
          <w:lang w:val="pt-BR"/>
        </w:rPr>
        <w:instrText xml:space="preserve"> ADDIN ZOTERO_ITEM CSL_CITATION {"citationID":"5xg4t7kb","properties":{"unsorted":false,"formattedCitation":"[3], [9], [55]","plainCitation":"[3], [9], [55]","noteIndex":0},"citationItems":[{"id":336,"uris":["http://zotero.org/users/17274952/items/P82NI7IB"],"itemData":{"id":336,"type":"article-journal","abstract":"KERWIN,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color w:val="auto"/>
          <w:lang w:val="pt-BR"/>
        </w:rPr>
        <w:fldChar w:fldCharType="separate"/>
      </w:r>
      <w:r>
        <w:rPr>
          <w:rFonts w:hint="default" w:cs="Times New Roman"/>
          <w:i w:val="0"/>
          <w:iCs w:val="0"/>
          <w:color w:val="auto"/>
          <w:lang w:val="pt-BR"/>
        </w:rPr>
        <w:t>[3], [9], [55]</w:t>
      </w:r>
      <w:r>
        <w:rPr>
          <w:rFonts w:hint="default" w:ascii="Times New Roman" w:hAnsi="Times New Roman" w:cs="Times New Roman"/>
          <w:i w:val="0"/>
          <w:iCs w:val="0"/>
          <w:color w:val="auto"/>
          <w:lang w:val="pt-BR"/>
        </w:rPr>
        <w:fldChar w:fldCharType="end"/>
      </w:r>
      <w:r>
        <w:rPr>
          <w:rFonts w:ascii="Times New Roman" w:hAnsi="Times New Roman" w:cs="Times New Roman"/>
          <w:i/>
          <w:iCs/>
          <w:color w:val="auto"/>
        </w:rPr>
        <w:t xml:space="preserve"> </w:t>
      </w:r>
      <w:r>
        <w:rPr>
          <w:rFonts w:ascii="Times New Roman" w:hAnsi="Times New Roman" w:cs="Times New Roman"/>
          <w:color w:val="auto"/>
        </w:rPr>
        <w:t>. Após a calibração do zero anatômico e a correção automática do peso do membro e da alavanca (</w:t>
      </w:r>
      <w:r>
        <w:rPr>
          <w:rFonts w:ascii="Times New Roman" w:hAnsi="Times New Roman" w:cs="Times New Roman"/>
          <w:i/>
          <w:iCs/>
          <w:color w:val="auto"/>
        </w:rPr>
        <w:t>gravity correction</w:t>
      </w:r>
      <w:r>
        <w:rPr>
          <w:rFonts w:ascii="Times New Roman" w:hAnsi="Times New Roman" w:cs="Times New Roman"/>
          <w:color w:val="auto"/>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4M4RcQOL","properties":{"unsorted":false,"formattedCitation":"[56]","plainCitation":"[56]","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[56]</w:t>
      </w:r>
      <w:r>
        <w:rPr>
          <w:rFonts w:hint="default" w:ascii="Times New Roman" w:hAnsi="Times New Roman" w:cs="Times New Roman"/>
          <w:color w:val="auto"/>
        </w:rPr>
        <w:fldChar w:fldCharType="end"/>
      </w:r>
      <w:r>
        <w:rPr>
          <w:rFonts w:ascii="Times New Roman" w:hAnsi="Times New Roman" w:cs="Times New Roman"/>
          <w:color w:val="auto"/>
        </w:rPr>
        <w:t>. O maior valor de pico de torque (PT, em N·m) será registrado e normalizado pela massa corporal (N·m/kg) [53]. Adicionalmente, será calculado o Índice de Simetria de Membros [</w:t>
      </w:r>
      <w:r>
        <w:rPr>
          <w:rFonts w:ascii="Times New Roman" w:hAnsi="Times New Roman" w:cs="Times New Roman"/>
          <w:i/>
          <w:iCs/>
          <w:color w:val="auto"/>
        </w:rPr>
        <w:t>LSI</w:t>
      </w:r>
      <w:r>
        <w:rPr>
          <w:rFonts w:ascii="Times New Roman" w:hAnsi="Times New Roman" w:cs="Times New Roman"/>
          <w:color w:val="auto"/>
        </w:rPr>
        <w:t xml:space="preserve"> (%) = (PT não dominante / PT dominante) × 100] para posterior análise na locomoção dinâmica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{"citationID":"Tk2je6FQ","properties":{"unsorted":false,"formattedCitation":"[57]","plainCitation":"[57]","noteIndex":0},"citationItems":[{"id":4,"uris":["http://zotero.org/users/17274952/items/EFWZLII9"],"itemData":{"id":4,"type":"article-journal","abstract":"ABSTRACT\n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[57]</w:t>
      </w:r>
      <w:r>
        <w:rPr>
          <w:rFonts w:hint="default" w:ascii="Times New Roman" w:hAnsi="Times New Roman" w:cs="Times New Roman"/>
          <w:color w:val="auto"/>
        </w:rPr>
        <w:fldChar w:fldCharType="end"/>
      </w:r>
      <w:r>
        <w:rPr>
          <w:rFonts w:ascii="Times New Roman" w:hAnsi="Times New Roman" w:cs="Times New Roman"/>
          <w:color w:val="auto"/>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d) Teste de 1 Repetição Máxima (1-RM) no </w:t>
      </w:r>
      <w:r>
        <w:rPr>
          <w:rFonts w:ascii="Times New Roman" w:hAnsi="Times New Roman" w:cs="Times New Roman"/>
          <w:i/>
          <w:iCs/>
          <w:color w:val="auto"/>
        </w:rPr>
        <w:t>SP</w:t>
      </w:r>
    </w:p>
    <w:p w14:paraId="1B36F705">
      <w:pPr>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A força máxima dinâmica dos músculos de membros superiores em empurrar acima da cabeça será mensurada pelo teste de 1-RM no </w:t>
      </w:r>
      <w:r>
        <w:rPr>
          <w:rFonts w:ascii="Times New Roman" w:hAnsi="Times New Roman" w:cs="Times New Roman"/>
          <w:i/>
          <w:iCs/>
          <w:color w:val="auto"/>
        </w:rPr>
        <w:t>shoulder press</w:t>
      </w:r>
      <w:r>
        <w:rPr>
          <w:rFonts w:ascii="Times New Roman" w:hAnsi="Times New Roman" w:cs="Times New Roman"/>
          <w:color w:val="auto"/>
        </w:rPr>
        <w:t xml:space="preserve"> com barra e pesos livres, seguindo protocolo adaptado de teste progressivo de carga máxima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{"citationID":"pyYfeFLJ","properties":{"unsorted":false,"formattedCitation":"[47], [58], [59]","plainCitation":"[47], [58], [59]","noteIndex":0},"citationItems":[{"id":357,"uris":["http://zotero.org/users/17274952/items/PT598QVY"],"itemData":{"id":357,"type":"article-journal","abstract":"Embora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[47], [58], [59]</w:t>
      </w:r>
      <w:r>
        <w:rPr>
          <w:rFonts w:hint="default" w:ascii="Times New Roman" w:hAnsi="Times New Roman" w:eastAsia="Times New Roman" w:cs="Times New Roman"/>
          <w:color w:val="auto"/>
        </w:rPr>
        <w:fldChar w:fldCharType="end"/>
      </w:r>
      <w:r>
        <w:rPr>
          <w:rFonts w:ascii="Times New Roman" w:hAnsi="Times New Roman" w:cs="Times New Roman"/>
          <w:color w:val="auto"/>
        </w:rPr>
        <w:t>. Previamente ao teste de carga máxima, os participantes realizarão um protocolo padronizado de aquecimento e preparação articular específico composto por: mobilidade torácica e flexão de ombros apoiando as mãos na parede (</w:t>
      </w:r>
      <w:r>
        <w:rPr>
          <w:rFonts w:ascii="Times New Roman" w:hAnsi="Times New Roman" w:cs="Times New Roman"/>
          <w:i/>
          <w:iCs/>
          <w:color w:val="auto"/>
        </w:rPr>
        <w:t>wall opener</w:t>
      </w:r>
      <w:r>
        <w:rPr>
          <w:rFonts w:ascii="Times New Roman" w:hAnsi="Times New Roman" w:cs="Times New Roman"/>
          <w:color w:val="auto"/>
        </w:rPr>
        <w:t>, cinco respirações profundas em alinhamento articular); ativação do manguito rotador e estabilizadores escapulares em decúbito ventral no solo (</w:t>
      </w:r>
      <w:r>
        <w:rPr>
          <w:rFonts w:ascii="Times New Roman" w:hAnsi="Times New Roman" w:cs="Times New Roman"/>
          <w:i/>
          <w:iCs/>
          <w:color w:val="auto"/>
        </w:rPr>
        <w:t>prone</w:t>
      </w:r>
      <w:r>
        <w:rPr>
          <w:rFonts w:ascii="Times New Roman" w:hAnsi="Times New Roman" w:cs="Times New Roman"/>
          <w:color w:val="auto"/>
        </w:rPr>
        <w:t xml:space="preserve"> Y-T-W, cinco repetições controladas em cada posição com polegares elevados); ativação do serrátil anterior em prancha alta (</w:t>
      </w:r>
      <w:r>
        <w:rPr>
          <w:rFonts w:ascii="Times New Roman" w:hAnsi="Times New Roman" w:cs="Times New Roman"/>
          <w:i/>
          <w:iCs/>
          <w:color w:val="auto"/>
        </w:rPr>
        <w:t>scapular push-ups</w:t>
      </w:r>
      <w:r>
        <w:rPr>
          <w:rFonts w:ascii="Times New Roman" w:hAnsi="Times New Roman" w:cs="Times New Roman"/>
          <w:color w:val="auto"/>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ascii="Times New Roman" w:hAnsi="Times New Roman" w:cs="Times New Roman"/>
          <w:i/>
          <w:iCs/>
          <w:color w:val="auto"/>
        </w:rPr>
        <w:t>lockout</w:t>
      </w:r>
      <w:r>
        <w:rPr>
          <w:rFonts w:ascii="Times New Roman" w:hAnsi="Times New Roman" w:cs="Times New Roman"/>
          <w:color w:val="auto"/>
        </w:rPr>
        <w:t xml:space="preserve">). Em seguida, anilhas calibradas (FlexFit®, Franca, Brasil) serão adicionadas para a progressão da carga. A distância de pegada das mãos na barra será padronizada ligeiramente além da largura dos ombros </w:t>
      </w:r>
      <w:r>
        <w:rPr>
          <w:rFonts w:hint="default" w:ascii="Times New Roman" w:hAnsi="Times New Roman" w:eastAsia="Times New Roman" w:cs="Times New Roman"/>
          <w:color w:val="auto"/>
          <w:lang w:val="pt-BR"/>
        </w:rPr>
        <w:fldChar w:fldCharType="begin"/>
      </w:r>
      <w:r>
        <w:rPr>
          <w:rFonts w:hint="default" w:cs="Times New Roman"/>
          <w:color w:val="auto"/>
          <w:lang w:val="pt-BR"/>
        </w:rPr>
        <w:instrText xml:space="preserve"> ADDIN ZOTERO_ITEM CSL_CITATION {"citationID":"xtLaG6Gj","properties":{"unsorted":false,"formattedCitation":"[60]","plainCitation":"[60]","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cs="Times New Roman"/>
          <w:color w:val="auto"/>
          <w:lang w:val="pt-BR"/>
        </w:rPr>
        <w:t>[60]</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color w:val="auto"/>
          <w:highlight w:val="none"/>
        </w:rPr>
      </w:pPr>
      <w:r>
        <w:rPr>
          <w:rFonts w:ascii="Times New Roman" w:hAnsi="Times New Roman" w:cs="Times New Roman"/>
          <w:color w:val="auto"/>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color w:val="auto"/>
          <w:highlight w:val="none"/>
        </w:rPr>
        <w:fldChar w:fldCharType="begin"/>
      </w:r>
      <w:r>
        <w:rPr>
          <w:rFonts w:hint="default" w:ascii="Times New Roman" w:hAnsi="Times New Roman" w:eastAsia="Times New Roman" w:cs="Times New Roman"/>
          <w:color w:val="auto"/>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ascii="Times New Roman" w:hAnsi="Times New Roman" w:eastAsia="Times New Roman" w:cs="Times New Roman"/>
          <w:color w:val="auto"/>
          <w:highlight w:val="none"/>
          <w:lang w:val="pt-BR"/>
        </w:rPr>
        <w:t>[47]</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color w:val="auto"/>
          <w:highlight w:val="none"/>
        </w:rPr>
        <w:fldChar w:fldCharType="begin"/>
      </w:r>
      <w:r>
        <w:rPr>
          <w:rFonts w:hint="default" w:cs="Times New Roman"/>
          <w:color w:val="auto"/>
          <w:highlight w:val="none"/>
          <w:lang w:val="pt-BR"/>
        </w:rPr>
        <w:instrText xml:space="preserve"> ADDIN ZOTERO_ITEM CSL_CITATION {"citationID":"IZPXcbao","properties":{"unsorted":false,"formattedCitation":"[58]","plainCitation":"[58]","noteIndex":0},"citationItems":[{"id":357,"uris":["http://zotero.org/users/17274952/items/PT598QVY"],"itemData":{"id":357,"type":"article-journal","abstract":"Embora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cs="Times New Roman"/>
          <w:color w:val="auto"/>
          <w:highlight w:val="none"/>
          <w:lang w:val="pt-BR"/>
        </w:rPr>
        <w:t>[58]</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xml:space="preserve">.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 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w:t>
      </w:r>
      <w:r>
        <w:rPr>
          <w:rFonts w:ascii="Times New Roman" w:hAnsi="Times New Roman" w:cs="Times New Roman"/>
          <w:i/>
          <w:iCs/>
          <w:color w:val="auto"/>
        </w:rPr>
        <w:t>SP</w:t>
      </w:r>
      <w:r>
        <w:rPr>
          <w:rFonts w:ascii="Times New Roman" w:hAnsi="Times New Roman" w:cs="Times New Roman"/>
          <w:color w:val="auto"/>
        </w:rPr>
        <w:t xml:space="preserve"> será expressa pela carga absoluta em quilogramas (kg) e pela força relativa à massa corporal total (kg/kg) </w:t>
      </w:r>
      <w:r>
        <w:rPr>
          <w:rFonts w:hint="default" w:ascii="Times New Roman" w:hAnsi="Times New Roman" w:eastAsia="Times New Roman" w:cs="Times New Roman"/>
          <w:color w:val="auto"/>
          <w:highlight w:val="none"/>
        </w:rPr>
        <w:fldChar w:fldCharType="begin"/>
      </w:r>
      <w:r>
        <w:rPr>
          <w:rFonts w:hint="default" w:cs="Times New Roman"/>
          <w:color w:val="auto"/>
          <w:highlight w:val="none"/>
          <w:lang w:val="pt-BR"/>
        </w:rPr>
        <w:instrText xml:space="preserve"> ADDIN ZOTERO_ITEM CSL_CITATION {"citationID":"KwvKTcbj","properties":{"unsorted":false,"formattedCitation":"[54], [60]","plainCitation":"[54], [60]","noteIndex":0},"citationItems":[{"id":332,"uris":["http://zotero.org/users/17274952/items/3G6MAY8K"],"itemData":{"id":332,"type":"thesis","language":"pt","source":"Zotero","title":"A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color w:val="auto"/>
          <w:highlight w:val="none"/>
        </w:rPr>
        <w:fldChar w:fldCharType="separate"/>
      </w:r>
      <w:r>
        <w:rPr>
          <w:rFonts w:hint="default" w:cs="Times New Roman"/>
          <w:color w:val="auto"/>
          <w:highlight w:val="none"/>
          <w:lang w:val="pt-BR"/>
        </w:rPr>
        <w:t>[54], [60]</w:t>
      </w:r>
      <w:r>
        <w:rPr>
          <w:rFonts w:hint="default" w:ascii="Times New Roman" w:hAnsi="Times New Roman" w:eastAsia="Times New Roman" w:cs="Times New Roman"/>
          <w:color w:val="auto"/>
          <w:highlight w:val="none"/>
        </w:rPr>
        <w:fldChar w:fldCharType="end"/>
      </w:r>
      <w:r>
        <w:rPr>
          <w:rFonts w:ascii="Times New Roman" w:hAnsi="Times New Roman" w:cs="Times New Roman"/>
          <w:color w:val="auto"/>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color w:val="auto"/>
        </w:rPr>
      </w:pPr>
      <w:r>
        <w:rPr>
          <w:rFonts w:ascii="Times New Roman" w:hAnsi="Times New Roman" w:cs="Times New Roman"/>
          <w:color w:val="auto"/>
        </w:rPr>
        <w:t>e) Teste de Resistência em Posição Invertida (</w:t>
      </w:r>
      <w:r>
        <w:rPr>
          <w:rFonts w:ascii="Times New Roman" w:hAnsi="Times New Roman" w:cs="Times New Roman"/>
          <w:i/>
          <w:iCs/>
          <w:color w:val="auto"/>
        </w:rPr>
        <w:t>wall-supported HS</w:t>
      </w:r>
      <w:r>
        <w:rPr>
          <w:rFonts w:ascii="Times New Roman" w:hAnsi="Times New Roman" w:cs="Times New Roman"/>
          <w:color w:val="auto"/>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color w:val="auto"/>
        </w:rPr>
      </w:pPr>
      <w:r>
        <w:rPr>
          <w:rFonts w:ascii="Times New Roman" w:hAnsi="Times New Roman" w:cs="Times New Roman"/>
          <w:color w:val="auto"/>
        </w:rPr>
        <w:t xml:space="preserve">A resistência muscular isométrica dos membros superiores em posição invertida será avaliada por meio do tempo máximo de sustentação (em segundos) no </w:t>
      </w:r>
      <w:r>
        <w:rPr>
          <w:rFonts w:ascii="Times New Roman" w:hAnsi="Times New Roman" w:cs="Times New Roman"/>
          <w:i/>
          <w:iCs/>
          <w:color w:val="auto"/>
        </w:rPr>
        <w:t>HS</w:t>
      </w:r>
      <w:r>
        <w:rPr>
          <w:rFonts w:ascii="Times New Roman" w:hAnsi="Times New Roman" w:cs="Times New Roman"/>
          <w:color w:val="auto"/>
        </w:rPr>
        <w:t xml:space="preserve"> com o ventre voltado para a parede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[19], [27]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{"citationID":"M2NMI0ab","properties":{"unsorted":false,"formattedCitation":"[61]","plainCitation":"[61]","noteIndex":0},"citationItems":[{"id":37,"uris":["http://zotero.org/users/17274952/items/QWZYMZ6N"],"itemData":{"id":37,"type":"book","collection-title":"Medicine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[61]</w:t>
      </w:r>
      <w:r>
        <w:rPr>
          <w:rFonts w:hint="default" w:ascii="Times New Roman" w:hAnsi="Times New Roman" w:eastAsia="Times New Roman" w:cs="Times New Roman"/>
          <w:color w:val="auto"/>
        </w:rPr>
        <w:fldChar w:fldCharType="end"/>
      </w:r>
      <w:r>
        <w:rPr>
          <w:rFonts w:ascii="Times New Roman" w:hAnsi="Times New Roman" w:cs="Times New Roman"/>
          <w:color w:val="auto"/>
        </w:rPr>
        <w:t>. O participante assumirá a postura invertida por meio de escalada pela parede (</w:t>
      </w:r>
      <w:r>
        <w:rPr>
          <w:rFonts w:ascii="Times New Roman" w:hAnsi="Times New Roman" w:cs="Times New Roman"/>
          <w:i/>
          <w:iCs/>
          <w:color w:val="auto"/>
        </w:rPr>
        <w:t>wall</w:t>
      </w:r>
      <w:r>
        <w:rPr>
          <w:rFonts w:ascii="Times New Roman" w:hAnsi="Times New Roman" w:cs="Times New Roman"/>
          <w:color w:val="auto"/>
        </w:rPr>
        <w:t>-</w:t>
      </w:r>
      <w:r>
        <w:rPr>
          <w:rFonts w:ascii="Times New Roman" w:hAnsi="Times New Roman" w:cs="Times New Roman"/>
          <w:i/>
          <w:iCs/>
          <w:color w:val="auto"/>
        </w:rPr>
        <w:t>walk</w:t>
      </w:r>
      <w:r>
        <w:rPr>
          <w:rFonts w:ascii="Times New Roman" w:hAnsi="Times New Roman" w:cs="Times New Roman"/>
          <w:color w:val="auto"/>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eastAsia="Times New Roman" w:cs="Times New Roman"/>
          <w:color w:val="auto"/>
          <w:lang w:val="pt-BR"/>
        </w:rPr>
        <w:t>[46], [47]</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 </w:t>
      </w:r>
      <w:r>
        <w:rPr>
          <w:rFonts w:hint="default" w:ascii="Times New Roman" w:hAnsi="Times New Roman" w:eastAsia="Times New Roman" w:cs="Times New Roman"/>
          <w:color w:val="auto"/>
          <w:lang w:val="pt-BR"/>
        </w:rPr>
        <w:fldChar w:fldCharType="begin"/>
      </w:r>
      <w:r>
        <w:rPr>
          <w:rFonts w:hint="default" w:ascii="Times New Roman" w:hAnsi="Times New Roman" w:eastAsia="Times New Roman" w:cs="Times New Roman"/>
          <w:color w:val="auto"/>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color w:val="auto"/>
          <w:lang w:val="pt-BR"/>
        </w:rPr>
        <w:fldChar w:fldCharType="separate"/>
      </w:r>
      <w:r>
        <w:rPr>
          <w:rFonts w:hint="default" w:ascii="Times New Roman" w:hAnsi="Times New Roman" w:eastAsia="Times New Roman" w:cs="Times New Roman"/>
          <w:color w:val="auto"/>
          <w:lang w:val="pt-BR"/>
        </w:rPr>
        <w:t>[19], [27]</w:t>
      </w:r>
      <w:r>
        <w:rPr>
          <w:rFonts w:hint="default" w:ascii="Times New Roman" w:hAnsi="Times New Roman" w:eastAsia="Times New Roman" w:cs="Times New Roman"/>
          <w:color w:val="auto"/>
          <w:lang w:val="pt-BR"/>
        </w:rPr>
        <w:fldChar w:fldCharType="end"/>
      </w:r>
      <w:r>
        <w:rPr>
          <w:rFonts w:ascii="Times New Roman" w:hAnsi="Times New Roman" w:cs="Times New Roman"/>
          <w:color w:val="auto"/>
        </w:rPr>
        <w:t xml:space="preserve">. O tempo de sustentação será cronometrado com precisão de centésimos de segundo utilizando um cronômetro digital (Casio®, modelo </w:t>
      </w:r>
      <w:r>
        <w:rPr>
          <w:rFonts w:ascii="Times New Roman" w:hAnsi="Times New Roman" w:cs="Times New Roman"/>
          <w:i/>
          <w:iCs/>
          <w:color w:val="auto"/>
        </w:rPr>
        <w:t>HS</w:t>
      </w:r>
      <w:r>
        <w:rPr>
          <w:rFonts w:ascii="Times New Roman" w:hAnsi="Times New Roman" w:cs="Times New Roman"/>
          <w:color w:val="auto"/>
        </w:rPr>
        <w:t>-80TW-BU,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color w:val="auto"/>
          <w:u w:val="none"/>
        </w:rPr>
      </w:pPr>
      <w:r>
        <w:rPr>
          <w:rFonts w:ascii="Times New Roman" w:hAnsi="Times New Roman" w:cs="Times New Roman"/>
          <w:color w:val="auto"/>
        </w:rPr>
        <w:t xml:space="preserve">3.4.2 Sessão 2 - Avaliação de desempenho </w:t>
      </w:r>
      <w:r>
        <w:rPr>
          <w:rFonts w:ascii="Times New Roman" w:hAnsi="Times New Roman" w:cs="Times New Roman"/>
          <w:i/>
          <w:iCs/>
          <w:color w:val="auto"/>
        </w:rPr>
        <w:t xml:space="preserve">do HS </w:t>
      </w:r>
      <w:r>
        <w:rPr>
          <w:rFonts w:ascii="Times New Roman" w:hAnsi="Times New Roman" w:cs="Times New Roman"/>
          <w:color w:val="auto"/>
        </w:rPr>
        <w:t xml:space="preserve">e </w:t>
      </w:r>
      <w:r>
        <w:rPr>
          <w:rFonts w:ascii="Times New Roman" w:hAnsi="Times New Roman" w:cs="Times New Roman"/>
          <w:i/>
          <w:iCs/>
          <w:color w:val="auto"/>
        </w:rPr>
        <w:t>HSW</w:t>
      </w:r>
    </w:p>
    <w:p w14:paraId="3AB26515">
      <w:pPr>
        <w:widowControl w:val="0"/>
        <w:spacing w:line="360" w:lineRule="auto"/>
        <w:ind w:firstLine="720"/>
        <w:rPr>
          <w:rFonts w:hint="default" w:ascii="Times New Roman" w:hAnsi="Times New Roman" w:cs="Times New Roman"/>
          <w:color w:val="auto"/>
        </w:rPr>
      </w:pPr>
      <w:r>
        <w:rPr>
          <w:rFonts w:ascii="Times New Roman" w:hAnsi="Times New Roman" w:cs="Times New Roman"/>
          <w:color w:val="auto"/>
        </w:rPr>
        <w:t>Para a captura da cinemática tridimensional, serão fixados 39 marcadores esféricos retrorrefletivos sobre pontos anatômicos através de todo o corpo, seguindo o protocolo padronizado </w:t>
      </w:r>
      <w:r>
        <w:rPr>
          <w:rFonts w:ascii="Times New Roman" w:hAnsi="Times New Roman" w:cs="Times New Roman"/>
          <w:i/>
          <w:iCs/>
          <w:color w:val="auto"/>
        </w:rPr>
        <w:t>Plug-in Gait Full Body</w:t>
      </w:r>
      <w:r>
        <w:rPr>
          <w:rFonts w:ascii="Times New Roman" w:hAnsi="Times New Roman" w:cs="Times New Roman"/>
          <w:color w:val="auto"/>
        </w:rPr>
        <w:t xml:space="preserve"> (Vicon®, Oxford, Reino Unido), fundamentado no modelo biomecânico de Davis et al. (1991) e Kadaba et al. (1990)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{"citationID":"y3Pevodv","properties":{"unsorted":false,"formattedCitation":"[62], [63]","plainCitation":"[62], [63]","noteIndex":0},"citationItems":[{"id":19,"uris":["http://zotero.org/users/17274952/items/9YDQ4XD5"],"itemData":{"id":19,"type":"article-journal","container-title":"Human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[62], [63]</w:t>
      </w:r>
      <w:r>
        <w:rPr>
          <w:rFonts w:hint="default" w:ascii="Times New Roman" w:hAnsi="Times New Roman" w:cs="Times New Roman"/>
          <w:color w:val="auto"/>
        </w:rPr>
        <w:fldChar w:fldCharType="end"/>
      </w:r>
      <w:r>
        <w:rPr>
          <w:rFonts w:ascii="Times New Roman" w:hAnsi="Times New Roman" w:cs="Times New Roman"/>
          <w:color w:val="auto"/>
        </w:rPr>
        <w:t>. Adicionalmente a este protocolo padrão, e de forma específica para solucionar o desafio de oclusão óptica impostos pela tarefa de locomoção invertida (</w:t>
      </w:r>
      <w:r>
        <w:rPr>
          <w:rFonts w:ascii="Times New Roman" w:hAnsi="Times New Roman" w:cs="Times New Roman"/>
          <w:i/>
          <w:iCs/>
          <w:color w:val="auto"/>
        </w:rPr>
        <w:t>HSW</w:t>
      </w:r>
      <w:r>
        <w:rPr>
          <w:rFonts w:ascii="Times New Roman" w:hAnsi="Times New Roman" w:cs="Times New Roman"/>
          <w:color w:val="auto"/>
        </w:rPr>
        <w:t>),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w:t>
      </w:r>
      <w:r>
        <w:rPr>
          <w:rFonts w:ascii="Times New Roman" w:hAnsi="Times New Roman" w:cs="Times New Roman"/>
          <w:i/>
          <w:iCs/>
          <w:color w:val="auto"/>
        </w:rPr>
        <w:t>cluster</w:t>
      </w:r>
      <w:r>
        <w:rPr>
          <w:rFonts w:ascii="Times New Roman" w:hAnsi="Times New Roman" w:cs="Times New Roman"/>
          <w:color w:val="auto"/>
        </w:rPr>
        <w:t xml:space="preserve">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{"citationID":"xn7f3MF5","properties":{"unsorted":false,"formattedCitation":"[64], [65]","plainCitation":"[64], [65]","noteIndex":0},"citationItems":[{"id":29,"uris":["http://zotero.org/users/17274952/items/39QW84UC"],"itemData":{"id":29,"type":"article-journal","container-title":"Journal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[64], [65]</w:t>
      </w:r>
      <w:r>
        <w:rPr>
          <w:rFonts w:hint="default" w:ascii="Times New Roman" w:hAnsi="Times New Roman" w:cs="Times New Roman"/>
          <w:color w:val="auto"/>
        </w:rPr>
        <w:fldChar w:fldCharType="end"/>
      </w:r>
      <w:r>
        <w:rPr>
          <w:rFonts w:ascii="Times New Roman" w:hAnsi="Times New Roman" w:cs="Times New Roman"/>
          <w:color w:val="auto"/>
        </w:rPr>
        <w:t>. 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b w:val="0"/>
          <w:bCs w:val="0"/>
          <w:i w:val="0"/>
          <w:iCs w:val="0"/>
          <w:color w:val="auto"/>
        </w:rPr>
      </w:pPr>
      <w:r>
        <w:rPr>
          <w:rFonts w:ascii="Times New Roman" w:hAnsi="Times New Roman" w:cs="Times New Roman"/>
          <w:b w:val="0"/>
          <w:bCs w:val="0"/>
          <w:i w:val="0"/>
          <w:iCs w:val="0"/>
          <w:color w:val="auto"/>
        </w:rPr>
        <w:t xml:space="preserve">Com o participante já instrumentado com os marcadores retrorreflexivos, será executado um protocolo padronizado de aquecimento e preparação neuromuscular específico. O protocolo compreenderá: mobilidade dinâmica em pé com circundução de punhos e abertura torácica na parede </w:t>
      </w:r>
      <w:r>
        <w:rPr>
          <w:rFonts w:ascii="Times New Roman" w:hAnsi="Times New Roman" w:cs="Times New Roman"/>
          <w:b w:val="0"/>
          <w:bCs w:val="0"/>
          <w:i/>
          <w:iCs/>
          <w:color w:val="auto"/>
        </w:rPr>
        <w:t>(wall opener</w:t>
      </w:r>
      <w:r>
        <w:rPr>
          <w:rFonts w:ascii="Times New Roman" w:hAnsi="Times New Roman" w:cs="Times New Roman"/>
          <w:b w:val="0"/>
          <w:bCs w:val="0"/>
          <w:i w:val="0"/>
          <w:iCs w:val="0"/>
          <w:color w:val="auto"/>
        </w:rPr>
        <w:t xml:space="preserve">),  sobrecarga axial </w:t>
      </w:r>
      <w:r>
        <w:rPr>
          <w:rFonts w:hint="default" w:cs="Times New Roman"/>
          <w:b w:val="0"/>
          <w:bCs w:val="0"/>
          <w:i w:val="0"/>
          <w:iCs w:val="0"/>
          <w:color w:val="auto"/>
          <w:lang w:val="pt-BR"/>
        </w:rPr>
        <w:t>sobre os punhos</w:t>
      </w:r>
      <w:r>
        <w:rPr>
          <w:rFonts w:ascii="Times New Roman" w:hAnsi="Times New Roman" w:cs="Times New Roman"/>
          <w:b w:val="0"/>
          <w:bCs w:val="0"/>
          <w:i w:val="0"/>
          <w:iCs w:val="0"/>
          <w:color w:val="auto"/>
        </w:rPr>
        <w:t xml:space="preserve"> em quatro apoio</w:t>
      </w:r>
      <w:r>
        <w:rPr>
          <w:rFonts w:hint="default" w:cs="Times New Roman"/>
          <w:b w:val="0"/>
          <w:bCs w:val="0"/>
          <w:i w:val="0"/>
          <w:iCs w:val="0"/>
          <w:color w:val="auto"/>
          <w:lang w:val="pt-BR"/>
        </w:rPr>
        <w:t>,</w:t>
      </w:r>
      <w:r>
        <w:rPr>
          <w:rFonts w:ascii="Times New Roman" w:hAnsi="Times New Roman" w:cs="Times New Roman"/>
          <w:b w:val="0"/>
          <w:bCs w:val="0"/>
          <w:i w:val="0"/>
          <w:iCs w:val="0"/>
          <w:color w:val="auto"/>
        </w:rPr>
        <w:t xml:space="preserve"> ativação da cintura escapular e estabilidade unimanual por meio de flexões escapulares em prancha alta (</w:t>
      </w:r>
      <w:r>
        <w:rPr>
          <w:rFonts w:ascii="Times New Roman" w:hAnsi="Times New Roman" w:cs="Times New Roman"/>
          <w:b w:val="0"/>
          <w:bCs w:val="0"/>
          <w:i/>
          <w:iCs/>
          <w:color w:val="auto"/>
        </w:rPr>
        <w:t>scapular push-ups</w:t>
      </w:r>
      <w:r>
        <w:rPr>
          <w:rFonts w:ascii="Times New Roman" w:hAnsi="Times New Roman" w:cs="Times New Roman"/>
          <w:b w:val="0"/>
          <w:bCs w:val="0"/>
          <w:i w:val="0"/>
          <w:iCs w:val="0"/>
          <w:color w:val="auto"/>
        </w:rPr>
        <w:t xml:space="preserve">, oito a dez repetições) e toques alternados nos ombros em posição de V invertido </w:t>
      </w:r>
      <w:r>
        <w:rPr>
          <w:rFonts w:ascii="Times New Roman" w:hAnsi="Times New Roman" w:cs="Times New Roman"/>
          <w:b w:val="0"/>
          <w:bCs w:val="0"/>
          <w:i/>
          <w:iCs/>
          <w:color w:val="auto"/>
        </w:rPr>
        <w:t>(shoulder taps em pike</w:t>
      </w:r>
      <w:r>
        <w:rPr>
          <w:rFonts w:ascii="Times New Roman" w:hAnsi="Times New Roman" w:cs="Times New Roman"/>
          <w:b w:val="0"/>
          <w:bCs w:val="0"/>
          <w:i w:val="0"/>
          <w:iCs w:val="0"/>
          <w:color w:val="auto"/>
        </w:rPr>
        <w:t>, dez repetições)</w:t>
      </w:r>
      <w:r>
        <w:rPr>
          <w:rFonts w:hint="default" w:cs="Times New Roman"/>
          <w:b w:val="0"/>
          <w:bCs w:val="0"/>
          <w:i w:val="0"/>
          <w:iCs w:val="0"/>
          <w:color w:val="auto"/>
          <w:lang w:val="pt-BR"/>
        </w:rPr>
        <w:t>,</w:t>
      </w:r>
      <w:r>
        <w:rPr>
          <w:rFonts w:ascii="Times New Roman" w:hAnsi="Times New Roman" w:cs="Times New Roman"/>
          <w:b w:val="0"/>
          <w:bCs w:val="0"/>
          <w:i w:val="0"/>
          <w:iCs w:val="0"/>
          <w:color w:val="auto"/>
        </w:rPr>
        <w:t xml:space="preserve"> acomodação vestibular e calibração proprioceptiva da estratégia de equilíbrio, mediante uma subida rápida de frente para a parede (</w:t>
      </w:r>
      <w:r>
        <w:rPr>
          <w:rFonts w:ascii="Times New Roman" w:hAnsi="Times New Roman" w:cs="Times New Roman"/>
          <w:b w:val="0"/>
          <w:bCs w:val="0"/>
          <w:i/>
          <w:iCs/>
          <w:color w:val="auto"/>
        </w:rPr>
        <w:t>belly-to-wall</w:t>
      </w:r>
      <w:r>
        <w:rPr>
          <w:rFonts w:ascii="Times New Roman" w:hAnsi="Times New Roman" w:cs="Times New Roman"/>
          <w:b w:val="0"/>
          <w:bCs w:val="0"/>
          <w:i w:val="0"/>
          <w:iCs w:val="0"/>
          <w:color w:val="auto"/>
        </w:rPr>
        <w:t>, cinco a oito segundos) e uma subida de costas para a parede (</w:t>
      </w:r>
      <w:r>
        <w:rPr>
          <w:rFonts w:ascii="Times New Roman" w:hAnsi="Times New Roman" w:cs="Times New Roman"/>
          <w:b w:val="0"/>
          <w:bCs w:val="0"/>
          <w:i/>
          <w:iCs/>
          <w:color w:val="auto"/>
        </w:rPr>
        <w:t>back-to-wall</w:t>
      </w:r>
      <w:r>
        <w:rPr>
          <w:rFonts w:ascii="Times New Roman" w:hAnsi="Times New Roman" w:cs="Times New Roman"/>
          <w:b w:val="0"/>
          <w:bCs w:val="0"/>
          <w:i w:val="0"/>
          <w:iCs w:val="0"/>
          <w:color w:val="auto"/>
        </w:rPr>
        <w:t xml:space="preserve">) em que o pesquisador auxiliará três micro-descolamentos dos pés para fora da parede. A seguir, a coleta começará com as tentativas no </w:t>
      </w:r>
      <w:r>
        <w:rPr>
          <w:rFonts w:ascii="Times New Roman" w:hAnsi="Times New Roman" w:cs="Times New Roman"/>
          <w:b w:val="0"/>
          <w:bCs w:val="0"/>
          <w:i/>
          <w:iCs/>
          <w:color w:val="auto"/>
        </w:rPr>
        <w:t>HS</w:t>
      </w:r>
      <w:r>
        <w:rPr>
          <w:rFonts w:ascii="Times New Roman" w:hAnsi="Times New Roman" w:cs="Times New Roman"/>
          <w:b w:val="0"/>
          <w:bCs w:val="0"/>
          <w:i w:val="0"/>
          <w:iCs w:val="0"/>
          <w:color w:val="auto"/>
        </w:rPr>
        <w:t xml:space="preserve">, que servirão também como preparação específica para as passadas dinâmicas no </w:t>
      </w:r>
      <w:r>
        <w:rPr>
          <w:rFonts w:ascii="Times New Roman" w:hAnsi="Times New Roman" w:cs="Times New Roman"/>
          <w:b w:val="0"/>
          <w:bCs w:val="0"/>
          <w:i/>
          <w:iCs/>
          <w:color w:val="auto"/>
        </w:rPr>
        <w:t>HSW</w:t>
      </w:r>
      <w:r>
        <w:rPr>
          <w:rFonts w:ascii="Times New Roman" w:hAnsi="Times New Roman" w:cs="Times New Roman"/>
          <w:b w:val="0"/>
          <w:bCs w:val="0"/>
          <w:i w:val="0"/>
          <w:iCs w:val="0"/>
          <w:color w:val="auto"/>
        </w:rPr>
        <w:t>.</w:t>
      </w:r>
    </w:p>
    <w:p w14:paraId="4A83A963">
      <w:pPr>
        <w:widowControl w:val="0"/>
        <w:shd w:val="clear" w:color="auto" w:fill="FFFFFF"/>
        <w:spacing w:line="360" w:lineRule="auto"/>
        <w:rPr>
          <w:rFonts w:hint="default" w:ascii="Times New Roman" w:hAnsi="Times New Roman" w:cs="Times New Roman"/>
          <w:color w:val="auto"/>
        </w:rPr>
      </w:pPr>
      <w:r>
        <w:rPr>
          <w:rFonts w:ascii="Times New Roman" w:hAnsi="Times New Roman" w:cs="Times New Roman"/>
          <w:color w:val="auto"/>
        </w:rPr>
        <w:t xml:space="preserve">a) Teste de desempenho no </w:t>
      </w:r>
      <w:r>
        <w:rPr>
          <w:rFonts w:ascii="Times New Roman" w:hAnsi="Times New Roman" w:cs="Times New Roman"/>
          <w:i/>
          <w:iCs/>
          <w:color w:val="auto"/>
        </w:rPr>
        <w:t>HS</w:t>
      </w:r>
    </w:p>
    <w:p w14:paraId="6275B03C">
      <w:pPr>
        <w:widowControl w:val="0"/>
        <w:shd w:val="clear" w:color="auto" w:fill="FFFFFF"/>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Para a avaliação do equilíbrio estático, os participantes irão realizar a </w:t>
      </w:r>
      <w:r>
        <w:rPr>
          <w:rFonts w:ascii="Times New Roman" w:hAnsi="Times New Roman" w:cs="Times New Roman"/>
          <w:i/>
          <w:iCs/>
          <w:color w:val="auto"/>
        </w:rPr>
        <w:t>HS</w:t>
      </w:r>
      <w:r>
        <w:rPr>
          <w:rFonts w:ascii="Times New Roman" w:hAnsi="Times New Roman" w:cs="Times New Roman"/>
          <w:color w:val="auto"/>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w:t>
      </w:r>
      <w:r>
        <w:rPr>
          <w:rFonts w:ascii="Times New Roman" w:hAnsi="Times New Roman" w:cs="Times New Roman"/>
          <w:i/>
          <w:iCs/>
          <w:color w:val="auto"/>
        </w:rPr>
        <w:t>ApEn</w:t>
      </w:r>
      <w:r>
        <w:rPr>
          <w:rFonts w:ascii="Times New Roman" w:hAnsi="Times New Roman" w:cs="Times New Roman"/>
          <w:color w:val="auto"/>
        </w:rPr>
        <w:t>).</w:t>
      </w:r>
    </w:p>
    <w:p w14:paraId="380607EB">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 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do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w:t>
      </w:r>
      <w:r>
        <w:rPr>
          <w:rFonts w:ascii="Times New Roman" w:hAnsi="Times New Roman" w:cs="Times New Roman"/>
          <w:i/>
          <w:iCs/>
          <w:color w:val="auto"/>
        </w:rPr>
        <w:t>HS</w:t>
      </w:r>
      <w:r>
        <w:rPr>
          <w:rFonts w:ascii="Times New Roman" w:hAnsi="Times New Roman" w:cs="Times New Roman"/>
          <w:color w:val="auto"/>
        </w:rPr>
        <w:t>, será retido o melhor tempo de sustentação (em segundos) obtido entre as tentativas válidas. Adicionalmente, será registrado em qual tentativa ocorreu o tempo máximo de sustentação (tentativa de pico: T1, T2 ou T3), permitindo investigar padrões de calibração proprioceptiva ou fadiga aguda. Com o intuito de prevenir a indução de fadiga neuromuscular acumulada nos membros superiores e na cintura escapular antes do teste subsequente de locomoção dinâmica (</w:t>
      </w:r>
      <w:r>
        <w:rPr>
          <w:rFonts w:ascii="Times New Roman" w:hAnsi="Times New Roman" w:cs="Times New Roman"/>
          <w:i/>
          <w:iCs/>
          <w:color w:val="auto"/>
        </w:rPr>
        <w:t>HSW</w:t>
      </w:r>
      <w:r>
        <w:rPr>
          <w:rFonts w:ascii="Times New Roman" w:hAnsi="Times New Roman" w:cs="Times New Roman"/>
          <w:color w:val="auto"/>
        </w:rPr>
        <w:t xml:space="preserve">),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 bloco para descansar e se poupar para o </w:t>
      </w:r>
      <w:r>
        <w:rPr>
          <w:rFonts w:ascii="Times New Roman" w:hAnsi="Times New Roman" w:cs="Times New Roman"/>
          <w:i/>
          <w:iCs/>
          <w:color w:val="auto"/>
        </w:rPr>
        <w:t>HSW</w:t>
      </w:r>
      <w:r>
        <w:rPr>
          <w:rFonts w:ascii="Times New Roman" w:hAnsi="Times New Roman" w:cs="Times New Roman"/>
          <w:color w:val="auto"/>
        </w:rPr>
        <w:t>.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w:t>
      </w:r>
      <w:r>
        <w:rPr>
          <w:rFonts w:ascii="Times New Roman" w:hAnsi="Times New Roman" w:cs="Times New Roman"/>
          <w:i/>
          <w:iCs/>
          <w:color w:val="auto"/>
        </w:rPr>
        <w:t>kick-up</w:t>
      </w:r>
      <w:r>
        <w:rPr>
          <w:rFonts w:ascii="Times New Roman" w:hAnsi="Times New Roman" w:cs="Times New Roman"/>
          <w:color w:val="auto"/>
        </w:rPr>
        <w:t xml:space="preserve">) que lhe for mais natural e eficiente. Entre cada tentativa realizada, será respeitado um intervalo de repouso de 90 segundos, visando minimizar os efeitos da fadiga muscular acumulada nos membros superiores e estabilizadores do tronco. No bloco livre, o participante realizará obrigatoriamente as três tentativas de entrada, de modo a possibilitar a mensuração da consistência e da taxa de sucesso motor (proporção de êxito entre as tentativas). Com o intuito de poupar a musculatura para o </w:t>
      </w:r>
      <w:r>
        <w:rPr>
          <w:rFonts w:ascii="Times New Roman" w:hAnsi="Times New Roman" w:cs="Times New Roman"/>
          <w:i/>
          <w:iCs/>
          <w:color w:val="auto"/>
        </w:rPr>
        <w:t>HSW</w:t>
      </w:r>
      <w:r>
        <w:rPr>
          <w:rFonts w:ascii="Times New Roman" w:hAnsi="Times New Roman" w:cs="Times New Roman"/>
          <w:color w:val="auto"/>
        </w:rPr>
        <w:t xml:space="preserve"> subsequente, o atleta poderá expressar sua marca máxima de sustentação em uma das tentativas; nas demais, caso já tenha atingido seu tempo representativo máximo, ele só precisará sustentar por no mínimo 3 segundos contínuos (critério de validação técnica) e descer de forma voluntária e controlada, sem a necessidade de buscar a exaustão em todas as três. Da mesma forma que no bloco assistido, será mapeada a tentativa em que ocorreu o tempo máximo nas entradas livres (T1, T2 ou T3).</w:t>
      </w:r>
    </w:p>
    <w:p w14:paraId="5A6A8AC0">
      <w:pPr>
        <w:widowControl w:val="0"/>
        <w:shd w:val="clear" w:color="auto" w:fill="FFFFFF"/>
        <w:spacing w:line="360" w:lineRule="auto"/>
        <w:rPr>
          <w:rFonts w:hint="default" w:ascii="Times New Roman" w:hAnsi="Times New Roman" w:cs="Times New Roman"/>
          <w:color w:val="auto"/>
        </w:rPr>
      </w:pPr>
      <w:r>
        <w:rPr>
          <w:rFonts w:ascii="Times New Roman" w:hAnsi="Times New Roman" w:cs="Times New Roman"/>
          <w:color w:val="auto"/>
        </w:rPr>
        <w:t xml:space="preserve">b) Teste de desempenho no </w:t>
      </w:r>
      <w:r>
        <w:rPr>
          <w:rFonts w:ascii="Times New Roman" w:hAnsi="Times New Roman" w:cs="Times New Roman"/>
          <w:i/>
          <w:iCs/>
          <w:color w:val="auto"/>
        </w:rPr>
        <w:t>HSW</w:t>
      </w:r>
    </w:p>
    <w:p w14:paraId="2B19B528">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Após um intervalo de 10 minutos, para assegurar a recuperação plena dos sistemas neuromusculares após os testes estáticos do </w:t>
      </w:r>
      <w:r>
        <w:rPr>
          <w:rFonts w:ascii="Times New Roman" w:hAnsi="Times New Roman" w:cs="Times New Roman"/>
          <w:i/>
          <w:iCs/>
          <w:color w:val="auto"/>
        </w:rPr>
        <w:t>HS</w:t>
      </w:r>
      <w:r>
        <w:rPr>
          <w:rFonts w:ascii="Times New Roman" w:hAnsi="Times New Roman" w:cs="Times New Roman"/>
          <w:color w:val="auto"/>
        </w:rPr>
        <w:t xml:space="preserve">, será iniciada a avaliação do </w:t>
      </w:r>
      <w:r>
        <w:rPr>
          <w:rFonts w:ascii="Times New Roman" w:hAnsi="Times New Roman" w:cs="Times New Roman"/>
          <w:i/>
          <w:iCs/>
          <w:color w:val="auto"/>
        </w:rPr>
        <w:t>HSW</w:t>
      </w:r>
      <w:r>
        <w:rPr>
          <w:rFonts w:ascii="Times New Roman" w:hAnsi="Times New Roman" w:cs="Times New Roman"/>
          <w:color w:val="auto"/>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rFonts w:ascii="Times New Roman" w:hAnsi="Times New Roman" w:cs="Times New Roman"/>
          <w:i/>
          <w:iCs/>
          <w:color w:val="auto"/>
        </w:rPr>
        <w:t>kick-up</w:t>
      </w:r>
      <w:r>
        <w:rPr>
          <w:rFonts w:ascii="Times New Roman" w:hAnsi="Times New Roman" w:cs="Times New Roman"/>
          <w:color w:val="auto"/>
        </w:rPr>
        <w:t xml:space="preserve">) ou já com as mãos posicionadas sobre a área demarcada antes do impulso inicial. O protocolo consistirá em três tentativas válidas totais prevenindo a degradação mecânica por fadiga periférica aguda nos ombros e punhos, intercaladas por 90 segundos de recuperação passiva. Para cada uma dessas três tentativas, o participante terá direito a até três entradas (tentativas de subida/chute) caso ocorra erro no ajuste inicial da ascensão antes do início dos passos. A distância linear percorrida só será validada e computada caso o participante atinja o critério mínimo de três passos manuais alternados; tentativas interrompidas por queda com apenas um ou dois passos não caracterizam locomoção contínua e serão consideradas nulas (distância zero). Como desfecho primário representativo do </w:t>
      </w:r>
      <w:r>
        <w:rPr>
          <w:rFonts w:ascii="Times New Roman" w:hAnsi="Times New Roman" w:cs="Times New Roman"/>
          <w:i/>
          <w:iCs/>
          <w:color w:val="auto"/>
        </w:rPr>
        <w:t>HSW</w:t>
      </w:r>
      <w:r>
        <w:rPr>
          <w:rFonts w:ascii="Times New Roman" w:hAnsi="Times New Roman" w:cs="Times New Roman"/>
          <w:color w:val="auto"/>
        </w:rPr>
        <w:t xml:space="preserve">, será mantida a mediana da distância percorrida entre as tentativas válidas, mitigando o impacto de valores atípicos.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A restrição do volume total movimentos (três tentativas para cada condição estática e três para o deslocamento dinâmico) foi estabelecida metodologicamente para evitar o viés da fadiga neuromuscular localizada aguda e a sobrecarga do sistema vestibular, preservando assim a integridade cinemática do desempenho ótimo [19].</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color w:val="auto"/>
          <w:u w:val="none"/>
        </w:rPr>
      </w:pPr>
      <w:r>
        <w:rPr>
          <w:rFonts w:ascii="Times New Roman" w:hAnsi="Times New Roman" w:cs="Times New Roman"/>
          <w:color w:val="auto"/>
        </w:rPr>
        <w:t>c) 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{"citationID":"Rk7a6vfA","properties":{"unsorted":false,"formattedCitation":"[66]","plainCitation":"[66]","noteIndex":0},"citationItems":[{"id":31,"uris":["http://zotero.org/users/17274952/items/6GX672J6"],"itemData":{"id":31,"type":"article-journal","abstract":"This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[66]</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Devido à natureza da locomoção invertida do </w:t>
      </w:r>
      <w:r>
        <w:rPr>
          <w:rFonts w:ascii="Times New Roman" w:hAnsi="Times New Roman" w:cs="Times New Roman"/>
          <w:i/>
          <w:iCs/>
          <w:color w:val="auto"/>
        </w:rPr>
        <w:t>HSW</w:t>
      </w:r>
      <w:r>
        <w:rPr>
          <w:rFonts w:ascii="Times New Roman" w:hAnsi="Times New Roman" w:cs="Times New Roman"/>
          <w:color w:val="auto"/>
        </w:rPr>
        <w:t>, na qual os braços assumem a função de suporte, ocorre a oclusão inevitável dos marcadores dos ombros impostos pelos limites do volume de captura e pela própria cabeça do participante. Para solucionar falhas de rastreamento (</w:t>
      </w:r>
      <w:r>
        <w:rPr>
          <w:rFonts w:ascii="Times New Roman" w:hAnsi="Times New Roman" w:cs="Times New Roman"/>
          <w:i/>
          <w:iCs/>
          <w:color w:val="auto"/>
        </w:rPr>
        <w:t>gaps</w:t>
      </w:r>
      <w:r>
        <w:rPr>
          <w:rFonts w:ascii="Times New Roman" w:hAnsi="Times New Roman" w:cs="Times New Roman"/>
          <w:color w:val="auto"/>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{"citationID":"JlkSMm5o","properties":{"unsorted":false,"formattedCitation":"[64], [65]","plainCitation":"[64], [65]","noteIndex":0},"citationItems":[{"id":29,"uris":["http://zotero.org/users/17274952/items/39QW84UC"],"itemData":{"id":29,"type":"article-journal","container-title":"Journal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[64], [65]</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O algoritmo utilizará os marcadores fixos dorsais do tronco superior (ex: C7, T10 e dois marcadores de referência extras) como um </w:t>
      </w:r>
      <w:r>
        <w:rPr>
          <w:rFonts w:ascii="Times New Roman" w:hAnsi="Times New Roman" w:cs="Times New Roman"/>
          <w:i/>
          <w:iCs/>
          <w:color w:val="auto"/>
        </w:rPr>
        <w:t>cluster</w:t>
      </w:r>
      <w:r>
        <w:rPr>
          <w:rFonts w:ascii="Times New Roman" w:hAnsi="Times New Roman" w:cs="Times New Roman"/>
          <w:color w:val="auto"/>
        </w:rPr>
        <w:t xml:space="preserve">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ascii="Times New Roman" w:hAnsi="Times New Roman" w:cs="Times New Roman"/>
          <w:i/>
          <w:iCs/>
          <w:color w:val="auto"/>
        </w:rPr>
        <w:t>Soft Tissue Artifacts</w:t>
      </w:r>
      <w:r>
        <w:rPr>
          <w:rFonts w:ascii="Times New Roman" w:hAnsi="Times New Roman" w:cs="Times New Roman"/>
          <w:color w:val="auto"/>
        </w:rPr>
        <w:t>)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{"citationID":"XlTHn7jV","properties":{"unsorted":false,"formattedCitation":"[67]","plainCitation":"[67]","noteIndex":0},"citationItems":[{"id":17,"uris":["http://zotero.org/users/17274952/items/8HMANWYC"],"itemData":{"id":17,"type":"article-journal","abstract":"This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[67]</w:t>
      </w:r>
      <w:r>
        <w:rPr>
          <w:rFonts w:hint="default" w:ascii="Times New Roman" w:hAnsi="Times New Roman" w:eastAsia="Times New Roman" w:cs="Times New Roman"/>
          <w:color w:val="auto"/>
        </w:rPr>
        <w:fldChar w:fldCharType="end"/>
      </w:r>
      <w:r>
        <w:rPr>
          <w:rFonts w:ascii="Times New Roman" w:hAnsi="Times New Roman" w:cs="Times New Roman"/>
          <w:color w:val="auto"/>
        </w:rPr>
        <w:t>. Portanto, para solucionar as falhas de rastreamento de forma fidedigna nestes marcadores, o pipeline aplicará primariamente um filtro não-linear de mediana móvel para a exclusão de ruídos instantâneos e valores atípicos (picos artificiais / </w:t>
      </w:r>
      <w:r>
        <w:rPr>
          <w:rFonts w:ascii="Times New Roman" w:hAnsi="Times New Roman" w:cs="Times New Roman"/>
          <w:i/>
          <w:iCs/>
          <w:color w:val="auto"/>
        </w:rPr>
        <w:t>spikes </w:t>
      </w:r>
      <w:r>
        <w:rPr>
          <w:rFonts w:ascii="Times New Roman" w:hAnsi="Times New Roman" w:cs="Times New Roman"/>
          <w:color w:val="auto"/>
        </w:rPr>
        <w:t xml:space="preserve">&gt; 60 mm), preservando os limites reais do sinal cinemático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{"citationID":"H27JlAWq","properties":{"unsorted":false,"formattedCitation":"[68]","plainCitation":"[68]","noteIndex":0},"citationItems":[{"id":23,"uris":["http://zotero.org/users/17274952/items/SA7M78A3"],"itemData":{"id":23,"type":"book","abstract":"Research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[68]</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Sequencialmente, será realizado o preenchimento temporal das lacunas </w:t>
      </w:r>
      <w:r>
        <w:rPr>
          <w:rFonts w:ascii="Times New Roman" w:hAnsi="Times New Roman" w:cs="Times New Roman"/>
          <w:i/>
          <w:iCs/>
          <w:color w:val="auto"/>
        </w:rPr>
        <w:t>(gap filling</w:t>
      </w:r>
      <w:r>
        <w:rPr>
          <w:rFonts w:ascii="Times New Roman" w:hAnsi="Times New Roman" w:cs="Times New Roman"/>
          <w:color w:val="auto"/>
        </w:rPr>
        <w:t>) via interpolação matemática (</w:t>
      </w:r>
      <w:r>
        <w:rPr>
          <w:rFonts w:ascii="Times New Roman" w:hAnsi="Times New Roman" w:cs="Times New Roman"/>
          <w:i/>
          <w:iCs/>
          <w:color w:val="auto"/>
        </w:rPr>
        <w:t>Spline</w:t>
      </w:r>
      <w:r>
        <w:rPr>
          <w:rFonts w:ascii="Times New Roman" w:hAnsi="Times New Roman" w:cs="Times New Roman"/>
          <w:color w:val="auto"/>
        </w:rPr>
        <w:t>/</w:t>
      </w:r>
      <w:r>
        <w:rPr>
          <w:rFonts w:ascii="Times New Roman" w:hAnsi="Times New Roman" w:cs="Times New Roman"/>
          <w:i/>
          <w:iCs/>
          <w:color w:val="auto"/>
        </w:rPr>
        <w:t>PCHIP</w:t>
      </w:r>
      <w:r>
        <w:rPr>
          <w:rFonts w:ascii="Times New Roman" w:hAnsi="Times New Roman" w:cs="Times New Roman"/>
          <w:color w:val="auto"/>
        </w:rPr>
        <w:t xml:space="preserve">), um método validado para restaurar trajetórias de marcadores ocluídos garantindo a integridade e suavidade do sinal biomecânico </w:t>
      </w:r>
      <w:r>
        <w:rPr>
          <w:rFonts w:hint="default" w:ascii="Times New Roman" w:hAnsi="Times New Roman" w:eastAsia="Times New Roman" w:cs="Times New Roman"/>
          <w:color w:val="auto"/>
        </w:rPr>
        <w:fldChar w:fldCharType="begin"/>
      </w:r>
      <w:r>
        <w:rPr>
          <w:rFonts w:hint="default" w:cs="Times New Roman"/>
          <w:color w:val="auto"/>
          <w:lang w:val="pt-BR"/>
        </w:rPr>
        <w:instrText xml:space="preserve"> ADDIN ZOTERO_ITEM CSL_CITATION {"citationID":"HZVPDEWW","properties":{"unsorted":false,"formattedCitation":"[69]","plainCitation":"[69]","noteIndex":0},"citationItems":[{"id":16,"uris":["http://zotero.org/users/17274952/items/8ZV983QB"],"itemData":{"id":16,"type":"article-journal","container-title":"Computer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cs="Times New Roman"/>
          <w:color w:val="auto"/>
          <w:lang w:val="pt-BR"/>
        </w:rPr>
        <w:t>[69]</w:t>
      </w:r>
      <w:r>
        <w:rPr>
          <w:rFonts w:hint="default" w:ascii="Times New Roman" w:hAnsi="Times New Roman" w:eastAsia="Times New Roman" w:cs="Times New Roman"/>
          <w:color w:val="auto"/>
        </w:rPr>
        <w:fldChar w:fldCharType="end"/>
      </w:r>
      <w:r>
        <w:rPr>
          <w:rFonts w:ascii="Times New Roman" w:hAnsi="Times New Roman" w:cs="Times New Roman"/>
          <w:color w:val="auto"/>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 Para a extração das métricas, os sinais brutos passarão por pré-processamento para eliminação de ruídos experimentais e vibrações inerentes aos equipamentos sem que ocorra atraso de fase (</w:t>
      </w:r>
      <w:r>
        <w:rPr>
          <w:rFonts w:ascii="Times New Roman" w:hAnsi="Times New Roman" w:cs="Times New Roman"/>
          <w:i/>
          <w:iCs/>
          <w:color w:val="auto"/>
        </w:rPr>
        <w:t>phase</w:t>
      </w:r>
      <w:r>
        <w:rPr>
          <w:rFonts w:ascii="Times New Roman" w:hAnsi="Times New Roman" w:cs="Times New Roman"/>
          <w:color w:val="auto"/>
        </w:rPr>
        <w:t xml:space="preserve"> </w:t>
      </w:r>
      <w:r>
        <w:rPr>
          <w:rFonts w:ascii="Times New Roman" w:hAnsi="Times New Roman" w:cs="Times New Roman"/>
          <w:i/>
          <w:iCs/>
          <w:color w:val="auto"/>
        </w:rPr>
        <w:t>shift</w:t>
      </w:r>
      <w:r>
        <w:rPr>
          <w:rFonts w:ascii="Times New Roman" w:hAnsi="Times New Roman" w:cs="Times New Roman"/>
          <w:color w:val="auto"/>
        </w:rPr>
        <w:t xml:space="preserve">). Será aplicado um filtro digital passa-baixa </w:t>
      </w:r>
      <w:r>
        <w:rPr>
          <w:rFonts w:ascii="Times New Roman" w:hAnsi="Times New Roman" w:cs="Times New Roman"/>
          <w:i/>
          <w:iCs/>
          <w:color w:val="auto"/>
        </w:rPr>
        <w:t>Butterworth</w:t>
      </w:r>
      <w:r>
        <w:rPr>
          <w:rFonts w:ascii="Times New Roman" w:hAnsi="Times New Roman" w:cs="Times New Roman"/>
          <w:color w:val="auto"/>
        </w:rPr>
        <w:t xml:space="preserve"> de 4ª ordem bidirecional (função </w:t>
      </w:r>
      <w:r>
        <w:rPr>
          <w:rFonts w:ascii="Times New Roman" w:hAnsi="Times New Roman" w:cs="Times New Roman"/>
          <w:i/>
          <w:iCs/>
          <w:color w:val="auto"/>
        </w:rPr>
        <w:t>filtfilt</w:t>
      </w:r>
      <w:r>
        <w:rPr>
          <w:rFonts w:ascii="Times New Roman" w:hAnsi="Times New Roman" w:cs="Times New Roman"/>
          <w:color w:val="auto"/>
        </w:rPr>
        <w:t> da biblioteca </w:t>
      </w:r>
      <w:r>
        <w:rPr>
          <w:rFonts w:ascii="Times New Roman" w:hAnsi="Times New Roman" w:cs="Times New Roman"/>
          <w:i/>
          <w:iCs/>
          <w:color w:val="auto"/>
        </w:rPr>
        <w:t>SciPy</w:t>
      </w:r>
      <w:r>
        <w:rPr>
          <w:rFonts w:ascii="Times New Roman" w:hAnsi="Times New Roman" w:cs="Times New Roman"/>
          <w:color w:val="auto"/>
        </w:rPr>
        <w:t xml:space="preserve">).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[9], [22]</w:t>
      </w:r>
      <w:r>
        <w:rPr>
          <w:rFonts w:hint="default" w:ascii="Times New Roman" w:hAnsi="Times New Roman" w:eastAsia="Times New Roman" w:cs="Times New Roman"/>
          <w:color w:val="auto"/>
        </w:rPr>
        <w:fldChar w:fldCharType="end"/>
      </w:r>
      <w:r>
        <w:rPr>
          <w:rFonts w:ascii="Times New Roman" w:hAnsi="Times New Roman" w:cs="Times New Roman"/>
          <w:color w:val="auto"/>
        </w:rPr>
        <w:t>.</w:t>
      </w:r>
    </w:p>
    <w:p w14:paraId="05A40BD4">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A separação da fase de estabilização no </w:t>
      </w:r>
      <w:r>
        <w:rPr>
          <w:rFonts w:ascii="Times New Roman" w:hAnsi="Times New Roman" w:cs="Times New Roman"/>
          <w:i/>
          <w:iCs/>
          <w:color w:val="auto"/>
        </w:rPr>
        <w:t>HS</w:t>
      </w:r>
      <w:r>
        <w:rPr>
          <w:rFonts w:ascii="Times New Roman" w:hAnsi="Times New Roman" w:cs="Times New Roman"/>
          <w:color w:val="auto"/>
        </w:rPr>
        <w:t xml:space="preserve"> nas tentativas assistidas será determinada de forma autônoma pelo algoritmo cinemático, delimitando o início cronometrado do equilíbrio pelo distanciamento espacial entre um marcador fixado na mão do pesquisador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w:t>
      </w:r>
      <w:r>
        <w:rPr>
          <w:rFonts w:ascii="Times New Roman" w:hAnsi="Times New Roman" w:cs="Times New Roman"/>
          <w:i/>
          <w:iCs/>
          <w:color w:val="auto"/>
        </w:rPr>
        <w:t>HSW</w:t>
      </w:r>
      <w:r>
        <w:rPr>
          <w:rFonts w:ascii="Times New Roman" w:hAnsi="Times New Roman" w:cs="Times New Roman"/>
          <w:color w:val="auto"/>
        </w:rPr>
        <w:t>, a delimitação temporal do percurso válido será estabelecida pela ciclicidade do contato palmar, exigindo-se um mínimo de três passos manuais consecutivos para a validação da locomoção e cômputo da distância linear. O início da locomoção será identificado algoritmicamente pelo instante do primeiro evento de quebra de contato com o solo (</w:t>
      </w:r>
      <w:r>
        <w:rPr>
          <w:rFonts w:ascii="Times New Roman" w:hAnsi="Times New Roman" w:cs="Times New Roman"/>
          <w:i/>
          <w:iCs/>
          <w:color w:val="auto"/>
        </w:rPr>
        <w:t>lift-off</w:t>
      </w:r>
      <w:r>
        <w:rPr>
          <w:rFonts w:ascii="Times New Roman" w:hAnsi="Times New Roman" w:cs="Times New Roman"/>
          <w:color w:val="auto"/>
        </w:rPr>
        <w:t>) de uma das mãos. Consecutivamente, o término da marcha válida será demarcado pelo último evento de toque (</w:t>
      </w:r>
      <w:r>
        <w:rPr>
          <w:rFonts w:ascii="Times New Roman" w:hAnsi="Times New Roman" w:cs="Times New Roman"/>
          <w:i/>
          <w:iCs/>
          <w:color w:val="auto"/>
        </w:rPr>
        <w:t>touchdown</w:t>
      </w:r>
      <w:r>
        <w:rPr>
          <w:rFonts w:ascii="Times New Roman" w:hAnsi="Times New Roman" w:cs="Times New Roman"/>
          <w:color w:val="auto"/>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color w:val="auto"/>
        </w:rPr>
        <w:fldChar w:fldCharType="begin"/>
      </w:r>
      <w:r>
        <w:rPr>
          <w:rFonts w:hint="default" w:ascii="Times New Roman" w:hAnsi="Times New Roman" w:cs="Times New Roman"/>
          <w:color w:val="auto"/>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color w:val="auto"/>
        </w:rPr>
        <w:fldChar w:fldCharType="separate"/>
      </w:r>
      <w:r>
        <w:rPr>
          <w:rFonts w:hint="default" w:ascii="Times New Roman" w:hAnsi="Times New Roman" w:cs="Times New Roman"/>
          <w:color w:val="auto"/>
          <w:lang w:val="pt-BR"/>
        </w:rPr>
        <w:t>[34], [35]</w:t>
      </w:r>
      <w:r>
        <w:rPr>
          <w:rFonts w:hint="default" w:ascii="Times New Roman" w:hAnsi="Times New Roman" w:cs="Times New Roman"/>
          <w:color w:val="auto"/>
        </w:rPr>
        <w:fldChar w:fldCharType="end"/>
      </w:r>
      <w:r>
        <w:rPr>
          <w:rFonts w:ascii="Times New Roman" w:hAnsi="Times New Roman" w:cs="Times New Roman"/>
          <w:color w:val="auto"/>
        </w:rPr>
        <w:t xml:space="preserve">. Concomitantemente, a velocidade média do CoP e a </w:t>
      </w:r>
      <w:r>
        <w:rPr>
          <w:rFonts w:ascii="Times New Roman" w:hAnsi="Times New Roman" w:cs="Times New Roman"/>
          <w:i/>
          <w:iCs/>
          <w:color w:val="auto"/>
        </w:rPr>
        <w:t>ApEn</w:t>
      </w:r>
      <w:r>
        <w:rPr>
          <w:rFonts w:ascii="Times New Roman" w:hAnsi="Times New Roman" w:cs="Times New Roman"/>
          <w:color w:val="auto"/>
        </w:rPr>
        <w:t xml:space="preserve">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ascii="Times New Roman" w:hAnsi="Times New Roman" w:cs="Times New Roman"/>
          <w:i/>
          <w:iCs/>
          <w:color w:val="auto"/>
        </w:rPr>
        <w:t>Gimbal Lock</w:t>
      </w:r>
      <w:r>
        <w:rPr>
          <w:rFonts w:ascii="Times New Roman" w:hAnsi="Times New Roman" w:cs="Times New Roman"/>
          <w:color w:val="auto"/>
        </w:rPr>
        <w:t> durante a inversão, mas calculado rigorosamente por meio do produto escalar (</w:t>
      </w:r>
      <w:r>
        <w:rPr>
          <w:rFonts w:ascii="Times New Roman" w:hAnsi="Times New Roman" w:cs="Times New Roman"/>
          <w:i/>
          <w:iCs/>
          <w:color w:val="auto"/>
        </w:rPr>
        <w:t>Dot Product</w:t>
      </w:r>
      <w:r>
        <w:rPr>
          <w:rFonts w:ascii="Times New Roman" w:hAnsi="Times New Roman" w:cs="Times New Roman"/>
          <w:color w:val="auto"/>
        </w:rPr>
        <w:t xml:space="preserve">) de vetores 3D absolutos no espaço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{"citationID":"4oRlvAoS","properties":{"unsorted":false,"formattedCitation":"[68], [70]","plainCitation":"[68], [70]","noteIndex":0},"citationItems":[{"id":24,"uris":["http://zotero.org/users/17274952/items/MST5B4NY"],"itemData":{"id":24,"type":"article-journal","abstract":"Background.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[68], [70]</w:t>
      </w:r>
      <w:r>
        <w:rPr>
          <w:rFonts w:hint="default" w:ascii="Times New Roman" w:hAnsi="Times New Roman" w:cs="Times New Roman"/>
          <w:color w:val="auto"/>
        </w:rPr>
        <w:fldChar w:fldCharType="end"/>
      </w:r>
      <w:r>
        <w:rPr>
          <w:rFonts w:ascii="Times New Roman" w:hAnsi="Times New Roman" w:cs="Times New Roman"/>
          <w:color w:val="auto"/>
        </w:rPr>
        <w:t>. Para a tarefa dinâmica (</w:t>
      </w:r>
      <w:r>
        <w:rPr>
          <w:rFonts w:ascii="Times New Roman" w:hAnsi="Times New Roman" w:cs="Times New Roman"/>
          <w:i/>
          <w:iCs/>
          <w:color w:val="auto"/>
        </w:rPr>
        <w:t>HSW</w:t>
      </w:r>
      <w:r>
        <w:rPr>
          <w:rFonts w:ascii="Times New Roman" w:hAnsi="Times New Roman" w:cs="Times New Roman"/>
          <w:color w:val="auto"/>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w:t>
      </w:r>
      <w:r>
        <w:rPr>
          <w:rFonts w:ascii="Times New Roman" w:hAnsi="Times New Roman" w:cs="Times New Roman"/>
          <w:i/>
          <w:iCs/>
          <w:color w:val="auto"/>
        </w:rPr>
        <w:t>touchdown</w:t>
      </w:r>
      <w:r>
        <w:rPr>
          <w:rFonts w:ascii="Times New Roman" w:hAnsi="Times New Roman" w:cs="Times New Roman"/>
          <w:color w:val="auto"/>
        </w:rPr>
        <w:t>) e de propulsão (</w:t>
      </w:r>
      <w:r>
        <w:rPr>
          <w:rFonts w:ascii="Times New Roman" w:hAnsi="Times New Roman" w:cs="Times New Roman"/>
          <w:i/>
          <w:iCs/>
          <w:color w:val="auto"/>
        </w:rPr>
        <w:t>lift</w:t>
      </w:r>
      <w:r>
        <w:rPr>
          <w:rFonts w:ascii="Times New Roman" w:hAnsi="Times New Roman" w:cs="Times New Roman"/>
          <w:color w:val="auto"/>
        </w:rPr>
        <w:t>-</w:t>
      </w:r>
      <w:r>
        <w:rPr>
          <w:rFonts w:ascii="Times New Roman" w:hAnsi="Times New Roman" w:cs="Times New Roman"/>
          <w:i/>
          <w:iCs/>
          <w:color w:val="auto"/>
        </w:rPr>
        <w:t>off</w:t>
      </w:r>
      <w:r>
        <w:rPr>
          <w:rFonts w:ascii="Times New Roman" w:hAnsi="Times New Roman" w:cs="Times New Roman"/>
          <w:color w:val="auto"/>
        </w:rPr>
        <w:t xml:space="preserve">) </w:t>
      </w:r>
      <w:r>
        <w:rPr>
          <w:rFonts w:hint="default" w:ascii="Times New Roman" w:hAnsi="Times New Roman" w:cs="Times New Roman"/>
          <w:color w:val="auto"/>
        </w:rPr>
        <w:fldChar w:fldCharType="begin"/>
      </w:r>
      <w:r>
        <w:rPr>
          <w:rFonts w:hint="default" w:cs="Times New Roman"/>
          <w:color w:val="auto"/>
          <w:lang w:val="pt-BR"/>
        </w:rPr>
        <w:instrText xml:space="preserve"> ADDIN ZOTERO_ITEM CSL_CITATION {"citationID":"n2rlyteM","properties":{"unsorted":false,"formattedCitation":"[71], [72]","plainCitation":"[71], [72]","noteIndex":0},"citationItems":[{"id":22,"uris":["http://zotero.org/users/17274952/items/HD7T2KXH"],"itemData":{"id":22,"type":"article-journal","abstract":"When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color w:val="auto"/>
        </w:rPr>
        <w:fldChar w:fldCharType="separate"/>
      </w:r>
      <w:r>
        <w:rPr>
          <w:rFonts w:hint="default" w:cs="Times New Roman"/>
          <w:color w:val="auto"/>
          <w:lang w:val="pt-BR"/>
        </w:rPr>
        <w:t>[71], [72]</w:t>
      </w:r>
      <w:r>
        <w:rPr>
          <w:rFonts w:hint="default" w:ascii="Times New Roman" w:hAnsi="Times New Roman" w:cs="Times New Roman"/>
          <w:color w:val="auto"/>
        </w:rPr>
        <w:fldChar w:fldCharType="end"/>
      </w:r>
      <w:r>
        <w:rPr>
          <w:rFonts w:ascii="Times New Roman" w:hAnsi="Times New Roman" w:cs="Times New Roman"/>
          <w:color w:val="auto"/>
        </w:rPr>
        <w:t>. Para mitigar de forma automatizada a perda de dados decorrente de oclusões críticas, o algoritmo incorpora salvaguardas anatômicas dinâmicas (</w:t>
      </w:r>
      <w:r>
        <w:rPr>
          <w:rFonts w:ascii="Times New Roman" w:hAnsi="Times New Roman" w:cs="Times New Roman"/>
          <w:i/>
          <w:iCs/>
          <w:color w:val="auto"/>
        </w:rPr>
        <w:t>failsafes</w:t>
      </w:r>
      <w:r>
        <w:rPr>
          <w:rFonts w:ascii="Times New Roman" w:hAnsi="Times New Roman" w:cs="Times New Roman"/>
          <w:color w:val="auto"/>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color w:val="auto"/>
        </w:rPr>
      </w:pPr>
      <w:r>
        <w:rPr>
          <w:rFonts w:ascii="Times New Roman" w:hAnsi="Times New Roman" w:cs="Times New Roman"/>
          <w:color w:val="auto"/>
        </w:rPr>
        <w:t>3.5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A análise estatística será conduzida no </w:t>
      </w:r>
      <w:r>
        <w:rPr>
          <w:rFonts w:ascii="Times New Roman" w:hAnsi="Times New Roman" w:cs="Times New Roman"/>
          <w:i/>
          <w:iCs/>
          <w:color w:val="auto"/>
        </w:rPr>
        <w:t xml:space="preserve">software </w:t>
      </w:r>
      <w:r>
        <w:rPr>
          <w:rFonts w:ascii="Times New Roman" w:hAnsi="Times New Roman" w:cs="Times New Roman"/>
          <w:color w:val="auto"/>
        </w:rPr>
        <w:t>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As variáveis categóricas: distribuição das modalidades esportivas praticadas e o perfil de prática  modalidade (exclusiva vs. praticantes multimodais de duas ou mais modalidades) 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color w:val="auto"/>
        </w:rPr>
      </w:pPr>
      <w:r>
        <w:rPr>
          <w:rFonts w:ascii="Times New Roman" w:hAnsi="Times New Roman" w:cs="Times New Roman"/>
          <w:color w:val="auto"/>
        </w:rPr>
        <w:t>Subsequentemente, para testar as hipóteses preditivas do estudo, as variáveis quantitativas serão submetidas aos modelos temáticos de regressão linear múltipla e ao modelo de regressão logística binária descritos a seguir, adotando-se um nível de significância de α=0,05. 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A estruturação dos modelos preditivos fundamenta-se na transposição dos princípios de controle postural e análise da marcha bípede para as tarefas de suporte invertido, seja no equilíbrio estático (</w:t>
      </w:r>
      <w:r>
        <w:rPr>
          <w:rFonts w:ascii="Times New Roman" w:hAnsi="Times New Roman" w:cs="Times New Roman"/>
          <w:i/>
          <w:iCs/>
          <w:color w:val="auto"/>
        </w:rPr>
        <w:t>HS</w:t>
      </w:r>
      <w:r>
        <w:rPr>
          <w:rFonts w:ascii="Times New Roman" w:hAnsi="Times New Roman" w:cs="Times New Roman"/>
          <w:color w:val="auto"/>
        </w:rPr>
        <w:t>) quanto a locomoção dinâmica (</w:t>
      </w:r>
      <w:r>
        <w:rPr>
          <w:rFonts w:ascii="Times New Roman" w:hAnsi="Times New Roman" w:cs="Times New Roman"/>
          <w:i/>
          <w:iCs/>
          <w:color w:val="auto"/>
        </w:rPr>
        <w:t>HSW</w:t>
      </w:r>
      <w:r>
        <w:rPr>
          <w:rFonts w:ascii="Times New Roman" w:hAnsi="Times New Roman" w:cs="Times New Roman"/>
          <w:color w:val="auto"/>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color w:val="auto"/>
          <w:lang w:val="pt-BR"/>
        </w:rPr>
      </w:pPr>
      <w:r>
        <w:rPr>
          <w:rFonts w:ascii="Times New Roman" w:hAnsi="Times New Roman" w:cs="Times New Roman"/>
          <w:color w:val="auto"/>
        </w:rPr>
        <w:t xml:space="preserve">Referente à análise cinemática da técnica, são avaliados dois indicadores tridimensionais complementares: o índice de verticalidade e o ângulo de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 Ressalta-se que a articulação do punho não foi incluída no cálculo do índice de verticalidade porque atua em ~70° a 90° como a base de apoio que gera torques de correção no solo, função que já é avaliada pela plataforma de força e pelo dinamômetro isocinético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[3]</w:t>
      </w:r>
      <w:r>
        <w:rPr>
          <w:rFonts w:hint="default" w:ascii="Times New Roman" w:hAnsi="Times New Roman" w:cs="Times New Roman"/>
          <w:color w:val="auto"/>
          <w:lang w:val="pt-BR"/>
        </w:rPr>
        <w:fldChar w:fldCharType="end"/>
      </w:r>
      <w:r>
        <w:rPr>
          <w:rFonts w:ascii="Times New Roman" w:hAnsi="Times New Roman" w:cs="Times New Roman"/>
          <w:color w:val="auto"/>
        </w:rPr>
        <w:t>. Além disso, a flexão plantar do tornozelo (</w:t>
      </w:r>
      <w:r>
        <w:rPr>
          <w:rFonts w:hint="default" w:cs="Times New Roman"/>
          <w:color w:val="auto"/>
          <w:lang w:val="pt-BR"/>
        </w:rPr>
        <w:t>“</w:t>
      </w:r>
      <w:r>
        <w:rPr>
          <w:rFonts w:ascii="Times New Roman" w:hAnsi="Times New Roman" w:cs="Times New Roman"/>
          <w:color w:val="auto"/>
        </w:rPr>
        <w:t>ponta de pé</w:t>
      </w:r>
      <w:r>
        <w:rPr>
          <w:rFonts w:hint="default" w:cs="Times New Roman"/>
          <w:color w:val="auto"/>
          <w:lang w:val="pt-BR"/>
        </w:rPr>
        <w:t>”</w:t>
      </w:r>
      <w:r>
        <w:rPr>
          <w:rFonts w:ascii="Times New Roman" w:hAnsi="Times New Roman" w:cs="Times New Roman"/>
          <w:color w:val="auto"/>
        </w:rPr>
        <w:t xml:space="preserve">) será extraída a partir dos marcadores dos pés do protocolo </w:t>
      </w:r>
      <w:r>
        <w:rPr>
          <w:rFonts w:ascii="Times New Roman" w:hAnsi="Times New Roman" w:cs="Times New Roman"/>
          <w:i/>
          <w:iCs/>
          <w:color w:val="auto"/>
        </w:rPr>
        <w:t xml:space="preserve">Plug-in Gait </w:t>
      </w:r>
      <w:r>
        <w:rPr>
          <w:rFonts w:hint="default" w:ascii="Times New Roman" w:hAnsi="Times New Roman" w:cs="Times New Roman"/>
          <w:i/>
          <w:iCs/>
          <w:color w:val="auto"/>
        </w:rPr>
        <w:fldChar w:fldCharType="begin"/>
      </w:r>
      <w:r>
        <w:rPr>
          <w:rFonts w:hint="default" w:cs="Times New Roman"/>
          <w:i/>
          <w:iCs/>
          <w:color w:val="auto"/>
          <w:lang w:val="pt-BR"/>
        </w:rPr>
        <w:instrText xml:space="preserve"> ADDIN ZOTERO_ITEM CSL_CITATION {"citationID":"hQAg8Mig","properties":{"unsorted":false,"formattedCitation":"[62]","plainCitation":"[62]","noteIndex":0},"citationItems":[{"id":19,"uris":["http://zotero.org/users/17274952/items/9YDQ4XD5"],"itemData":{"id":19,"type":"article-journal","container-title":"Human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color w:val="auto"/>
        </w:rPr>
        <w:fldChar w:fldCharType="separate"/>
      </w:r>
      <w:r>
        <w:rPr>
          <w:rFonts w:hint="default" w:cs="Times New Roman"/>
          <w:i/>
          <w:iCs/>
          <w:color w:val="auto"/>
          <w:lang w:val="pt-BR"/>
        </w:rPr>
        <w:t>[62]</w:t>
      </w:r>
      <w:r>
        <w:rPr>
          <w:rFonts w:hint="default" w:ascii="Times New Roman" w:hAnsi="Times New Roman" w:cs="Times New Roman"/>
          <w:i/>
          <w:iCs/>
          <w:color w:val="auto"/>
        </w:rPr>
        <w:fldChar w:fldCharType="end"/>
      </w:r>
      <w:r>
        <w:rPr>
          <w:rFonts w:ascii="Times New Roman" w:hAnsi="Times New Roman" w:cs="Times New Roman"/>
          <w:color w:val="auto"/>
        </w:rPr>
        <w:t xml:space="preserve">, permitindo avaliar se a rigidez da cadeia dos membros inferiores contribui para a estabilidade na postura invertida </w:t>
      </w:r>
      <w:r>
        <w:rPr>
          <w:rFonts w:hint="default" w:ascii="Times New Roman" w:hAnsi="Times New Roman" w:cs="Times New Roman"/>
          <w:color w:val="auto"/>
          <w:lang w:val="pt-BR"/>
        </w:rPr>
        <w:fldChar w:fldCharType="begin"/>
      </w:r>
      <w:r>
        <w:rPr>
          <w:rFonts w:hint="default" w:ascii="Times New Roman" w:hAnsi="Times New Roman" w:cs="Times New Roman"/>
          <w:color w:val="auto"/>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color w:val="auto"/>
          <w:lang w:val="pt-BR"/>
        </w:rPr>
        <w:fldChar w:fldCharType="separate"/>
      </w:r>
      <w:r>
        <w:rPr>
          <w:rFonts w:hint="default" w:ascii="Times New Roman" w:hAnsi="Times New Roman" w:cs="Times New Roman"/>
          <w:color w:val="auto"/>
          <w:lang w:val="pt-BR"/>
        </w:rPr>
        <w:t>[28], [31]</w:t>
      </w:r>
      <w:r>
        <w:rPr>
          <w:rFonts w:hint="default" w:ascii="Times New Roman" w:hAnsi="Times New Roman" w:cs="Times New Roman"/>
          <w:color w:val="auto"/>
          <w:lang w:val="pt-BR"/>
        </w:rPr>
        <w:fldChar w:fldCharType="end"/>
      </w:r>
      <w:r>
        <w:rPr>
          <w:rFonts w:ascii="Times New Roman" w:hAnsi="Times New Roman" w:cs="Times New Roman"/>
          <w:color w:val="auto"/>
        </w:rPr>
        <w:t>.</w:t>
      </w:r>
    </w:p>
    <w:p w14:paraId="5AE91B44">
      <w:pPr>
        <w:pStyle w:val="11"/>
        <w:spacing w:after="0" w:line="360" w:lineRule="auto"/>
        <w:ind w:firstLine="709"/>
        <w:jc w:val="both"/>
        <w:rPr>
          <w:highlight w:val="none"/>
        </w:rPr>
      </w:pPr>
      <w:r>
        <w:rPr>
          <w:rFonts w:ascii="Times New Roman" w:hAnsi="Times New Roman"/>
          <w:sz w:val="24"/>
          <w:highlight w:val="none"/>
        </w:rPr>
        <w:t>Complementarmente aos indicadores primários de alinhamento vertical e regulação distal (punho/CoP), será realizada uma análise cinemática descritiva das demais variáveis articulares dos membros superiores e tronco (ângulos médios contínuos, amplitude de movimento [</w:t>
      </w:r>
      <w:r>
        <w:rPr>
          <w:rFonts w:ascii="Times New Roman" w:hAnsi="Times New Roman"/>
          <w:i/>
          <w:iCs/>
          <w:sz w:val="24"/>
          <w:highlight w:val="none"/>
        </w:rPr>
        <w:t>ROM</w:t>
      </w:r>
      <w:r>
        <w:rPr>
          <w:rFonts w:ascii="Times New Roman" w:hAnsi="Times New Roman"/>
          <w:sz w:val="24"/>
          <w:highlight w:val="none"/>
        </w:rPr>
        <w:t>], desvio-padrão/variabilidade e velocidade angular média [RMS] das articulações de cotovelo, ombro e quadril). Esta abordagem terá caráter exploratório para descrever as estratégias articulares e soluções motoras de busca do equilíbrio adotadas pelos participantes diante de perturbações posturais</w:t>
      </w:r>
      <w:r>
        <w:rPr>
          <w:rFonts w:ascii="Times New Roman" w:hAnsi="Times New Roman"/>
          <w:sz w:val="24"/>
          <w:highlight w:val="none"/>
        </w:rPr>
        <w:fldChar w:fldCharType="begin"/>
      </w:r>
      <w:r>
        <w:rPr>
          <w:sz w:val="24"/>
          <w:highlight w:val="none"/>
          <w:lang w:val="pt-BR"/>
        </w:rPr>
        <w:instrText xml:space="preserve"> ADDIN ZOTERO_ITEM CSL_CITATION {"citationID":"Z3zUix8d","properties":{"unsorted":false,"formattedCitation":"[3], [7], [30]","plainCitation":"[3], [7], [30]","noteIndex":0},"citationItems":[{"id":336,"uris":["http://zotero.org/users/17274952/items/P82NI7IB"],"itemData":{"id":336,"type":"article-journal","abstract":"KERWIN,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ascii="Times New Roman" w:hAnsi="Times New Roman"/>
          <w:sz w:val="24"/>
          <w:highlight w:val="none"/>
        </w:rPr>
        <w:fldChar w:fldCharType="separate"/>
      </w:r>
      <w:r>
        <w:rPr>
          <w:sz w:val="24"/>
          <w:highlight w:val="none"/>
          <w:lang w:val="pt-BR"/>
        </w:rPr>
        <w:t>[3], [7], [30]</w:t>
      </w:r>
      <w:r>
        <w:rPr>
          <w:rFonts w:ascii="Times New Roman" w:hAnsi="Times New Roman"/>
          <w:sz w:val="24"/>
          <w:highlight w:val="none"/>
        </w:rPr>
        <w:fldChar w:fldCharType="end"/>
      </w:r>
      <w:r>
        <w:rPr>
          <w:rFonts w:ascii="Times New Roman" w:hAnsi="Times New Roman"/>
          <w:sz w:val="24"/>
          <w:highlight w:val="none"/>
        </w:rPr>
        <w:t>. Por se tratar de uma descrição preliminar da exploração dos graus de liberdade motores em postura invertida, tais variáveis serão apresentadas de forma estritamente descritiva no presente momento, sem compor os modelos preditivos</w:t>
      </w:r>
      <w:r>
        <w:rPr>
          <w:rFonts w:hint="default"/>
          <w:sz w:val="24"/>
          <w:highlight w:val="none"/>
          <w:lang w:val="pt-BR"/>
        </w:rPr>
        <w:t>, servindo apenas de comparação entre estratégias de controle do equilíbrio dentre as modalidades</w:t>
      </w:r>
      <w:r>
        <w:rPr>
          <w:rFonts w:ascii="Times New Roman" w:hAnsi="Times New Roman"/>
          <w:sz w:val="24"/>
          <w:highlight w:val="none"/>
        </w:rPr>
        <w:t>.</w:t>
      </w:r>
      <w:bookmarkStart w:id="5" w:name="_GoBack"/>
      <w:bookmarkEnd w:id="5"/>
    </w:p>
    <w:p w14:paraId="648B149D">
      <w:pPr>
        <w:pStyle w:val="11"/>
        <w:spacing w:before="0" w:beforeAutospacing="0" w:after="0" w:afterAutospacing="0" w:line="360" w:lineRule="auto"/>
        <w:jc w:val="both"/>
        <w:rPr>
          <w:rFonts w:hint="default" w:ascii="Times New Roman" w:hAnsi="Times New Roman" w:cs="Times New Roman"/>
          <w:color w:val="auto"/>
          <w:lang w:val="pt-BR"/>
        </w:rPr>
      </w:pPr>
      <w:r>
        <w:rPr>
          <w:rFonts w:ascii="Times New Roman" w:hAnsi="Times New Roman" w:cs="Times New Roman"/>
          <w:color w:val="auto"/>
        </w:rPr>
        <w:t xml:space="preserve">3.5.1 Modelos Preditivos para o </w:t>
      </w:r>
      <w:r>
        <w:rPr>
          <w:rFonts w:ascii="Times New Roman" w:hAnsi="Times New Roman" w:cs="Times New Roman"/>
          <w:i/>
          <w:iCs/>
          <w:color w:val="auto"/>
        </w:rPr>
        <w:t>HS</w:t>
      </w:r>
    </w:p>
    <w:p w14:paraId="7B83C27E">
      <w:pPr>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Para a análise de manutenção do equilíbrio no </w:t>
      </w:r>
      <w:r>
        <w:rPr>
          <w:rFonts w:ascii="Times New Roman" w:hAnsi="Times New Roman" w:cs="Times New Roman"/>
          <w:i/>
          <w:iCs/>
          <w:color w:val="auto"/>
        </w:rPr>
        <w:t>HS</w:t>
      </w:r>
      <w:r>
        <w:rPr>
          <w:rFonts w:ascii="Times New Roman" w:hAnsi="Times New Roman" w:cs="Times New Roman"/>
          <w:color w:val="auto"/>
        </w:rPr>
        <w: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w:t>
      </w:r>
      <w:r>
        <w:rPr>
          <w:rFonts w:ascii="Times New Roman" w:hAnsi="Times New Roman" w:cs="Times New Roman"/>
          <w:i/>
          <w:iCs/>
          <w:color w:val="auto"/>
        </w:rPr>
        <w:t>kick-up</w:t>
      </w:r>
      <w:r>
        <w:rPr>
          <w:rFonts w:ascii="Times New Roman" w:hAnsi="Times New Roman" w:cs="Times New Roman"/>
          <w:color w:val="auto"/>
        </w:rPr>
        <w:t xml:space="preserve">) e busca autonoma pelo equilíbrio. A habilidade de ascensão exige uma coordenação sensório-motora distinta da mera manutenção do equilíbrio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lang w:val="pt-BR"/>
        </w:rPr>
        <w:t>[31]</w:t>
      </w:r>
      <w:r>
        <w:rPr>
          <w:rFonts w:hint="default" w:ascii="Times New Roman" w:hAnsi="Times New Roman" w:eastAsia="Times New Roman" w:cs="Times New Roman"/>
          <w:color w:val="auto"/>
        </w:rPr>
        <w:fldChar w:fldCharType="end"/>
      </w:r>
      <w:r>
        <w:rPr>
          <w:rFonts w:ascii="Times New Roman" w:hAnsi="Times New Roman" w:cs="Times New Roman"/>
          <w:color w:val="auto"/>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color w:val="auto"/>
        </w:rPr>
        <w:fldChar w:fldCharType="begin"/>
      </w:r>
      <w:r>
        <w:rPr>
          <w:rFonts w:hint="default" w:ascii="Times New Roman" w:hAnsi="Times New Roman" w:eastAsia="Times New Roman" w:cs="Times New Roman"/>
          <w:color w:val="auto"/>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color w:val="auto"/>
        </w:rPr>
        <w:fldChar w:fldCharType="separate"/>
      </w:r>
      <w:r>
        <w:rPr>
          <w:rFonts w:hint="default" w:ascii="Times New Roman" w:hAnsi="Times New Roman" w:cs="Times New Roman"/>
          <w:color w:val="auto"/>
        </w:rPr>
        <w:t>[2], [23]</w:t>
      </w:r>
      <w:r>
        <w:rPr>
          <w:rFonts w:hint="default" w:ascii="Times New Roman" w:hAnsi="Times New Roman" w:eastAsia="Times New Roman" w:cs="Times New Roman"/>
          <w:color w:val="auto"/>
        </w:rPr>
        <w:fldChar w:fldCharType="end"/>
      </w:r>
      <w:r>
        <w:rPr>
          <w:rFonts w:ascii="Times New Roman" w:hAnsi="Times New Roman" w:cs="Times New Roman"/>
          <w:color w:val="auto"/>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Assim sendo, para o melhor tempo de sustentação (s) no </w:t>
      </w:r>
      <w:r>
        <w:rPr>
          <w:rFonts w:ascii="Times New Roman" w:hAnsi="Times New Roman" w:cs="Times New Roman"/>
          <w:i/>
          <w:iCs/>
          <w:color w:val="auto"/>
        </w:rPr>
        <w:t>HS</w:t>
      </w:r>
      <w:r>
        <w:rPr>
          <w:rFonts w:ascii="Times New Roman" w:hAnsi="Times New Roman" w:cs="Times New Roman"/>
          <w:color w:val="auto"/>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b/>
          <w:bCs/>
          <w:i w:val="0"/>
          <w:iCs w:val="0"/>
          <w:color w:val="auto"/>
          <w:u w:val="single"/>
        </w:rPr>
      </w:pPr>
      <w:r>
        <w:rPr>
          <w:rFonts w:ascii="Times New Roman" w:hAnsi="Times New Roman" w:cs="Times New Roman"/>
          <w:b/>
          <w:bCs/>
          <w:i w:val="0"/>
          <w:iCs w:val="0"/>
          <w:color w:val="auto"/>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color w:val="auto"/>
        </w:rPr>
      </w:pPr>
      <w:r>
        <w:rPr>
          <w:rFonts w:ascii="Times New Roman" w:hAnsi="Times New Roman" w:cs="Times New Roman"/>
          <w:color w:val="auto"/>
        </w:rPr>
        <w:t xml:space="preserve">Avalia a contribuição da força máxima e da resistência muscular específica sobre a capacidade de gerar torques articulares de sustentação e correção postural contínua. </w:t>
      </w:r>
    </w:p>
    <w:p w14:paraId="45AD166B">
      <w:pPr>
        <w:pStyle w:val="11"/>
        <w:spacing w:before="0" w:beforeAutospacing="0" w:after="0" w:afterAutospacing="0" w:line="360" w:lineRule="auto"/>
        <w:ind w:firstLine="708"/>
        <w:rPr>
          <w:rFonts w:hint="default" w:ascii="Times New Roman" w:hAnsi="Times New Roman" w:cs="Times New Roman"/>
          <w:color w:val="auto"/>
        </w:rPr>
      </w:pPr>
      <w:r>
        <w:rPr>
          <w:rFonts w:ascii="Times New Roman" w:hAnsi="Times New Roman" w:cs="Times New Roman"/>
          <w:b/>
          <w:bCs/>
          <w:color w:val="auto"/>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Força relativa no </w:t>
      </w:r>
      <w:r>
        <w:rPr>
          <w:rFonts w:ascii="Times New Roman" w:hAnsi="Times New Roman" w:cs="Times New Roman"/>
          <w:i/>
          <w:iCs/>
          <w:color w:val="auto"/>
        </w:rPr>
        <w:t>SP</w:t>
      </w:r>
      <w:r>
        <w:rPr>
          <w:rFonts w:ascii="Times New Roman" w:hAnsi="Times New Roman" w:cs="Times New Roman"/>
          <w:color w:val="auto"/>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Resistência em </w:t>
      </w:r>
      <w:r>
        <w:rPr>
          <w:rFonts w:ascii="Times New Roman" w:hAnsi="Times New Roman" w:cs="Times New Roman"/>
          <w:i/>
          <w:iCs/>
          <w:color w:val="auto"/>
        </w:rPr>
        <w:t>wall-supported HS</w:t>
      </w:r>
      <w:r>
        <w:rPr>
          <w:rFonts w:ascii="Times New Roman" w:hAnsi="Times New Roman" w:cs="Times New Roman"/>
          <w:color w:val="auto"/>
        </w:rPr>
        <w:t xml:space="preserve"> (segundos).</w:t>
      </w:r>
    </w:p>
    <w:p w14:paraId="05838490">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Média bilateral da força de preensão manual relativa (kgf/kg).</w:t>
      </w:r>
    </w:p>
    <w:p w14:paraId="2326A4CA">
      <w:pPr>
        <w:pStyle w:val="5"/>
        <w:spacing w:before="0" w:line="360" w:lineRule="auto"/>
        <w:rPr>
          <w:rFonts w:hint="default" w:ascii="Times New Roman" w:hAnsi="Times New Roman" w:cs="Times New Roman"/>
          <w:b/>
          <w:bCs/>
          <w:i w:val="0"/>
          <w:iCs w:val="0"/>
          <w:color w:val="auto"/>
          <w:u w:val="single"/>
        </w:rPr>
      </w:pPr>
      <w:r>
        <w:rPr>
          <w:rFonts w:ascii="Times New Roman" w:hAnsi="Times New Roman" w:cs="Times New Roman"/>
          <w:b/>
          <w:bCs/>
          <w:i w:val="0"/>
          <w:iCs w:val="0"/>
          <w:color w:val="auto"/>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color w:val="auto"/>
          <w:sz w:val="24"/>
          <w:szCs w:val="24"/>
          <w:lang w:val="pt-BR"/>
        </w:rPr>
      </w:pPr>
      <w:r>
        <w:rPr>
          <w:rFonts w:ascii="Times New Roman" w:hAnsi="Times New Roman" w:cs="Times New Roman"/>
          <w:color w:val="auto"/>
        </w:rPr>
        <w:t>Avalia a precisão e a qualidade das correções neuromusculares na base de sustentação frente ao erro real do pêndulo invertido.</w:t>
      </w:r>
    </w:p>
    <w:p w14:paraId="5865D9B6">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Entropia Aproximada (unidades arbitrárias).</w:t>
      </w:r>
    </w:p>
    <w:p w14:paraId="14274E51">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3: Técnica</w:t>
      </w:r>
    </w:p>
    <w:p w14:paraId="37BFFD7B">
      <w:pPr>
        <w:pStyle w:val="11"/>
        <w:spacing w:before="0" w:beforeAutospacing="0" w:after="0" w:afterAutospacing="0" w:line="360" w:lineRule="auto"/>
        <w:ind w:firstLine="708"/>
        <w:rPr>
          <w:rFonts w:hint="default" w:ascii="Times New Roman" w:hAnsi="Times New Roman" w:cs="Times New Roman"/>
          <w:color w:val="auto"/>
          <w:lang w:val="pt-BR"/>
        </w:rPr>
      </w:pPr>
      <w:r>
        <w:rPr>
          <w:rFonts w:ascii="Times New Roman" w:hAnsi="Times New Roman" w:cs="Times New Roman"/>
          <w:color w:val="auto"/>
        </w:rPr>
        <w:t>Testa como a conformação segmentar e a geometria da base de apoio influenciam a estabilidade e a economia mecânica da postura.</w:t>
      </w:r>
    </w:p>
    <w:p w14:paraId="30763D09">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color w:val="auto"/>
          <w:sz w:val="24"/>
          <w:szCs w:val="24"/>
        </w:rPr>
      </w:pPr>
      <w:r>
        <w:rPr>
          <w:rFonts w:ascii="Times New Roman" w:hAnsi="Times New Roman" w:cs="Times New Roman"/>
          <w:i/>
          <w:iCs/>
          <w:color w:val="auto"/>
        </w:rPr>
        <w:t>Ângulo de flexão plantar do tornozelo (graus)</w:t>
      </w:r>
    </w:p>
    <w:p w14:paraId="124CC521">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Orientação angular das mãos (graus).</w:t>
      </w:r>
    </w:p>
    <w:p w14:paraId="6497150B">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color w:val="auto"/>
          <w:sz w:val="24"/>
          <w:szCs w:val="24"/>
        </w:rPr>
      </w:pPr>
      <w:r>
        <w:rPr>
          <w:rFonts w:ascii="Times New Roman" w:hAnsi="Times New Roman" w:cs="Times New Roman"/>
          <w:color w:val="auto"/>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color w:val="auto"/>
        </w:rPr>
      </w:pPr>
    </w:p>
    <w:p w14:paraId="2839BF4C">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color w:val="auto"/>
          <w:sz w:val="24"/>
          <w:szCs w:val="24"/>
        </w:rPr>
      </w:pPr>
      <w:r>
        <w:rPr>
          <w:rFonts w:ascii="Times New Roman" w:hAnsi="Times New Roman" w:cs="Times New Roman"/>
          <w:color w:val="auto"/>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Volume de Prática Acumulada (horas).</w:t>
      </w:r>
    </w:p>
    <w:p w14:paraId="6522353B">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Idade cronológica (anos)</w:t>
      </w:r>
    </w:p>
    <w:p w14:paraId="50AA2C06">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6: Autonomia de Estabilização </w:t>
      </w:r>
    </w:p>
    <w:p w14:paraId="74371808">
      <w:pPr>
        <w:suppressAutoHyphens w:val="0"/>
        <w:spacing w:line="360" w:lineRule="auto"/>
        <w:ind w:firstLine="708"/>
        <w:rPr>
          <w:rFonts w:hint="default" w:ascii="Times New Roman" w:hAnsi="Times New Roman" w:eastAsia="Times New Roman" w:cs="Times New Roman"/>
          <w:color w:val="auto"/>
        </w:rPr>
      </w:pPr>
      <w:r>
        <w:rPr>
          <w:rFonts w:ascii="Times New Roman" w:hAnsi="Times New Roman" w:cs="Times New Roman"/>
          <w:color w:val="auto"/>
        </w:rPr>
        <w:t xml:space="preserve">Este modelo avalia os fatores determinantes para a capacidade do praticante de realizar a entrada no </w:t>
      </w:r>
      <w:r>
        <w:rPr>
          <w:rFonts w:ascii="Times New Roman" w:hAnsi="Times New Roman" w:cs="Times New Roman"/>
          <w:i/>
          <w:iCs/>
          <w:color w:val="auto"/>
        </w:rPr>
        <w:t>HS</w:t>
      </w:r>
      <w:r>
        <w:rPr>
          <w:rFonts w:ascii="Times New Roman" w:hAnsi="Times New Roman" w:cs="Times New Roman"/>
          <w:color w:val="auto"/>
        </w:rPr>
        <w:t xml:space="preserve"> de forma autônoma e atingir a fase de estabilização sem auxílio externo, considerando nível de força de membros superiores, proficiência intrínseca no controle postural (medida previamente no bloco assistido) ou tempo de prática acumulada [9], [26].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Complementarmente, a consistência motora será quantificada pela taxa de sucesso individual (número de tentativas válidas de sustentação ≥ 3 s sobre o total de 3 tentativas livres executadas), bem como pelo mapeamento da tentativa de ocorrência da marca máxima (T1, T2 ou T3). </w:t>
      </w:r>
    </w:p>
    <w:p w14:paraId="098FC700">
      <w:pPr>
        <w:suppressAutoHyphens w:val="0"/>
        <w:spacing w:line="360" w:lineRule="auto"/>
        <w:ind w:firstLine="708"/>
        <w:jc w:val="left"/>
        <w:rPr>
          <w:rFonts w:hint="default" w:ascii="Times New Roman" w:hAnsi="Times New Roman" w:eastAsia="Times New Roman" w:cs="Times New Roman"/>
          <w:color w:val="auto"/>
        </w:rPr>
      </w:pPr>
      <w:r>
        <w:rPr>
          <w:rFonts w:ascii="Times New Roman" w:hAnsi="Times New Roman" w:cs="Times New Roman"/>
          <w:b/>
          <w:bCs/>
          <w:color w:val="auto"/>
        </w:rPr>
        <w:t>Variáveis:</w:t>
      </w:r>
    </w:p>
    <w:p w14:paraId="6BD1F3E9">
      <w:pPr>
        <w:numPr>
          <w:ilvl w:val="0"/>
          <w:numId w:val="7"/>
        </w:numPr>
        <w:suppressAutoHyphens w:val="0"/>
        <w:spacing w:line="360" w:lineRule="auto"/>
        <w:jc w:val="left"/>
        <w:rPr>
          <w:rFonts w:hint="default" w:ascii="Times New Roman" w:hAnsi="Times New Roman" w:eastAsia="Times New Roman" w:cs="Times New Roman"/>
          <w:color w:val="auto"/>
          <w:highlight w:val="none"/>
        </w:rPr>
      </w:pPr>
      <w:r>
        <w:rPr>
          <w:rFonts w:ascii="Times New Roman" w:hAnsi="Times New Roman" w:cs="Times New Roman"/>
          <w:color w:val="auto"/>
          <w:highlight w:val="none"/>
        </w:rPr>
        <w:t xml:space="preserve">Força relativa no </w:t>
      </w:r>
      <w:r>
        <w:rPr>
          <w:rFonts w:ascii="Times New Roman" w:hAnsi="Times New Roman" w:cs="Times New Roman"/>
          <w:i/>
          <w:iCs/>
          <w:color w:val="auto"/>
          <w:highlight w:val="none"/>
        </w:rPr>
        <w:t>SP</w:t>
      </w:r>
      <w:r>
        <w:rPr>
          <w:rFonts w:ascii="Times New Roman" w:hAnsi="Times New Roman" w:cs="Times New Roman"/>
          <w:color w:val="auto"/>
          <w:highlight w:val="none"/>
        </w:rPr>
        <w:t xml:space="preserve">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color w:val="auto"/>
          <w:highlight w:val="none"/>
        </w:rPr>
      </w:pPr>
      <w:r>
        <w:rPr>
          <w:rFonts w:ascii="Times New Roman" w:hAnsi="Times New Roman" w:cs="Times New Roman"/>
          <w:color w:val="auto"/>
          <w:highlight w:val="none"/>
        </w:rPr>
        <w:t xml:space="preserve">Melhor tempo de sustentação no </w:t>
      </w:r>
      <w:r>
        <w:rPr>
          <w:rFonts w:ascii="Times New Roman" w:hAnsi="Times New Roman" w:cs="Times New Roman"/>
          <w:i/>
          <w:iCs/>
          <w:color w:val="auto"/>
          <w:highlight w:val="none"/>
        </w:rPr>
        <w:t>HS</w:t>
      </w:r>
      <w:r>
        <w:rPr>
          <w:rFonts w:ascii="Times New Roman" w:hAnsi="Times New Roman" w:cs="Times New Roman"/>
          <w:color w:val="auto"/>
          <w:highlight w:val="none"/>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color w:val="auto"/>
          <w:highlight w:val="none"/>
        </w:rPr>
      </w:pPr>
      <w:r>
        <w:rPr>
          <w:rFonts w:ascii="Times New Roman" w:hAnsi="Times New Roman" w:cs="Times New Roman"/>
          <w:color w:val="auto"/>
          <w:highlight w:val="none"/>
        </w:rPr>
        <w:t>Volume de Prática Acumulada (horas totais estimadas).</w:t>
      </w:r>
    </w:p>
    <w:p w14:paraId="49F82710">
      <w:pPr>
        <w:pStyle w:val="11"/>
        <w:spacing w:before="0" w:beforeAutospacing="0" w:after="0" w:afterAutospacing="0" w:line="360" w:lineRule="auto"/>
        <w:jc w:val="both"/>
        <w:rPr>
          <w:rFonts w:hint="default" w:ascii="Times New Roman" w:hAnsi="Times New Roman" w:cs="Times New Roman"/>
          <w:color w:val="auto"/>
        </w:rPr>
      </w:pPr>
      <w:r>
        <w:rPr>
          <w:rFonts w:ascii="Times New Roman" w:hAnsi="Times New Roman" w:cs="Times New Roman"/>
          <w:color w:val="auto"/>
        </w:rPr>
        <w:t xml:space="preserve">3.5.2 Modelos Preditivos para o </w:t>
      </w:r>
      <w:r>
        <w:rPr>
          <w:rFonts w:ascii="Times New Roman" w:hAnsi="Times New Roman" w:cs="Times New Roman"/>
          <w:i/>
          <w:iCs/>
          <w:color w:val="auto"/>
        </w:rPr>
        <w:t>HSW</w:t>
      </w:r>
    </w:p>
    <w:p w14:paraId="18F4D991">
      <w:pPr>
        <w:spacing w:line="360" w:lineRule="auto"/>
        <w:ind w:firstLine="708" w:firstLineChars="0"/>
        <w:rPr>
          <w:rFonts w:hint="default" w:ascii="Times New Roman" w:hAnsi="Times New Roman" w:eastAsia="Times New Roman" w:cs="Times New Roman"/>
          <w:color w:val="auto"/>
        </w:rPr>
      </w:pPr>
      <w:r>
        <w:rPr>
          <w:rFonts w:ascii="Times New Roman" w:hAnsi="Times New Roman" w:cs="Times New Roman"/>
          <w:color w:val="auto"/>
        </w:rPr>
        <w:t xml:space="preserve">Para os modelos de regressão do </w:t>
      </w:r>
      <w:r>
        <w:rPr>
          <w:rFonts w:ascii="Times New Roman" w:hAnsi="Times New Roman" w:cs="Times New Roman"/>
          <w:i/>
          <w:iCs/>
          <w:color w:val="auto"/>
        </w:rPr>
        <w:t>HSW</w:t>
      </w:r>
      <w:r>
        <w:rPr>
          <w:rFonts w:ascii="Times New Roman" w:hAnsi="Times New Roman" w:cs="Times New Roman"/>
          <w:color w:val="auto"/>
        </w:rPr>
        <w:t xml:space="preserve">, a variável dependente será a </w:t>
      </w:r>
      <w:r>
        <w:rPr>
          <w:rFonts w:ascii="Times New Roman" w:hAnsi="Times New Roman" w:cs="Times New Roman"/>
          <w:b w:val="0"/>
          <w:bCs w:val="0"/>
          <w:color w:val="auto"/>
        </w:rPr>
        <w:t>mediana da distância linear percorrida (m)</w:t>
      </w:r>
      <w:r>
        <w:rPr>
          <w:rFonts w:ascii="Times New Roman" w:hAnsi="Times New Roman" w:cs="Times New Roman"/>
          <w:color w:val="auto"/>
        </w:rPr>
        <w:t>, adotada por sua robustez frente a quedas prematuras ou tentativas extremas isoladas:</w:t>
      </w:r>
    </w:p>
    <w:p w14:paraId="45C30B0E">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color w:val="auto"/>
          <w:sz w:val="24"/>
          <w:szCs w:val="24"/>
        </w:rPr>
      </w:pPr>
      <w:r>
        <w:rPr>
          <w:rFonts w:ascii="Times New Roman" w:hAnsi="Times New Roman" w:cs="Times New Roman"/>
          <w:color w:val="auto"/>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color w:val="auto"/>
          <w:highlight w:val="none"/>
        </w:rPr>
      </w:pPr>
      <w:r>
        <w:rPr>
          <w:rFonts w:ascii="Times New Roman" w:hAnsi="Times New Roman" w:cs="Times New Roman"/>
          <w:b/>
          <w:bCs/>
          <w:color w:val="auto"/>
          <w:highlight w:val="none"/>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color w:val="auto"/>
          <w:highlight w:val="none"/>
        </w:rPr>
      </w:pPr>
      <w:r>
        <w:rPr>
          <w:rFonts w:ascii="Times New Roman" w:hAnsi="Times New Roman" w:cs="Times New Roman"/>
          <w:color w:val="auto"/>
          <w:highlight w:val="none"/>
        </w:rPr>
        <w:t xml:space="preserve">Força relativa no </w:t>
      </w:r>
      <w:r>
        <w:rPr>
          <w:rFonts w:ascii="Times New Roman" w:hAnsi="Times New Roman" w:cs="Times New Roman"/>
          <w:i/>
          <w:iCs/>
          <w:color w:val="auto"/>
          <w:highlight w:val="none"/>
        </w:rPr>
        <w:t>SP</w:t>
      </w:r>
      <w:r>
        <w:rPr>
          <w:rFonts w:ascii="Times New Roman" w:hAnsi="Times New Roman" w:cs="Times New Roman"/>
          <w:color w:val="auto"/>
          <w:highlight w:val="none"/>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color w:val="auto"/>
          <w:highlight w:val="none"/>
        </w:rPr>
      </w:pPr>
      <w:r>
        <w:rPr>
          <w:rFonts w:ascii="Times New Roman" w:hAnsi="Times New Roman" w:cs="Times New Roman"/>
          <w:color w:val="auto"/>
          <w:highlight w:val="none"/>
        </w:rPr>
        <w:t xml:space="preserve">Resistência em </w:t>
      </w:r>
      <w:r>
        <w:rPr>
          <w:rFonts w:ascii="Times New Roman" w:hAnsi="Times New Roman" w:cs="Times New Roman"/>
          <w:i/>
          <w:iCs/>
          <w:color w:val="auto"/>
          <w:highlight w:val="none"/>
        </w:rPr>
        <w:t>wall-supported HS</w:t>
      </w:r>
      <w:r>
        <w:rPr>
          <w:rFonts w:ascii="Times New Roman" w:hAnsi="Times New Roman" w:cs="Times New Roman"/>
          <w:color w:val="auto"/>
          <w:highlight w:val="none"/>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color w:val="auto"/>
          <w:highlight w:val="none"/>
        </w:rPr>
      </w:pPr>
      <w:r>
        <w:rPr>
          <w:rFonts w:ascii="Times New Roman" w:hAnsi="Times New Roman" w:cs="Times New Roman"/>
          <w:color w:val="auto"/>
          <w:highlight w:val="none"/>
        </w:rPr>
        <w:t>Índice de Simetria de Membros nos flexores de punho (%)</w:t>
      </w:r>
    </w:p>
    <w:p w14:paraId="10CEEFB5">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color w:val="auto"/>
          <w:sz w:val="24"/>
          <w:szCs w:val="24"/>
        </w:rPr>
      </w:pPr>
      <w:r>
        <w:rPr>
          <w:rFonts w:ascii="Times New Roman" w:hAnsi="Times New Roman" w:cs="Times New Roman"/>
          <w:color w:val="auto"/>
        </w:rPr>
        <w:t>Verifica se a consistência e a ritmicidade espaço-temporal das passadas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color w:val="auto"/>
        </w:rPr>
      </w:pPr>
      <w:r>
        <w:rPr>
          <w:rFonts w:ascii="Times New Roman" w:hAnsi="Times New Roman" w:cs="Times New Roman"/>
          <w:color w:val="auto"/>
        </w:rPr>
        <w:t xml:space="preserve"> </w:t>
      </w:r>
      <w:r>
        <w:rPr>
          <w:rFonts w:ascii="Times New Roman" w:hAnsi="Times New Roman" w:cs="Times New Roman"/>
          <w:b/>
          <w:bCs/>
          <w:color w:val="auto"/>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Cadência: passos por segundo (passos/s).</w:t>
      </w:r>
    </w:p>
    <w:p w14:paraId="2BE916B5">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Testa como o alinhamento corporal médio e a rotação das mãos modulam a progressão linear do centro de gravidade.</w:t>
      </w:r>
    </w:p>
    <w:p w14:paraId="50125B6D">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color w:val="auto"/>
          <w:sz w:val="24"/>
          <w:szCs w:val="24"/>
        </w:rPr>
      </w:pPr>
      <w:r>
        <w:rPr>
          <w:rFonts w:ascii="Times New Roman" w:hAnsi="Times New Roman" w:cs="Times New Roman"/>
          <w:i/>
          <w:iCs/>
          <w:color w:val="auto"/>
        </w:rPr>
        <w:t>Ângulo de flexão plantar do tornozelo (graus)</w:t>
      </w:r>
    </w:p>
    <w:p w14:paraId="14E98E81">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Orientação angular das mãos (graus).</w:t>
      </w:r>
    </w:p>
    <w:p w14:paraId="613A5004">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color w:val="auto"/>
          <w:sz w:val="24"/>
          <w:szCs w:val="24"/>
          <w:lang w:val="pt-BR"/>
        </w:rPr>
      </w:pPr>
      <w:r>
        <w:rPr>
          <w:rFonts w:ascii="Times New Roman" w:hAnsi="Times New Roman" w:cs="Times New Roman"/>
          <w:color w:val="auto"/>
        </w:rPr>
        <w:t>Investiga se a proficiência no equilíbrio estático e a regularidade do sinal estabilométrico transferem-se diretamente para a capacidade locomotora.</w:t>
      </w:r>
    </w:p>
    <w:p w14:paraId="6FC56255">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 xml:space="preserve">Melhor tempo de sustentação no </w:t>
      </w:r>
      <w:r>
        <w:rPr>
          <w:rFonts w:ascii="Times New Roman" w:hAnsi="Times New Roman" w:cs="Times New Roman"/>
          <w:i/>
          <w:iCs/>
          <w:color w:val="auto"/>
        </w:rPr>
        <w:t>HS</w:t>
      </w:r>
      <w:r>
        <w:rPr>
          <w:rFonts w:ascii="Times New Roman" w:hAnsi="Times New Roman" w:cs="Times New Roman"/>
          <w:color w:val="auto"/>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i/>
          <w:iCs/>
          <w:color w:val="auto"/>
        </w:rPr>
        <w:t>ApEn</w:t>
      </w:r>
      <w:r>
        <w:rPr>
          <w:rFonts w:ascii="Times New Roman" w:hAnsi="Times New Roman" w:cs="Times New Roman"/>
          <w:color w:val="auto"/>
        </w:rPr>
        <w:t xml:space="preserve"> no </w:t>
      </w:r>
      <w:r>
        <w:rPr>
          <w:rFonts w:ascii="Times New Roman" w:hAnsi="Times New Roman" w:cs="Times New Roman"/>
          <w:i/>
          <w:iCs/>
          <w:color w:val="auto"/>
        </w:rPr>
        <w:t>HS</w:t>
      </w:r>
      <w:r>
        <w:rPr>
          <w:rFonts w:ascii="Times New Roman" w:hAnsi="Times New Roman" w:cs="Times New Roman"/>
          <w:color w:val="auto"/>
        </w:rPr>
        <w:t xml:space="preserve"> (unidades arbitrárias).</w:t>
      </w:r>
    </w:p>
    <w:p w14:paraId="47B22A05">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color w:val="auto"/>
          <w:sz w:val="24"/>
          <w:szCs w:val="24"/>
          <w:lang w:val="pt-BR"/>
        </w:rPr>
      </w:pPr>
      <w:r>
        <w:rPr>
          <w:rFonts w:ascii="Times New Roman" w:hAnsi="Times New Roman" w:cs="Times New Roman"/>
          <w:color w:val="auto"/>
        </w:rPr>
        <w:t>Avalia a influência das proporções anatômicas e da composição corporal sobre o custo mecânico da locomoção.</w:t>
      </w:r>
    </w:p>
    <w:p w14:paraId="1DB74D72">
      <w:pPr>
        <w:pStyle w:val="11"/>
        <w:spacing w:before="0" w:beforeAutospacing="0" w:after="0" w:afterAutospacing="0" w:line="360" w:lineRule="auto"/>
        <w:ind w:left="720"/>
        <w:rPr>
          <w:rFonts w:hint="default" w:ascii="Times New Roman" w:hAnsi="Times New Roman" w:cs="Times New Roman"/>
          <w:color w:val="auto"/>
        </w:rPr>
      </w:pPr>
      <w:r>
        <w:rPr>
          <w:rFonts w:ascii="Times New Roman" w:hAnsi="Times New Roman" w:cs="Times New Roman"/>
          <w:b/>
          <w:bCs/>
          <w:color w:val="auto"/>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color w:val="auto"/>
        </w:rPr>
      </w:pPr>
    </w:p>
    <w:p w14:paraId="25F171E0">
      <w:pPr>
        <w:pStyle w:val="11"/>
        <w:spacing w:before="0" w:beforeAutospacing="0" w:after="0" w:afterAutospacing="0" w:line="360" w:lineRule="auto"/>
        <w:rPr>
          <w:rFonts w:hint="default" w:ascii="Times New Roman" w:hAnsi="Times New Roman" w:cs="Times New Roman"/>
          <w:b/>
          <w:bCs/>
          <w:color w:val="auto"/>
          <w:u w:val="single"/>
        </w:rPr>
      </w:pPr>
      <w:r>
        <w:rPr>
          <w:rFonts w:ascii="Times New Roman" w:hAnsi="Times New Roman" w:cs="Times New Roman"/>
          <w:b/>
          <w:bCs/>
          <w:color w:val="auto"/>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color w:val="auto"/>
          <w:sz w:val="24"/>
          <w:szCs w:val="24"/>
          <w:lang w:val="pt-BR"/>
        </w:rPr>
      </w:pPr>
      <w:r>
        <w:rPr>
          <w:rFonts w:ascii="Times New Roman" w:hAnsi="Times New Roman" w:cs="Times New Roman"/>
          <w:color w:val="auto"/>
        </w:rPr>
        <w:t>Determina a contribuição relativa da experiência prática acumulada em horas frente à idade cronológica no deslocamento dinâmico.</w:t>
      </w:r>
    </w:p>
    <w:p w14:paraId="3BF79D29">
      <w:pPr>
        <w:pStyle w:val="11"/>
        <w:spacing w:before="0" w:beforeAutospacing="0" w:after="0" w:afterAutospacing="0" w:line="360" w:lineRule="auto"/>
        <w:ind w:firstLine="708" w:firstLineChars="0"/>
        <w:rPr>
          <w:rFonts w:hint="default" w:ascii="Times New Roman" w:hAnsi="Times New Roman" w:cs="Times New Roman"/>
          <w:color w:val="auto"/>
        </w:rPr>
      </w:pPr>
      <w:r>
        <w:rPr>
          <w:rFonts w:ascii="Times New Roman" w:hAnsi="Times New Roman" w:cs="Times New Roman"/>
          <w:b/>
          <w:bCs/>
          <w:color w:val="auto"/>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Volume de Prática Acumulada (horas totais estimadas).</w:t>
      </w:r>
    </w:p>
    <w:p w14:paraId="479865AE">
      <w:pPr>
        <w:pStyle w:val="11"/>
        <w:numPr>
          <w:ilvl w:val="1"/>
          <w:numId w:val="6"/>
        </w:numPr>
        <w:spacing w:before="0" w:beforeAutospacing="0" w:after="0" w:afterAutospacing="0" w:line="360" w:lineRule="auto"/>
        <w:rPr>
          <w:rFonts w:hint="default" w:ascii="Times New Roman" w:hAnsi="Times New Roman" w:cs="Times New Roman"/>
          <w:color w:val="auto"/>
        </w:rPr>
      </w:pPr>
      <w:r>
        <w:rPr>
          <w:rFonts w:ascii="Times New Roman" w:hAnsi="Times New Roman" w:cs="Times New Roman"/>
          <w:color w:val="auto"/>
        </w:rPr>
        <w:t>Idade cronológica (anos).</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color w:val="auto"/>
        </w:rPr>
      </w:pPr>
      <w:r>
        <w:rPr>
          <w:rFonts w:ascii="Times New Roman" w:hAnsi="Times New Roman" w:cs="Times New Roman"/>
          <w:color w:val="auto"/>
        </w:rPr>
        <w:t xml:space="preserve">As variáveis velocidade média de deslocamento, tempo de contato palmar e tempo em duplo suporte serão reportadas para caracterização descritiva e comparação exploratória entre perfis de prática (ex: praticantes de </w:t>
      </w:r>
      <w:r>
        <w:rPr>
          <w:rFonts w:ascii="Times New Roman" w:hAnsi="Times New Roman" w:cs="Times New Roman"/>
          <w:i/>
          <w:iCs/>
          <w:color w:val="auto"/>
        </w:rPr>
        <w:t>CrossFit</w:t>
      </w:r>
      <w:r>
        <w:rPr>
          <w:rFonts w:ascii="Times New Roman" w:hAnsi="Times New Roman" w:cs="Times New Roman"/>
          <w:color w:val="auto"/>
        </w:rPr>
        <w:t xml:space="preserve">® vs. Ginástica Artística), uma vez que decorrem diretamente da cadência e do comprimento da passada. Essa delimitação metodológica previne o viés de multicolinearidade e preserva o poder explicativo dos modelos preditivos primários no </w:t>
      </w:r>
      <w:r>
        <w:rPr>
          <w:rFonts w:ascii="Times New Roman" w:hAnsi="Times New Roman" w:cs="Times New Roman"/>
          <w:i/>
          <w:iCs/>
          <w:color w:val="auto"/>
        </w:rPr>
        <w:t>HSW</w:t>
      </w:r>
      <w:r>
        <w:rPr>
          <w:rFonts w:ascii="Times New Roman" w:hAnsi="Times New Roman" w:cs="Times New Roman"/>
          <w:color w:val="auto"/>
        </w:rPr>
        <w:t xml:space="preserve">.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ascii="Times New Roman" w:hAnsi="Times New Roman" w:cs="Times New Roman"/>
          <w:i/>
          <w:iCs/>
          <w:color w:val="auto"/>
        </w:rPr>
        <w:t>HSW.</w:t>
      </w:r>
    </w:p>
    <w:p w14:paraId="1608FB77">
      <w:pPr>
        <w:pStyle w:val="11"/>
        <w:spacing w:before="0" w:beforeAutospacing="0" w:after="0" w:afterAutospacing="0" w:line="360" w:lineRule="auto"/>
        <w:jc w:val="both"/>
        <w:rPr>
          <w:rFonts w:hint="default" w:ascii="Times New Roman" w:hAnsi="Times New Roman" w:cs="Times New Roman"/>
          <w:color w:val="auto"/>
          <w:lang w:val="pt-BR"/>
        </w:rPr>
      </w:pPr>
      <w:r>
        <w:rPr>
          <w:rFonts w:ascii="Times New Roman" w:hAnsi="Times New Roman" w:cs="Times New Roman"/>
          <w:color w:val="auto"/>
        </w:rPr>
        <w:t>3.5.3 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color w:val="auto"/>
        </w:rPr>
      </w:pPr>
      <w:r>
        <w:rPr>
          <w:rFonts w:ascii="Times New Roman" w:hAnsi="Times New Roman" w:cs="Times New Roman"/>
          <w:color w:val="auto"/>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color w:val="auto"/>
        </w:rPr>
      </w:pPr>
      <w:r>
        <w:rPr>
          <w:rFonts w:ascii="Times New Roman" w:hAnsi="Times New Roman" w:cs="Times New Roman"/>
          <w:b/>
          <w:bCs/>
          <w:color w:val="auto"/>
        </w:rPr>
        <w:t>4    CRONOGRAMA DE ATIVIDADES</w:t>
      </w:r>
    </w:p>
    <w:p w14:paraId="5254D9CC">
      <w:pPr>
        <w:spacing w:line="360" w:lineRule="auto"/>
        <w:ind w:firstLine="720"/>
        <w:rPr>
          <w:rFonts w:hint="default" w:ascii="Times New Roman" w:hAnsi="Times New Roman" w:eastAsia="Times New Roman" w:cs="Times New Roman"/>
          <w:b/>
          <w:color w:val="auto"/>
          <w:shd w:val="clear" w:color="auto" w:fill="FFFF00"/>
        </w:rPr>
      </w:pPr>
      <w:r>
        <w:rPr>
          <w:rFonts w:ascii="Times New Roman" w:hAnsi="Times New Roman" w:cs="Times New Roman"/>
          <w:color w:val="auto"/>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Submissão ao Comitê de ética em Pesquisa</w:t>
            </w:r>
          </w:p>
          <w:p w14:paraId="011EDE1E">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Revisão de Literatura</w:t>
            </w:r>
          </w:p>
          <w:p w14:paraId="183BE531">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Revisão de Literatura</w:t>
            </w:r>
          </w:p>
          <w:p w14:paraId="45E57F74">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Testes piloto</w:t>
            </w:r>
          </w:p>
          <w:p w14:paraId="10575910">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Realização das sessões de avaliação</w:t>
            </w:r>
          </w:p>
          <w:p w14:paraId="781D7777">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color w:val="auto"/>
              </w:rPr>
            </w:pPr>
            <w:r>
              <w:rPr>
                <w:rFonts w:hint="default" w:ascii="Times New Roman" w:hAnsi="Times New Roman" w:eastAsia="Times New Roman" w:cs="Times New Roman"/>
                <w:b/>
                <w:color w:val="auto"/>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Revisão de Literatura</w:t>
            </w:r>
          </w:p>
          <w:p w14:paraId="372E5EA1">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Elaboração da dissertação</w:t>
            </w:r>
          </w:p>
          <w:p w14:paraId="08F10788">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Elaboração de artigos científicos</w:t>
            </w:r>
          </w:p>
          <w:p w14:paraId="21BA92FF">
            <w:pPr>
              <w:spacing w:line="360" w:lineRule="auto"/>
              <w:ind w:left="252" w:hanging="120"/>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Submissão de trabalhos científicos</w:t>
            </w:r>
          </w:p>
        </w:tc>
      </w:tr>
    </w:tbl>
    <w:p w14:paraId="51D39C2F">
      <w:pPr>
        <w:pStyle w:val="18"/>
        <w:spacing w:line="360" w:lineRule="auto"/>
        <w:rPr>
          <w:rFonts w:hint="default" w:ascii="Times New Roman" w:hAnsi="Times New Roman" w:eastAsia="Times New Roman" w:cs="Times New Roman"/>
          <w:color w:val="auto"/>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Pr>
        <w:t>5   REFERÊNCIAS BIBLIOGRÁFICAS</w:t>
      </w:r>
    </w:p>
    <w:p w14:paraId="7AF837A1">
      <w:pPr>
        <w:pStyle w:val="18"/>
        <w:spacing w:line="360" w:lineRule="auto"/>
        <w:rPr>
          <w:rFonts w:hint="default" w:ascii="Times New Roman" w:hAnsi="Times New Roman" w:eastAsia="Times New Roman" w:cs="Times New Roman"/>
          <w:color w:val="auto"/>
          <w:lang w:val="en-US"/>
        </w:rPr>
      </w:pPr>
    </w:p>
    <w:p w14:paraId="44A0030A">
      <w:pPr>
        <w:tabs>
          <w:tab w:val="left" w:pos="0"/>
        </w:tabs>
        <w:spacing w:after="0" w:line="240" w:lineRule="auto"/>
        <w:ind w:left="504" w:hanging="504"/>
        <w:rPr>
          <w:rFonts w:hint="default" w:cs="Times New Roman"/>
          <w:color w:val="auto"/>
          <w:lang w:val="pt-BR"/>
        </w:rPr>
      </w:pPr>
      <w:r>
        <w:rPr>
          <w:rFonts w:hint="default" w:ascii="Times New Roman" w:hAnsi="Times New Roman" w:eastAsia="Times New Roman" w:cs="Times New Roman"/>
          <w:color w:val="auto"/>
          <w:szCs w:val="23"/>
          <w:lang w:val="en-US"/>
        </w:rPr>
        <w:fldChar w:fldCharType="begin"/>
      </w:r>
      <w:r>
        <w:rPr>
          <w:rFonts w:hint="default" w:ascii="Times New Roman" w:hAnsi="Times New Roman" w:eastAsia="Times New Roman" w:cs="Times New Roman"/>
          <w:color w:val="auto"/>
          <w:szCs w:val="23"/>
          <w:lang w:val="en-US"/>
        </w:rPr>
        <w:instrText xml:space="preserve"> ADDIN ZOTERO_BIBL {"uncited":[],"omitted":[],"custom":[]} CSL_BIBLIOGRAPHY </w:instrText>
      </w:r>
      <w:r>
        <w:rPr>
          <w:rFonts w:hint="default" w:ascii="Times New Roman" w:hAnsi="Times New Roman" w:eastAsia="Times New Roman" w:cs="Times New Roman"/>
          <w:color w:val="auto"/>
          <w:szCs w:val="23"/>
          <w:lang w:val="en-US"/>
        </w:rPr>
        <w:fldChar w:fldCharType="separate"/>
      </w:r>
      <w:r>
        <w:rPr>
          <w:rFonts w:hint="default" w:cs="Times New Roman"/>
          <w:color w:val="auto"/>
          <w:lang w:val="pt-BR"/>
        </w:rPr>
        <w:t>[1]</w:t>
      </w:r>
      <w:r>
        <w:rPr>
          <w:rFonts w:hint="default" w:cs="Times New Roman"/>
          <w:color w:val="auto"/>
          <w:lang w:val="pt-BR"/>
        </w:rPr>
        <w:tab/>
        <w:t xml:space="preserve">R. Malíř, J. Chrudimský, A. Provazník, e V. Třebický, “Are the shoulder joint function, stability, and mobility tests predictive of handstand execution?”, </w:t>
      </w:r>
      <w:r>
        <w:rPr>
          <w:rFonts w:hint="default" w:cs="Times New Roman"/>
          <w:i/>
          <w:color w:val="auto"/>
          <w:lang w:val="pt-BR"/>
        </w:rPr>
        <w:t>PLOS ONE</w:t>
      </w:r>
      <w:r>
        <w:rPr>
          <w:rFonts w:hint="default" w:cs="Times New Roman"/>
          <w:color w:val="auto"/>
          <w:lang w:val="pt-BR"/>
        </w:rPr>
        <w:t>, v. 19, n. 5, p. e0302922, maio 2024, doi: 10.1371/journal.pone.0302922.</w:t>
      </w:r>
    </w:p>
    <w:p w14:paraId="4983C2C3">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w:t>
      </w:r>
      <w:r>
        <w:rPr>
          <w:rFonts w:hint="default" w:cs="Times New Roman"/>
          <w:color w:val="auto"/>
          <w:sz w:val="23"/>
          <w:szCs w:val="23"/>
          <w:lang w:val="pt-BR"/>
        </w:rPr>
        <w:tab/>
        <w:t xml:space="preserve">J. Rohleder e T. Vogt, “Performance control in handstands: challenging entrenched coaching strategies for young gymnasts”, </w:t>
      </w:r>
      <w:r>
        <w:rPr>
          <w:rFonts w:hint="default" w:cs="Times New Roman"/>
          <w:i/>
          <w:color w:val="auto"/>
          <w:sz w:val="23"/>
          <w:szCs w:val="23"/>
          <w:lang w:val="pt-BR"/>
        </w:rPr>
        <w:t>Int. J. Perform. Anal. Sport</w:t>
      </w:r>
      <w:r>
        <w:rPr>
          <w:rFonts w:hint="default" w:cs="Times New Roman"/>
          <w:color w:val="auto"/>
          <w:sz w:val="23"/>
          <w:szCs w:val="23"/>
          <w:lang w:val="pt-BR"/>
        </w:rPr>
        <w:t>, v. 18, n. 1, p. 17–31, jan. 2018, doi: 10.1080/24748668.2018.1440459.</w:t>
      </w:r>
    </w:p>
    <w:p w14:paraId="3C775389">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w:t>
      </w:r>
      <w:r>
        <w:rPr>
          <w:rFonts w:hint="default" w:cs="Times New Roman"/>
          <w:color w:val="auto"/>
          <w:sz w:val="23"/>
          <w:szCs w:val="23"/>
          <w:lang w:val="pt-BR"/>
        </w:rPr>
        <w:tab/>
        <w:t xml:space="preserve">D. G. Kerwin e G. Trewartha, “Strategies for maintaining a handstand in the anterior-posterior direction”:, </w:t>
      </w:r>
      <w:r>
        <w:rPr>
          <w:rFonts w:hint="default" w:cs="Times New Roman"/>
          <w:i/>
          <w:color w:val="auto"/>
          <w:sz w:val="23"/>
          <w:szCs w:val="23"/>
          <w:lang w:val="pt-BR"/>
        </w:rPr>
        <w:t>Med. Sci. Sports Exerc.</w:t>
      </w:r>
      <w:r>
        <w:rPr>
          <w:rFonts w:hint="default" w:cs="Times New Roman"/>
          <w:color w:val="auto"/>
          <w:sz w:val="23"/>
          <w:szCs w:val="23"/>
          <w:lang w:val="pt-BR"/>
        </w:rPr>
        <w:t>, v. 33, n. 7, p. 1182–1188, jul. 2001, doi: 10.1097/00005768-200107000-00016.</w:t>
      </w:r>
    </w:p>
    <w:p w14:paraId="4C5BF6F7">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w:t>
      </w:r>
      <w:r>
        <w:rPr>
          <w:rFonts w:hint="default" w:cs="Times New Roman"/>
          <w:color w:val="auto"/>
          <w:sz w:val="23"/>
          <w:szCs w:val="23"/>
          <w:lang w:val="pt-BR"/>
        </w:rPr>
        <w:tab/>
        <w:t xml:space="preserve">H. E. Wyatt, D. Vicinanza, K. M. Newell, G. Irwin, e G. K. R. Williams, “Bidirectional causal control in the dynamics of handstand balance”, </w:t>
      </w:r>
      <w:r>
        <w:rPr>
          <w:rFonts w:hint="default" w:cs="Times New Roman"/>
          <w:i/>
          <w:color w:val="auto"/>
          <w:sz w:val="23"/>
          <w:szCs w:val="23"/>
          <w:lang w:val="pt-BR"/>
        </w:rPr>
        <w:t>Sci. Rep.</w:t>
      </w:r>
      <w:r>
        <w:rPr>
          <w:rFonts w:hint="default" w:cs="Times New Roman"/>
          <w:color w:val="auto"/>
          <w:sz w:val="23"/>
          <w:szCs w:val="23"/>
          <w:lang w:val="pt-BR"/>
        </w:rPr>
        <w:t>, v. 11, n. 1, p. 405, jan. 2021, doi: 10.1038/s41598-020-79730-z.</w:t>
      </w:r>
    </w:p>
    <w:p w14:paraId="16546599">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w:t>
      </w:r>
      <w:r>
        <w:rPr>
          <w:rFonts w:hint="default" w:cs="Times New Roman"/>
          <w:color w:val="auto"/>
          <w:sz w:val="23"/>
          <w:szCs w:val="23"/>
          <w:lang w:val="pt-BR"/>
        </w:rPr>
        <w:tab/>
        <w:t xml:space="preserve">M. Pryhoda, K. M. Newell, C. Wilson, e G. Irwin, “Task Specific and General Patterns of Joint Motion Variability in Upright- and Hand-Standing Postures”, </w:t>
      </w:r>
      <w:r>
        <w:rPr>
          <w:rFonts w:hint="default" w:cs="Times New Roman"/>
          <w:i/>
          <w:color w:val="auto"/>
          <w:sz w:val="23"/>
          <w:szCs w:val="23"/>
          <w:lang w:val="pt-BR"/>
        </w:rPr>
        <w:t>Entropy</w:t>
      </w:r>
      <w:r>
        <w:rPr>
          <w:rFonts w:hint="default" w:cs="Times New Roman"/>
          <w:color w:val="auto"/>
          <w:sz w:val="23"/>
          <w:szCs w:val="23"/>
          <w:lang w:val="pt-BR"/>
        </w:rPr>
        <w:t>, v. 24, n. 7, p. 909, jun. 2022, doi: 10.3390/e24070909.</w:t>
      </w:r>
    </w:p>
    <w:p w14:paraId="5E9FE0CB">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w:t>
      </w:r>
      <w:r>
        <w:rPr>
          <w:rFonts w:hint="default" w:cs="Times New Roman"/>
          <w:color w:val="auto"/>
          <w:sz w:val="23"/>
          <w:szCs w:val="23"/>
          <w:lang w:val="pt-BR"/>
        </w:rPr>
        <w:tab/>
        <w:t xml:space="preserve">A. Kochanowicz, B. Niespodziński, J. Mieszkowski, M. Marina, K. Kochanowicz, e M. Zasada, “Changes in the Muscle Activity of Gymnasts During a Handstand on Various Apparatus”, </w:t>
      </w:r>
      <w:r>
        <w:rPr>
          <w:rFonts w:hint="default" w:cs="Times New Roman"/>
          <w:i/>
          <w:color w:val="auto"/>
          <w:sz w:val="23"/>
          <w:szCs w:val="23"/>
          <w:lang w:val="pt-BR"/>
        </w:rPr>
        <w:t>J. Strength Cond. Res.</w:t>
      </w:r>
      <w:r>
        <w:rPr>
          <w:rFonts w:hint="default" w:cs="Times New Roman"/>
          <w:color w:val="auto"/>
          <w:sz w:val="23"/>
          <w:szCs w:val="23"/>
          <w:lang w:val="pt-BR"/>
        </w:rPr>
        <w:t>, v. 33, n. 6, p. 1609–1618, jun. 2019, doi: 10.1519/JSC.0000000000002124.</w:t>
      </w:r>
    </w:p>
    <w:p w14:paraId="77CD9479">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[7]</w:t>
      </w:r>
      <w:r>
        <w:rPr>
          <w:rFonts w:hint="default" w:cs="Times New Roman"/>
          <w:color w:val="auto"/>
          <w:sz w:val="23"/>
          <w:szCs w:val="23"/>
          <w:lang w:val="pt-BR"/>
        </w:rPr>
        <w:tab/>
        <w:t xml:space="preserve">G. M. Blenkinsop, M. T. G. Pain, e M. J. Hiley, “Balance control strategies during perturbed and unperturbed balance in standing and handstand”, </w:t>
      </w:r>
      <w:r>
        <w:rPr>
          <w:rFonts w:hint="default" w:cs="Times New Roman"/>
          <w:i/>
          <w:color w:val="auto"/>
          <w:sz w:val="23"/>
          <w:szCs w:val="23"/>
          <w:lang w:val="pt-BR"/>
        </w:rPr>
        <w:t>R. Soc. Open Sci.</w:t>
      </w:r>
      <w:r>
        <w:rPr>
          <w:rFonts w:hint="default" w:cs="Times New Roman"/>
          <w:color w:val="auto"/>
          <w:sz w:val="23"/>
          <w:szCs w:val="23"/>
          <w:lang w:val="pt-BR"/>
        </w:rPr>
        <w:t>, v. 4, n. 7, p. 161018, jul. 2017, doi: 10.1098/rsos.161018.</w:t>
      </w:r>
    </w:p>
    <w:p w14:paraId="1E70EBCC">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[8]</w:t>
      </w:r>
      <w:r>
        <w:rPr>
          <w:rFonts w:hint="default" w:cs="Times New Roman"/>
          <w:color w:val="auto"/>
          <w:sz w:val="23"/>
          <w:szCs w:val="23"/>
          <w:lang w:val="pt-BR"/>
        </w:rPr>
        <w:tab/>
        <w:t>M. K. Pryhoda, K. M. Newell, e G. Irwin, “HANDSTAND BALANCE MOTOR CONTROL MECHANISMS”, 2021.</w:t>
      </w:r>
    </w:p>
    <w:p w14:paraId="12429EBC">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[9]</w:t>
      </w:r>
      <w:r>
        <w:rPr>
          <w:rFonts w:hint="default" w:cs="Times New Roman"/>
          <w:color w:val="auto"/>
          <w:sz w:val="23"/>
          <w:szCs w:val="23"/>
          <w:lang w:val="pt-BR"/>
        </w:rPr>
        <w:tab/>
        <w:t xml:space="preserve">J. Rohleder e T. Vogt, “EFFICACY OF WRIST STRATEGY COACHING ON HANDSTAND PERFORMANCES IN NOVICES: INVERTING EXPLICIT AND IMPLICIT LEARNING OF SKILL-RELATED MOTOR TASKS”, </w:t>
      </w:r>
      <w:r>
        <w:rPr>
          <w:rFonts w:hint="default" w:cs="Times New Roman"/>
          <w:i/>
          <w:color w:val="auto"/>
          <w:sz w:val="23"/>
          <w:szCs w:val="23"/>
          <w:lang w:val="pt-BR"/>
        </w:rPr>
        <w:t>Sci. Gymnast. J.</w:t>
      </w:r>
      <w:r>
        <w:rPr>
          <w:rFonts w:hint="default" w:cs="Times New Roman"/>
          <w:color w:val="auto"/>
          <w:sz w:val="23"/>
          <w:szCs w:val="23"/>
          <w:lang w:val="pt-BR"/>
        </w:rPr>
        <w:t>, v. 11, n. 2, p. 209–222, jun. 2019, doi: 10.52165/sgj.11.2.209-222.</w:t>
      </w:r>
    </w:p>
    <w:p w14:paraId="7E478488">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[10]</w:t>
      </w:r>
      <w:r>
        <w:rPr>
          <w:rFonts w:hint="default" w:cs="Times New Roman"/>
          <w:color w:val="auto"/>
          <w:sz w:val="23"/>
          <w:szCs w:val="23"/>
          <w:lang w:val="pt-BR"/>
        </w:rPr>
        <w:tab/>
        <w:t xml:space="preserve">A. Kochanowicz, B. Niespodziński, M. Marina, J. Mieszkowski, L. Biskup, e K. Kochanowicz, “Relationship between postural control and muscle activity during a handstand in young and adult gymnasts”, </w:t>
      </w:r>
      <w:r>
        <w:rPr>
          <w:rFonts w:hint="default" w:cs="Times New Roman"/>
          <w:i/>
          <w:color w:val="auto"/>
          <w:sz w:val="23"/>
          <w:szCs w:val="23"/>
          <w:lang w:val="pt-BR"/>
        </w:rPr>
        <w:t>Hum. Mov. Sci.</w:t>
      </w:r>
      <w:r>
        <w:rPr>
          <w:rFonts w:hint="default" w:cs="Times New Roman"/>
          <w:color w:val="auto"/>
          <w:sz w:val="23"/>
          <w:szCs w:val="23"/>
          <w:lang w:val="pt-BR"/>
        </w:rPr>
        <w:t>, v. 58, p. 195–204, abr. 2018, doi: 10.1016/j.humov.2018.02.007.</w:t>
      </w:r>
    </w:p>
    <w:p w14:paraId="1E566239">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[11]</w:t>
      </w:r>
      <w:r>
        <w:rPr>
          <w:rFonts w:hint="default" w:cs="Times New Roman"/>
          <w:color w:val="auto"/>
          <w:sz w:val="23"/>
          <w:szCs w:val="23"/>
          <w:lang w:val="pt-BR"/>
        </w:rPr>
        <w:tab/>
        <w:t>P. Hedbávný, J. Sklenaříková, D. Hupka, e M. Kalichová, “BALANCING IN HANDSTAND ON THE FLOOR”, v. 5, n. 3.</w:t>
      </w:r>
    </w:p>
    <w:p w14:paraId="5FEE3AA6">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[12]</w:t>
      </w:r>
      <w:r>
        <w:rPr>
          <w:rFonts w:hint="default" w:cs="Times New Roman"/>
          <w:color w:val="auto"/>
          <w:sz w:val="23"/>
          <w:szCs w:val="23"/>
          <w:lang w:val="pt-BR"/>
        </w:rPr>
        <w:tab/>
        <w:t xml:space="preserve">“Analyzing optimal muscle dynamics during handstands: a comprehensive investigation of skilled gymnasts”, </w:t>
      </w:r>
      <w:r>
        <w:rPr>
          <w:rFonts w:hint="default" w:cs="Times New Roman"/>
          <w:i/>
          <w:color w:val="auto"/>
          <w:sz w:val="23"/>
          <w:szCs w:val="23"/>
          <w:lang w:val="pt-BR"/>
        </w:rPr>
        <w:t>J. Phys. Educ. Sport</w:t>
      </w:r>
      <w:r>
        <w:rPr>
          <w:rFonts w:hint="default" w:cs="Times New Roman"/>
          <w:color w:val="auto"/>
          <w:sz w:val="23"/>
          <w:szCs w:val="23"/>
          <w:lang w:val="pt-BR"/>
        </w:rPr>
        <w:t>, v. 24, n. 4.</w:t>
      </w:r>
    </w:p>
    <w:p w14:paraId="432AB24D">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[13]</w:t>
      </w:r>
      <w:r>
        <w:rPr>
          <w:rFonts w:hint="default" w:cs="Times New Roman"/>
          <w:color w:val="auto"/>
          <w:sz w:val="23"/>
          <w:szCs w:val="23"/>
          <w:lang w:val="pt-BR"/>
        </w:rPr>
        <w:tab/>
        <w:t xml:space="preserve">P. S. B. Belčič, “Kinematic Analysis of handstands in gymnastics”, </w:t>
      </w:r>
      <w:r>
        <w:rPr>
          <w:rFonts w:hint="default" w:cs="Times New Roman"/>
          <w:i/>
          <w:color w:val="auto"/>
          <w:sz w:val="23"/>
          <w:szCs w:val="23"/>
          <w:lang w:val="pt-BR"/>
        </w:rPr>
        <w:t>Science of Gymnastics Journal</w:t>
      </w:r>
      <w:r>
        <w:rPr>
          <w:rFonts w:hint="default" w:cs="Times New Roman"/>
          <w:color w:val="auto"/>
          <w:sz w:val="23"/>
          <w:szCs w:val="23"/>
          <w:lang w:val="pt-BR"/>
        </w:rPr>
        <w:t>, v. 7, p. 19–30, 2015.</w:t>
      </w:r>
    </w:p>
    <w:p w14:paraId="6DA62A95">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[14]</w:t>
      </w:r>
      <w:r>
        <w:rPr>
          <w:rFonts w:hint="default" w:cs="Times New Roman"/>
          <w:color w:val="auto"/>
          <w:sz w:val="23"/>
          <w:szCs w:val="23"/>
          <w:lang w:val="pt-BR"/>
        </w:rPr>
        <w:tab/>
        <w:t xml:space="preserve">C. Eyssartier, P. Billard, P. Thoreux, e C. Sauret, “Spine Kinematics Behavior During the Handstand Posture: A Biplanar Radiographic Analysis”, </w:t>
      </w:r>
      <w:r>
        <w:rPr>
          <w:rFonts w:hint="default" w:cs="Times New Roman"/>
          <w:i/>
          <w:color w:val="auto"/>
          <w:sz w:val="23"/>
          <w:szCs w:val="23"/>
          <w:lang w:val="pt-BR"/>
        </w:rPr>
        <w:t>J. Funct. Morphol. Kinesiol.</w:t>
      </w:r>
      <w:r>
        <w:rPr>
          <w:rFonts w:hint="default" w:cs="Times New Roman"/>
          <w:color w:val="auto"/>
          <w:sz w:val="23"/>
          <w:szCs w:val="23"/>
          <w:lang w:val="pt-BR"/>
        </w:rPr>
        <w:t>, v. 9, n. 4, p. 252, dez. 2024, doi: 10.3390/jfmk9040252.</w:t>
      </w:r>
    </w:p>
    <w:p w14:paraId="7295EE98">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[15]</w:t>
      </w:r>
      <w:r>
        <w:rPr>
          <w:rFonts w:hint="default" w:cs="Times New Roman"/>
          <w:color w:val="auto"/>
          <w:sz w:val="23"/>
          <w:szCs w:val="23"/>
          <w:lang w:val="pt-BR"/>
        </w:rPr>
        <w:tab/>
        <w:t xml:space="preserve">M. McDonald, J. S. Baker, Y. Gu, e U. C. Ugbolue, “Biomechanical analyses of the handstand: a systematic review”, </w:t>
      </w:r>
      <w:r>
        <w:rPr>
          <w:rFonts w:hint="default" w:cs="Times New Roman"/>
          <w:i/>
          <w:color w:val="auto"/>
          <w:sz w:val="23"/>
          <w:szCs w:val="23"/>
          <w:lang w:val="pt-BR"/>
        </w:rPr>
        <w:t>Front. Sports Act. Living</w:t>
      </w:r>
      <w:r>
        <w:rPr>
          <w:rFonts w:hint="default" w:cs="Times New Roman"/>
          <w:color w:val="auto"/>
          <w:sz w:val="23"/>
          <w:szCs w:val="23"/>
          <w:lang w:val="pt-BR"/>
        </w:rPr>
        <w:t>, v. 7, p. 1694648, dez. 2025, doi: 10.3389/fspor.2025.1694648.</w:t>
      </w:r>
    </w:p>
    <w:p w14:paraId="4537D2FE">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[16]</w:t>
      </w:r>
      <w:r>
        <w:rPr>
          <w:rFonts w:hint="default" w:cs="Times New Roman"/>
          <w:color w:val="auto"/>
          <w:sz w:val="23"/>
          <w:szCs w:val="23"/>
          <w:lang w:val="pt-BR"/>
        </w:rPr>
        <w:tab/>
        <w:t xml:space="preserve">D. Milosis e T. Satras, “THE EFFECTIVENESS OF DIFFERENT HANDSTAND PLACEMENT TECHNIQUES IN HANDSTAND BALANCE CONTROL AND GENDER DIFFERENCESDSTAND BALANCE CONTROL AND GENDER DIFFERENCES”, </w:t>
      </w:r>
      <w:r>
        <w:rPr>
          <w:rFonts w:hint="default" w:cs="Times New Roman"/>
          <w:i/>
          <w:color w:val="auto"/>
          <w:sz w:val="23"/>
          <w:szCs w:val="23"/>
          <w:lang w:val="pt-BR"/>
        </w:rPr>
        <w:t>Sci. Gymnast. J.</w:t>
      </w:r>
      <w:r>
        <w:rPr>
          <w:rFonts w:hint="default" w:cs="Times New Roman"/>
          <w:color w:val="auto"/>
          <w:sz w:val="23"/>
          <w:szCs w:val="23"/>
          <w:lang w:val="pt-BR"/>
        </w:rPr>
        <w:t>, v. 15, n. 3, p. 375–394, out. 2023, doi: 10.52165/sgj.15.3.375-394.</w:t>
      </w:r>
    </w:p>
    <w:p w14:paraId="0708A154">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[17]</w:t>
      </w:r>
      <w:r>
        <w:rPr>
          <w:rFonts w:hint="default" w:cs="Times New Roman"/>
          <w:color w:val="auto"/>
          <w:sz w:val="23"/>
          <w:szCs w:val="23"/>
          <w:lang w:val="pt-BR"/>
        </w:rPr>
        <w:tab/>
        <w:t xml:space="preserve">R. Farana, P. Brtva, G. Irwin, e K. M. Newell, “Neck Angle in the Handstand Changes the Pattern of Multi-Joint Variability”, </w:t>
      </w:r>
      <w:r>
        <w:rPr>
          <w:rFonts w:hint="default" w:cs="Times New Roman"/>
          <w:i/>
          <w:color w:val="auto"/>
          <w:sz w:val="23"/>
          <w:szCs w:val="23"/>
          <w:lang w:val="pt-BR"/>
        </w:rPr>
        <w:t>J. Mot. Behav.</w:t>
      </w:r>
      <w:r>
        <w:rPr>
          <w:rFonts w:hint="default" w:cs="Times New Roman"/>
          <w:color w:val="auto"/>
          <w:sz w:val="23"/>
          <w:szCs w:val="23"/>
          <w:lang w:val="pt-BR"/>
        </w:rPr>
        <w:t>, v. 57, n. 6, p. 768–776, nov. 2025, doi: 10.1080/00222895.2025.2558711.</w:t>
      </w:r>
    </w:p>
    <w:p w14:paraId="32763547">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[18]</w:t>
      </w:r>
      <w:r>
        <w:rPr>
          <w:rFonts w:hint="default" w:cs="Times New Roman"/>
          <w:color w:val="auto"/>
          <w:sz w:val="23"/>
          <w:szCs w:val="23"/>
          <w:lang w:val="pt-BR"/>
        </w:rPr>
        <w:tab/>
        <w:t xml:space="preserve">E. Thomas </w:t>
      </w:r>
      <w:r>
        <w:rPr>
          <w:rFonts w:hint="default" w:cs="Times New Roman"/>
          <w:i/>
          <w:color w:val="auto"/>
          <w:sz w:val="23"/>
          <w:szCs w:val="23"/>
          <w:lang w:val="pt-BR"/>
        </w:rPr>
        <w:t>et al.</w:t>
      </w:r>
      <w:r>
        <w:rPr>
          <w:rFonts w:hint="default" w:cs="Times New Roman"/>
          <w:color w:val="auto"/>
          <w:sz w:val="23"/>
          <w:szCs w:val="23"/>
          <w:lang w:val="pt-BR"/>
        </w:rPr>
        <w:t xml:space="preserve">, “Evaluation of Posturographic and Neuromuscular Parameters during Upright Stance and Hand Standing: A Pilot Study”, </w:t>
      </w:r>
      <w:r>
        <w:rPr>
          <w:rFonts w:hint="default" w:cs="Times New Roman"/>
          <w:i/>
          <w:color w:val="auto"/>
          <w:sz w:val="23"/>
          <w:szCs w:val="23"/>
          <w:lang w:val="pt-BR"/>
        </w:rPr>
        <w:t>J. Funct. Morphol. Kinesiol.</w:t>
      </w:r>
      <w:r>
        <w:rPr>
          <w:rFonts w:hint="default" w:cs="Times New Roman"/>
          <w:color w:val="auto"/>
          <w:sz w:val="23"/>
          <w:szCs w:val="23"/>
          <w:lang w:val="pt-BR"/>
        </w:rPr>
        <w:t>, v. 8, n. 2, p. 40, mar. 2023, doi: 10.3390/jfmk8020040.</w:t>
      </w:r>
    </w:p>
    <w:p w14:paraId="212D9055">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[19]</w:t>
      </w:r>
      <w:r>
        <w:rPr>
          <w:rFonts w:hint="default" w:cs="Times New Roman"/>
          <w:color w:val="auto"/>
          <w:sz w:val="23"/>
          <w:szCs w:val="23"/>
          <w:lang w:val="pt-BR"/>
        </w:rPr>
        <w:tab/>
        <w:t xml:space="preserve">R. Sabido, F. García-Aguilar, C. Caballero, e F. J. Moreno, “How does fatigue affect handstand balance? a non-linear approach to study fatigue influence in handstand performance”, </w:t>
      </w:r>
      <w:r>
        <w:rPr>
          <w:rFonts w:hint="default" w:cs="Times New Roman"/>
          <w:i/>
          <w:color w:val="auto"/>
          <w:sz w:val="23"/>
          <w:szCs w:val="23"/>
          <w:lang w:val="pt-BR"/>
        </w:rPr>
        <w:t>J. NeuroEngineering Rehabil.</w:t>
      </w:r>
      <w:r>
        <w:rPr>
          <w:rFonts w:hint="default" w:cs="Times New Roman"/>
          <w:color w:val="auto"/>
          <w:sz w:val="23"/>
          <w:szCs w:val="23"/>
          <w:lang w:val="pt-BR"/>
        </w:rPr>
        <w:t>, v. 21, n. 1, p. 171, set. 2024, doi: 10.1186/s12984-024-01442-6.</w:t>
      </w:r>
    </w:p>
    <w:p w14:paraId="546E6FAB">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[20]</w:t>
      </w:r>
      <w:r>
        <w:rPr>
          <w:rFonts w:hint="default" w:cs="Times New Roman"/>
          <w:color w:val="auto"/>
          <w:sz w:val="23"/>
          <w:szCs w:val="23"/>
          <w:lang w:val="pt-BR"/>
        </w:rPr>
        <w:tab/>
        <w:t xml:space="preserve">J. Omorczyk, A. Zajac, e E. Puszczalowska-Lizis, “Relationships between postural stability in standing and handstand and psychological factors in athletes practicing artistic gymnastics”, </w:t>
      </w:r>
      <w:r>
        <w:rPr>
          <w:rFonts w:hint="default" w:cs="Times New Roman"/>
          <w:i/>
          <w:color w:val="auto"/>
          <w:sz w:val="23"/>
          <w:szCs w:val="23"/>
          <w:lang w:val="pt-BR"/>
        </w:rPr>
        <w:t>Balt. J. Health Phys. Act.</w:t>
      </w:r>
      <w:r>
        <w:rPr>
          <w:rFonts w:hint="default" w:cs="Times New Roman"/>
          <w:color w:val="auto"/>
          <w:sz w:val="23"/>
          <w:szCs w:val="23"/>
          <w:lang w:val="pt-BR"/>
        </w:rPr>
        <w:t>, p. 96–106, dez. 2019, doi: 10.29359/BJHPA.11.4.11.</w:t>
      </w:r>
    </w:p>
    <w:p w14:paraId="58D92591">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[21]</w:t>
      </w:r>
      <w:r>
        <w:rPr>
          <w:rFonts w:hint="default" w:cs="Times New Roman"/>
          <w:color w:val="auto"/>
          <w:sz w:val="23"/>
          <w:szCs w:val="23"/>
          <w:lang w:val="pt-BR"/>
        </w:rPr>
        <w:tab/>
        <w:t xml:space="preserve">J. Omorczyk, P. Bujas, E. Puszczałowska-Lizis, e L. Biskup, “Balance in handstand and postural stability in standing position in athletes practicing gymnastics”, </w:t>
      </w:r>
      <w:r>
        <w:rPr>
          <w:rFonts w:hint="default" w:cs="Times New Roman"/>
          <w:i/>
          <w:color w:val="auto"/>
          <w:sz w:val="23"/>
          <w:szCs w:val="23"/>
          <w:lang w:val="pt-BR"/>
        </w:rPr>
        <w:t>Acta Bioeng. Biomech. 022018 ISSN 1509-409X</w:t>
      </w:r>
      <w:r>
        <w:rPr>
          <w:rFonts w:hint="default" w:cs="Times New Roman"/>
          <w:color w:val="auto"/>
          <w:sz w:val="23"/>
          <w:szCs w:val="23"/>
          <w:lang w:val="pt-BR"/>
        </w:rPr>
        <w:t>, 2018, doi: 10.5277/ABB-01110-2018-02.</w:t>
      </w:r>
    </w:p>
    <w:p w14:paraId="3BE71F72">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[22]</w:t>
      </w:r>
      <w:r>
        <w:rPr>
          <w:rFonts w:hint="default" w:cs="Times New Roman"/>
          <w:color w:val="auto"/>
          <w:sz w:val="23"/>
          <w:szCs w:val="23"/>
          <w:lang w:val="pt-BR"/>
        </w:rPr>
        <w:tab/>
        <w:t xml:space="preserve">A. Kochanowicz, K. Kochanowicz, B. Niespodzinski, J. Mieszkowski, e L. Biskup, “The level of body balance in a handstand and the effectiveness of sports training in gymnastics”, </w:t>
      </w:r>
      <w:r>
        <w:rPr>
          <w:rFonts w:hint="default" w:cs="Times New Roman"/>
          <w:i/>
          <w:color w:val="auto"/>
          <w:sz w:val="23"/>
          <w:szCs w:val="23"/>
          <w:lang w:val="pt-BR"/>
        </w:rPr>
        <w:t>Balt. J. Health Phys. Act.</w:t>
      </w:r>
      <w:r>
        <w:rPr>
          <w:rFonts w:hint="default" w:cs="Times New Roman"/>
          <w:color w:val="auto"/>
          <w:sz w:val="23"/>
          <w:szCs w:val="23"/>
          <w:lang w:val="pt-BR"/>
        </w:rPr>
        <w:t>, v. 7, n. 4, p. 117–124, dez. 2015, doi: 10.29359/BJHPA.07.4.11.</w:t>
      </w:r>
    </w:p>
    <w:p w14:paraId="1E93246B">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[23]</w:t>
      </w:r>
      <w:r>
        <w:rPr>
          <w:rFonts w:hint="default" w:cs="Times New Roman"/>
          <w:color w:val="auto"/>
          <w:sz w:val="23"/>
          <w:szCs w:val="23"/>
          <w:lang w:val="pt-BR"/>
        </w:rPr>
        <w:tab/>
        <w:t xml:space="preserve">M. Grabowiecki, L. Rum, L. Laudani, e G. Vannozzi, “Biomechanical characteristics of handstand walking initiation”, </w:t>
      </w:r>
      <w:r>
        <w:rPr>
          <w:rFonts w:hint="default" w:cs="Times New Roman"/>
          <w:i/>
          <w:color w:val="auto"/>
          <w:sz w:val="23"/>
          <w:szCs w:val="23"/>
          <w:lang w:val="pt-BR"/>
        </w:rPr>
        <w:t>Gait Posture</w:t>
      </w:r>
      <w:r>
        <w:rPr>
          <w:rFonts w:hint="default" w:cs="Times New Roman"/>
          <w:color w:val="auto"/>
          <w:sz w:val="23"/>
          <w:szCs w:val="23"/>
          <w:lang w:val="pt-BR"/>
        </w:rPr>
        <w:t>, v. 86, p. 311–318, maio 2021, doi: 10.1016/j.gaitpost.2021.03.036.</w:t>
      </w:r>
    </w:p>
    <w:p w14:paraId="19910DDA">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[24]</w:t>
      </w:r>
      <w:r>
        <w:rPr>
          <w:rFonts w:hint="default" w:cs="Times New Roman"/>
          <w:color w:val="auto"/>
          <w:sz w:val="23"/>
          <w:szCs w:val="23"/>
          <w:lang w:val="pt-BR"/>
        </w:rPr>
        <w:tab/>
        <w:t xml:space="preserve">M. Grabowiecki, L. Rum, L. Laudani, e G. Vannozzi, “Effects of an external load on anticipatory mechanisms of handstand walking initiation in experienced gymnasts”, </w:t>
      </w:r>
      <w:r>
        <w:rPr>
          <w:rFonts w:hint="default" w:cs="Times New Roman"/>
          <w:i/>
          <w:color w:val="auto"/>
          <w:sz w:val="23"/>
          <w:szCs w:val="23"/>
          <w:lang w:val="pt-BR"/>
        </w:rPr>
        <w:t>J. Sports Sci.</w:t>
      </w:r>
      <w:r>
        <w:rPr>
          <w:rFonts w:hint="default" w:cs="Times New Roman"/>
          <w:color w:val="auto"/>
          <w:sz w:val="23"/>
          <w:szCs w:val="23"/>
          <w:lang w:val="pt-BR"/>
        </w:rPr>
        <w:t>, v. 43, n. 4, p. 370–380, fev. 2025, doi: 10.1080/02640414.2025.2458995.</w:t>
      </w:r>
    </w:p>
    <w:p w14:paraId="01C7F2FB">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[25]</w:t>
      </w:r>
      <w:r>
        <w:rPr>
          <w:rFonts w:hint="default" w:cs="Times New Roman"/>
          <w:color w:val="auto"/>
          <w:sz w:val="23"/>
          <w:szCs w:val="23"/>
          <w:lang w:val="pt-BR"/>
        </w:rPr>
        <w:tab/>
        <w:t>G. M. Earhart e C. Mosiman, “COORDINATION OF HANDWALKING IN GYMNASTS: A COMPARISON TO BIPEDAL WALKING”, v. 2, n. 2.</w:t>
      </w:r>
    </w:p>
    <w:p w14:paraId="2C270CEE">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[26]</w:t>
      </w:r>
      <w:r>
        <w:rPr>
          <w:rFonts w:hint="default" w:cs="Times New Roman"/>
          <w:color w:val="auto"/>
          <w:sz w:val="23"/>
          <w:szCs w:val="23"/>
          <w:lang w:val="pt-BR"/>
        </w:rPr>
        <w:tab/>
        <w:t xml:space="preserve">N. F. A. Ambrósio, G. M. Lage, L. E. A. Bicalho, C. R. Couto, I. M. S. Aleixo, e T. Apolinario-Souza, “THE RELATIONSHIP BETWEEN STRENGTH CAPACITY AND MOTOR PERFORMANCE IN THE GYMNASTIC HANDSTAND: A MACHINE LEARNING STUDY”, </w:t>
      </w:r>
      <w:r>
        <w:rPr>
          <w:rFonts w:hint="default" w:cs="Times New Roman"/>
          <w:i/>
          <w:color w:val="auto"/>
          <w:sz w:val="23"/>
          <w:szCs w:val="23"/>
          <w:lang w:val="pt-BR"/>
        </w:rPr>
        <w:t>Sci. Gymnast. J.</w:t>
      </w:r>
      <w:r>
        <w:rPr>
          <w:rFonts w:hint="default" w:cs="Times New Roman"/>
          <w:color w:val="auto"/>
          <w:sz w:val="23"/>
          <w:szCs w:val="23"/>
          <w:lang w:val="pt-BR"/>
        </w:rPr>
        <w:t>, v. 16, n. 2, p. 211–223, jun. 2024, doi: 10.52165/sgj.16.2.211-223.</w:t>
      </w:r>
    </w:p>
    <w:p w14:paraId="6B468B99">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[27]</w:t>
      </w:r>
      <w:r>
        <w:rPr>
          <w:rFonts w:hint="default" w:cs="Times New Roman"/>
          <w:color w:val="auto"/>
          <w:sz w:val="23"/>
          <w:szCs w:val="23"/>
          <w:lang w:val="pt-BR"/>
        </w:rPr>
        <w:tab/>
        <w:t>P. Hedbávný, G. Bago, e M. Kalichová, “Influence of Strength Abilities on Quality of the Handstand”, v. 7, n. 10, 2013.</w:t>
      </w:r>
    </w:p>
    <w:p w14:paraId="2F53543A">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[28]</w:t>
      </w:r>
      <w:r>
        <w:rPr>
          <w:rFonts w:hint="default" w:cs="Times New Roman"/>
          <w:color w:val="auto"/>
          <w:sz w:val="23"/>
          <w:szCs w:val="23"/>
          <w:lang w:val="pt-BR"/>
        </w:rPr>
        <w:tab/>
        <w:t xml:space="preserve">M. Jemni, Org., </w:t>
      </w:r>
      <w:r>
        <w:rPr>
          <w:rFonts w:hint="default" w:cs="Times New Roman"/>
          <w:i/>
          <w:color w:val="auto"/>
          <w:sz w:val="23"/>
          <w:szCs w:val="23"/>
          <w:lang w:val="pt-BR"/>
        </w:rPr>
        <w:t>The Science of Gymnastics: Advanced Concepts</w:t>
      </w:r>
      <w:r>
        <w:rPr>
          <w:rFonts w:hint="default" w:cs="Times New Roman"/>
          <w:color w:val="auto"/>
          <w:sz w:val="23"/>
          <w:szCs w:val="23"/>
          <w:lang w:val="pt-BR"/>
        </w:rPr>
        <w:t>, 2</w:t>
      </w:r>
      <w:r>
        <w:rPr>
          <w:rFonts w:hint="default" w:cs="Times New Roman"/>
          <w:color w:val="auto"/>
          <w:sz w:val="23"/>
          <w:szCs w:val="23"/>
          <w:vertAlign w:val="superscript"/>
          <w:lang w:val="pt-BR"/>
        </w:rPr>
        <w:t>o</w:t>
      </w:r>
      <w:r>
        <w:rPr>
          <w:rFonts w:hint="default" w:cs="Times New Roman"/>
          <w:color w:val="auto"/>
          <w:sz w:val="23"/>
          <w:szCs w:val="23"/>
          <w:lang w:val="pt-BR"/>
        </w:rPr>
        <w:t xml:space="preserve"> ed. Routledge, 2017. doi: 10.4324/9781315203805.</w:t>
      </w:r>
    </w:p>
    <w:p w14:paraId="7187EB85">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[29]</w:t>
      </w:r>
      <w:r>
        <w:rPr>
          <w:rFonts w:hint="default" w:cs="Times New Roman"/>
          <w:color w:val="auto"/>
          <w:sz w:val="23"/>
          <w:szCs w:val="23"/>
          <w:lang w:val="pt-BR"/>
        </w:rPr>
        <w:tab/>
        <w:t xml:space="preserve">D. A. Winter, </w:t>
      </w:r>
      <w:r>
        <w:rPr>
          <w:rFonts w:hint="default" w:cs="Times New Roman"/>
          <w:i/>
          <w:color w:val="auto"/>
          <w:sz w:val="23"/>
          <w:szCs w:val="23"/>
          <w:lang w:val="pt-BR"/>
        </w:rPr>
        <w:t>Biomechanics and motor control of human movement</w:t>
      </w:r>
      <w:r>
        <w:rPr>
          <w:rFonts w:hint="default" w:cs="Times New Roman"/>
          <w:color w:val="auto"/>
          <w:sz w:val="23"/>
          <w:szCs w:val="23"/>
          <w:lang w:val="pt-BR"/>
        </w:rPr>
        <w:t>, 4th ed. Hoboken, N.J: Wiley, 2009.</w:t>
      </w:r>
    </w:p>
    <w:p w14:paraId="6ED59BB7">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[30]</w:t>
      </w:r>
      <w:r>
        <w:rPr>
          <w:rFonts w:hint="default" w:cs="Times New Roman"/>
          <w:color w:val="auto"/>
          <w:sz w:val="23"/>
          <w:szCs w:val="23"/>
          <w:lang w:val="pt-BR"/>
        </w:rPr>
        <w:tab/>
        <w:t xml:space="preserve">S. M. Slobounov e K. M. Newell, “Postural Dynamics in Upright and Inverted Stances”, </w:t>
      </w:r>
      <w:r>
        <w:rPr>
          <w:rFonts w:hint="default" w:cs="Times New Roman"/>
          <w:i/>
          <w:color w:val="auto"/>
          <w:sz w:val="23"/>
          <w:szCs w:val="23"/>
          <w:lang w:val="pt-BR"/>
        </w:rPr>
        <w:t>J. Appl. Biomech.</w:t>
      </w:r>
      <w:r>
        <w:rPr>
          <w:rFonts w:hint="default" w:cs="Times New Roman"/>
          <w:color w:val="auto"/>
          <w:sz w:val="23"/>
          <w:szCs w:val="23"/>
          <w:lang w:val="pt-BR"/>
        </w:rPr>
        <w:t>, v. 12, n. 2, p. 185–196, maio 1996, doi: 10.1123/jab.12.2.185.</w:t>
      </w:r>
    </w:p>
    <w:p w14:paraId="12082A08">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[31]</w:t>
      </w:r>
      <w:r>
        <w:rPr>
          <w:rFonts w:hint="default" w:cs="Times New Roman"/>
          <w:color w:val="auto"/>
          <w:sz w:val="23"/>
          <w:szCs w:val="23"/>
          <w:lang w:val="pt-BR"/>
        </w:rPr>
        <w:tab/>
        <w:t xml:space="preserve">G. Gautier, R. Thouvarecq, e D. Chollet, “Visual and postural control of an arbitrary posture: The handstand”, </w:t>
      </w:r>
      <w:r>
        <w:rPr>
          <w:rFonts w:hint="default" w:cs="Times New Roman"/>
          <w:i/>
          <w:color w:val="auto"/>
          <w:sz w:val="23"/>
          <w:szCs w:val="23"/>
          <w:lang w:val="pt-BR"/>
        </w:rPr>
        <w:t>J. Sports Sci.</w:t>
      </w:r>
      <w:r>
        <w:rPr>
          <w:rFonts w:hint="default" w:cs="Times New Roman"/>
          <w:color w:val="auto"/>
          <w:sz w:val="23"/>
          <w:szCs w:val="23"/>
          <w:lang w:val="pt-BR"/>
        </w:rPr>
        <w:t>, v. 25, n. 11, p. 1271–1278, set. 2007, doi: 10.1080/02640410601049144.</w:t>
      </w:r>
    </w:p>
    <w:p w14:paraId="13340142">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[32]</w:t>
      </w:r>
      <w:r>
        <w:rPr>
          <w:rFonts w:hint="default" w:cs="Times New Roman"/>
          <w:color w:val="auto"/>
          <w:sz w:val="23"/>
          <w:szCs w:val="23"/>
          <w:lang w:val="pt-BR"/>
        </w:rPr>
        <w:tab/>
        <w:t xml:space="preserve">W.-L. Hsu, J. P. Scholz, G. Schöner, J. J. Jeka, e T. Kiemel, “Control and Estimation of Posture During Quiet Stance Depends on Multijoint Coordination”, </w:t>
      </w:r>
      <w:r>
        <w:rPr>
          <w:rFonts w:hint="default" w:cs="Times New Roman"/>
          <w:i/>
          <w:color w:val="auto"/>
          <w:sz w:val="23"/>
          <w:szCs w:val="23"/>
          <w:lang w:val="pt-BR"/>
        </w:rPr>
        <w:t>J. Neurophysiol.</w:t>
      </w:r>
      <w:r>
        <w:rPr>
          <w:rFonts w:hint="default" w:cs="Times New Roman"/>
          <w:color w:val="auto"/>
          <w:sz w:val="23"/>
          <w:szCs w:val="23"/>
          <w:lang w:val="pt-BR"/>
        </w:rPr>
        <w:t>, v. 97, n. 4, p. 3024–3035, abr. 2007, doi: 10.1152/jn.01142.2006.</w:t>
      </w:r>
    </w:p>
    <w:p w14:paraId="199937F6">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[33]</w:t>
      </w:r>
      <w:r>
        <w:rPr>
          <w:rFonts w:hint="default" w:cs="Times New Roman"/>
          <w:color w:val="auto"/>
          <w:sz w:val="23"/>
          <w:szCs w:val="23"/>
          <w:lang w:val="pt-BR"/>
        </w:rPr>
        <w:tab/>
        <w:t xml:space="preserve">M. C. Kilby, P. C. M. Molenaar, e K. M. Newell, “Models of Postural Control: Shared Variance in Joint and COM Motions”, </w:t>
      </w:r>
      <w:r>
        <w:rPr>
          <w:rFonts w:hint="default" w:cs="Times New Roman"/>
          <w:i/>
          <w:color w:val="auto"/>
          <w:sz w:val="23"/>
          <w:szCs w:val="23"/>
          <w:lang w:val="pt-BR"/>
        </w:rPr>
        <w:t>PLOS ONE</w:t>
      </w:r>
      <w:r>
        <w:rPr>
          <w:rFonts w:hint="default" w:cs="Times New Roman"/>
          <w:color w:val="auto"/>
          <w:sz w:val="23"/>
          <w:szCs w:val="23"/>
          <w:lang w:val="pt-BR"/>
        </w:rPr>
        <w:t>, v. 10, n. 5, p. e0126379, maio 2015, doi: 10.1371/journal.pone.0126379.</w:t>
      </w:r>
    </w:p>
    <w:p w14:paraId="1356E2CE">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[34]</w:t>
      </w:r>
      <w:r>
        <w:rPr>
          <w:rFonts w:hint="default" w:cs="Times New Roman"/>
          <w:color w:val="auto"/>
          <w:sz w:val="23"/>
          <w:szCs w:val="23"/>
          <w:lang w:val="pt-BR"/>
        </w:rPr>
        <w:tab/>
        <w:t xml:space="preserve">W. H. Gage, D. A. Winter, J. S. Frank, e A. L. Adkin, “Kinematic and kinetic validity of the inverted pendulum model in quiet standing”, </w:t>
      </w:r>
      <w:r>
        <w:rPr>
          <w:rFonts w:hint="default" w:cs="Times New Roman"/>
          <w:i/>
          <w:color w:val="auto"/>
          <w:sz w:val="23"/>
          <w:szCs w:val="23"/>
          <w:lang w:val="pt-BR"/>
        </w:rPr>
        <w:t>Gait Posture</w:t>
      </w:r>
      <w:r>
        <w:rPr>
          <w:rFonts w:hint="default" w:cs="Times New Roman"/>
          <w:color w:val="auto"/>
          <w:sz w:val="23"/>
          <w:szCs w:val="23"/>
          <w:lang w:val="pt-BR"/>
        </w:rPr>
        <w:t>, v. 19, n. 2, p. 124–132, abr. 2004, doi: 10.1016/S0966-6362(03)00037-7.</w:t>
      </w:r>
    </w:p>
    <w:p w14:paraId="1D3830BE">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[35]</w:t>
      </w:r>
      <w:r>
        <w:rPr>
          <w:rFonts w:hint="default" w:cs="Times New Roman"/>
          <w:color w:val="auto"/>
          <w:sz w:val="23"/>
          <w:szCs w:val="23"/>
          <w:lang w:val="pt-BR"/>
        </w:rPr>
        <w:tab/>
        <w:t xml:space="preserve">D. Winter, “Human balance and posture control during standing and walking”, </w:t>
      </w:r>
      <w:r>
        <w:rPr>
          <w:rFonts w:hint="default" w:cs="Times New Roman"/>
          <w:i/>
          <w:color w:val="auto"/>
          <w:sz w:val="23"/>
          <w:szCs w:val="23"/>
          <w:lang w:val="pt-BR"/>
        </w:rPr>
        <w:t>Gait Posture</w:t>
      </w:r>
      <w:r>
        <w:rPr>
          <w:rFonts w:hint="default" w:cs="Times New Roman"/>
          <w:color w:val="auto"/>
          <w:sz w:val="23"/>
          <w:szCs w:val="23"/>
          <w:lang w:val="pt-BR"/>
        </w:rPr>
        <w:t>, v. 3, n. 4, p. 193–214, dez. 1995, doi: 10.1016/0966-6362(96)82849-9.</w:t>
      </w:r>
    </w:p>
    <w:p w14:paraId="5D63113C">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[36]</w:t>
      </w:r>
      <w:r>
        <w:rPr>
          <w:rFonts w:hint="default" w:cs="Times New Roman"/>
          <w:color w:val="auto"/>
          <w:sz w:val="23"/>
          <w:szCs w:val="23"/>
          <w:lang w:val="pt-BR"/>
        </w:rPr>
        <w:tab/>
        <w:t xml:space="preserve">D. Abrahamová e F. Hlavačka, “Age-related changes of human balance during quiet stance”, </w:t>
      </w:r>
      <w:r>
        <w:rPr>
          <w:rFonts w:hint="default" w:cs="Times New Roman"/>
          <w:i/>
          <w:color w:val="auto"/>
          <w:sz w:val="23"/>
          <w:szCs w:val="23"/>
          <w:lang w:val="pt-BR"/>
        </w:rPr>
        <w:t>Physiol. Res.</w:t>
      </w:r>
      <w:r>
        <w:rPr>
          <w:rFonts w:hint="default" w:cs="Times New Roman"/>
          <w:color w:val="auto"/>
          <w:sz w:val="23"/>
          <w:szCs w:val="23"/>
          <w:lang w:val="pt-BR"/>
        </w:rPr>
        <w:t>, p. 957–964, 2008, doi: 10.33549/physiolres.931238.</w:t>
      </w:r>
    </w:p>
    <w:p w14:paraId="6DC84F68">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[37]</w:t>
      </w:r>
      <w:r>
        <w:rPr>
          <w:rFonts w:hint="default" w:cs="Times New Roman"/>
          <w:color w:val="auto"/>
          <w:sz w:val="23"/>
          <w:szCs w:val="23"/>
          <w:lang w:val="pt-BR"/>
        </w:rPr>
        <w:tab/>
        <w:t xml:space="preserve">Y. Laufer, “Effect of Age on Characteristics of Forward and Backward Gait at Preferred and Accelerated Walking Speed”, </w:t>
      </w:r>
      <w:r>
        <w:rPr>
          <w:rFonts w:hint="default" w:cs="Times New Roman"/>
          <w:i/>
          <w:color w:val="auto"/>
          <w:sz w:val="23"/>
          <w:szCs w:val="23"/>
          <w:lang w:val="pt-BR"/>
        </w:rPr>
        <w:t>J. Gerontol. A. Biol. Sci. Med. Sci.</w:t>
      </w:r>
      <w:r>
        <w:rPr>
          <w:rFonts w:hint="default" w:cs="Times New Roman"/>
          <w:color w:val="auto"/>
          <w:sz w:val="23"/>
          <w:szCs w:val="23"/>
          <w:lang w:val="pt-BR"/>
        </w:rPr>
        <w:t>, v. 60, n. 5, p. 627–632, maio 2005, doi: 10.1093/gerona/60.5.627.</w:t>
      </w:r>
    </w:p>
    <w:p w14:paraId="2B870D1F">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[38]</w:t>
      </w:r>
      <w:r>
        <w:rPr>
          <w:rFonts w:hint="default" w:cs="Times New Roman"/>
          <w:color w:val="auto"/>
          <w:sz w:val="23"/>
          <w:szCs w:val="23"/>
          <w:lang w:val="pt-BR"/>
        </w:rPr>
        <w:tab/>
        <w:t xml:space="preserve">K. A. Ericsson, R. T. Krampe, e C. Tesch-Römer, “The role of deliberate practice in the acquisition of expert performance.”, </w:t>
      </w:r>
      <w:r>
        <w:rPr>
          <w:rFonts w:hint="default" w:cs="Times New Roman"/>
          <w:i/>
          <w:color w:val="auto"/>
          <w:sz w:val="23"/>
          <w:szCs w:val="23"/>
          <w:lang w:val="pt-BR"/>
        </w:rPr>
        <w:t>Psychol. Rev.</w:t>
      </w:r>
      <w:r>
        <w:rPr>
          <w:rFonts w:hint="default" w:cs="Times New Roman"/>
          <w:color w:val="auto"/>
          <w:sz w:val="23"/>
          <w:szCs w:val="23"/>
          <w:lang w:val="pt-BR"/>
        </w:rPr>
        <w:t>, v. 100, n. 3, p. 363–406, jul. 1993, doi: 10.1037/0033-295X.100.3.363.</w:t>
      </w:r>
    </w:p>
    <w:p w14:paraId="54C77C4C">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[39]</w:t>
      </w:r>
      <w:r>
        <w:rPr>
          <w:rFonts w:hint="default" w:cs="Times New Roman"/>
          <w:color w:val="auto"/>
          <w:sz w:val="23"/>
          <w:szCs w:val="23"/>
          <w:lang w:val="pt-BR"/>
        </w:rPr>
        <w:tab/>
        <w:t xml:space="preserve">R. D. Seidler </w:t>
      </w:r>
      <w:r>
        <w:rPr>
          <w:rFonts w:hint="default" w:cs="Times New Roman"/>
          <w:i/>
          <w:color w:val="auto"/>
          <w:sz w:val="23"/>
          <w:szCs w:val="23"/>
          <w:lang w:val="pt-BR"/>
        </w:rPr>
        <w:t>et al.</w:t>
      </w:r>
      <w:r>
        <w:rPr>
          <w:rFonts w:hint="default" w:cs="Times New Roman"/>
          <w:color w:val="auto"/>
          <w:sz w:val="23"/>
          <w:szCs w:val="23"/>
          <w:lang w:val="pt-BR"/>
        </w:rPr>
        <w:t xml:space="preserve">, “Motor control and aging: Links to age-related brain structural, functional, and biochemical effects”, </w:t>
      </w:r>
      <w:r>
        <w:rPr>
          <w:rFonts w:hint="default" w:cs="Times New Roman"/>
          <w:i/>
          <w:color w:val="auto"/>
          <w:sz w:val="23"/>
          <w:szCs w:val="23"/>
          <w:lang w:val="pt-BR"/>
        </w:rPr>
        <w:t>Neurosci. Biobehav. Rev.</w:t>
      </w:r>
      <w:r>
        <w:rPr>
          <w:rFonts w:hint="default" w:cs="Times New Roman"/>
          <w:color w:val="auto"/>
          <w:sz w:val="23"/>
          <w:szCs w:val="23"/>
          <w:lang w:val="pt-BR"/>
        </w:rPr>
        <w:t>, v. 34, n. 5, p. 721–733, abr. 2010, doi: 10.1016/j.neubiorev.2009.10.005.</w:t>
      </w:r>
    </w:p>
    <w:p w14:paraId="77C2A6EA">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[40]</w:t>
      </w:r>
      <w:r>
        <w:rPr>
          <w:rFonts w:hint="default" w:cs="Times New Roman"/>
          <w:color w:val="auto"/>
          <w:sz w:val="23"/>
          <w:szCs w:val="23"/>
          <w:lang w:val="pt-BR"/>
        </w:rPr>
        <w:tab/>
        <w:t xml:space="preserve">F. Faul, E. Erdfelder, A.-G. Lang, e A. Buchner, “G*Power 3: A flexible statistical power analysis program for the social, behavioral, and biomedical sciences”, </w:t>
      </w:r>
      <w:r>
        <w:rPr>
          <w:rFonts w:hint="default" w:cs="Times New Roman"/>
          <w:i/>
          <w:color w:val="auto"/>
          <w:sz w:val="23"/>
          <w:szCs w:val="23"/>
          <w:lang w:val="pt-BR"/>
        </w:rPr>
        <w:t>Behav. Res. Methods</w:t>
      </w:r>
      <w:r>
        <w:rPr>
          <w:rFonts w:hint="default" w:cs="Times New Roman"/>
          <w:color w:val="auto"/>
          <w:sz w:val="23"/>
          <w:szCs w:val="23"/>
          <w:lang w:val="pt-BR"/>
        </w:rPr>
        <w:t>, v. 39, n. 2, p. 175–191, maio 2007, doi: 10.3758/BF03193146.</w:t>
      </w:r>
    </w:p>
    <w:p w14:paraId="21B2A997">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[41]</w:t>
      </w:r>
      <w:r>
        <w:rPr>
          <w:rFonts w:hint="default" w:cs="Times New Roman"/>
          <w:color w:val="auto"/>
          <w:sz w:val="23"/>
          <w:szCs w:val="23"/>
          <w:lang w:val="pt-BR"/>
        </w:rPr>
        <w:tab/>
        <w:t xml:space="preserve">F. Faul, E. Erdfelder, A. Buchner, e A.-G. Lang, “Statistical power analyses using G*Power 3.1: Tests for correlation and regression analyses”, </w:t>
      </w:r>
      <w:r>
        <w:rPr>
          <w:rFonts w:hint="default" w:cs="Times New Roman"/>
          <w:i/>
          <w:color w:val="auto"/>
          <w:sz w:val="23"/>
          <w:szCs w:val="23"/>
          <w:lang w:val="pt-BR"/>
        </w:rPr>
        <w:t>Behav. Res. Methods</w:t>
      </w:r>
      <w:r>
        <w:rPr>
          <w:rFonts w:hint="default" w:cs="Times New Roman"/>
          <w:color w:val="auto"/>
          <w:sz w:val="23"/>
          <w:szCs w:val="23"/>
          <w:lang w:val="pt-BR"/>
        </w:rPr>
        <w:t>, v. 41, n. 4, p. 1149–1160, nov. 2009, doi: 10.3758/BRM.41.4.1149.</w:t>
      </w:r>
    </w:p>
    <w:p w14:paraId="4CA53C42">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[42]</w:t>
      </w:r>
      <w:r>
        <w:rPr>
          <w:rFonts w:hint="default" w:cs="Times New Roman"/>
          <w:color w:val="auto"/>
          <w:sz w:val="23"/>
          <w:szCs w:val="23"/>
          <w:lang w:val="pt-BR"/>
        </w:rPr>
        <w:tab/>
        <w:t xml:space="preserve">J. Cohen, </w:t>
      </w:r>
      <w:r>
        <w:rPr>
          <w:rFonts w:hint="default" w:cs="Times New Roman"/>
          <w:i/>
          <w:color w:val="auto"/>
          <w:sz w:val="23"/>
          <w:szCs w:val="23"/>
          <w:lang w:val="pt-BR"/>
        </w:rPr>
        <w:t>Statistical power analysis for the behavioral sciences</w:t>
      </w:r>
      <w:r>
        <w:rPr>
          <w:rFonts w:hint="default" w:cs="Times New Roman"/>
          <w:color w:val="auto"/>
          <w:sz w:val="23"/>
          <w:szCs w:val="23"/>
          <w:lang w:val="pt-BR"/>
        </w:rPr>
        <w:t>, 2. ed., Reprint. New York, NY: Psychology Press, 2009.</w:t>
      </w:r>
    </w:p>
    <w:p w14:paraId="73473059">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[43]</w:t>
      </w:r>
      <w:r>
        <w:rPr>
          <w:rFonts w:hint="default" w:cs="Times New Roman"/>
          <w:color w:val="auto"/>
          <w:sz w:val="23"/>
          <w:szCs w:val="23"/>
          <w:lang w:val="pt-BR"/>
        </w:rPr>
        <w:tab/>
        <w:t xml:space="preserve">H. Chen, P. Cohen, e S. Chen, “How Big is a Big Odds Ratio? Interpreting the Magnitudes of Odds Ratios in Epidemiological Studies”, </w:t>
      </w:r>
      <w:r>
        <w:rPr>
          <w:rFonts w:hint="default" w:cs="Times New Roman"/>
          <w:i/>
          <w:color w:val="auto"/>
          <w:sz w:val="23"/>
          <w:szCs w:val="23"/>
          <w:lang w:val="pt-BR"/>
        </w:rPr>
        <w:t>Commun. Stat. - Simul. Comput.</w:t>
      </w:r>
      <w:r>
        <w:rPr>
          <w:rFonts w:hint="default" w:cs="Times New Roman"/>
          <w:color w:val="auto"/>
          <w:sz w:val="23"/>
          <w:szCs w:val="23"/>
          <w:lang w:val="pt-BR"/>
        </w:rPr>
        <w:t>, v. 39, n. 4, p. 860–864, mar. 2010, doi: 10.1080/03610911003650383.</w:t>
      </w:r>
    </w:p>
    <w:p w14:paraId="35B9110F">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[44]</w:t>
      </w:r>
      <w:r>
        <w:rPr>
          <w:rFonts w:hint="default" w:cs="Times New Roman"/>
          <w:color w:val="auto"/>
          <w:sz w:val="23"/>
          <w:szCs w:val="23"/>
          <w:lang w:val="pt-BR"/>
        </w:rPr>
        <w:tab/>
        <w:t xml:space="preserve">P. Peduzzi, J. Concato, E. Kemper, T. R. Holford, e A. R. Feinstein, “A simulation study of the number of events per variable in logistic regression analysis”, </w:t>
      </w:r>
      <w:r>
        <w:rPr>
          <w:rFonts w:hint="default" w:cs="Times New Roman"/>
          <w:i/>
          <w:color w:val="auto"/>
          <w:sz w:val="23"/>
          <w:szCs w:val="23"/>
          <w:lang w:val="pt-BR"/>
        </w:rPr>
        <w:t>J. Clin. Epidemiol.</w:t>
      </w:r>
      <w:r>
        <w:rPr>
          <w:rFonts w:hint="default" w:cs="Times New Roman"/>
          <w:color w:val="auto"/>
          <w:sz w:val="23"/>
          <w:szCs w:val="23"/>
          <w:lang w:val="pt-BR"/>
        </w:rPr>
        <w:t>, v. 49, n. 12, p. 1373–1379, dez. 1996, doi: 10.1016/S0895-4356(96)00236-3.</w:t>
      </w:r>
    </w:p>
    <w:p w14:paraId="7669109D">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[45]</w:t>
      </w:r>
      <w:r>
        <w:rPr>
          <w:rFonts w:hint="default" w:cs="Times New Roman"/>
          <w:color w:val="auto"/>
          <w:sz w:val="23"/>
          <w:szCs w:val="23"/>
          <w:lang w:val="pt-BR"/>
        </w:rPr>
        <w:tab/>
        <w:t xml:space="preserve">Y. Benjamini e Y. Hochberg, “Controlling the False Discovery Rate: A Practical and Powerful Approach to Multiple Testing”, </w:t>
      </w:r>
      <w:r>
        <w:rPr>
          <w:rFonts w:hint="default" w:cs="Times New Roman"/>
          <w:i/>
          <w:color w:val="auto"/>
          <w:sz w:val="23"/>
          <w:szCs w:val="23"/>
          <w:lang w:val="pt-BR"/>
        </w:rPr>
        <w:t>J. R. Stat. Soc. Ser. B Stat. Methodol.</w:t>
      </w:r>
      <w:r>
        <w:rPr>
          <w:rFonts w:hint="default" w:cs="Times New Roman"/>
          <w:color w:val="auto"/>
          <w:sz w:val="23"/>
          <w:szCs w:val="23"/>
          <w:lang w:val="pt-BR"/>
        </w:rPr>
        <w:t>, v. 57, n. 1, p. 289–300, jan. 1995, doi: 10.1111/j.2517-6161.1995.tb02031.x.</w:t>
      </w:r>
    </w:p>
    <w:p w14:paraId="4EA071C3">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[46]</w:t>
      </w:r>
      <w:r>
        <w:rPr>
          <w:rFonts w:hint="default" w:cs="Times New Roman"/>
          <w:color w:val="auto"/>
          <w:sz w:val="23"/>
          <w:szCs w:val="23"/>
          <w:lang w:val="pt-BR"/>
        </w:rPr>
        <w:tab/>
        <w:t xml:space="preserve">American College of Sports Medicine, C. Ozemek, A. R. Bonikowske, J. W. Christle, e P. M. Gallo, Org., </w:t>
      </w:r>
      <w:r>
        <w:rPr>
          <w:rFonts w:hint="default" w:cs="Times New Roman"/>
          <w:i/>
          <w:color w:val="auto"/>
          <w:sz w:val="23"/>
          <w:szCs w:val="23"/>
          <w:lang w:val="pt-BR"/>
        </w:rPr>
        <w:t>ACSM’s guidelines for exercise testing and prescription</w:t>
      </w:r>
      <w:r>
        <w:rPr>
          <w:rFonts w:hint="default" w:cs="Times New Roman"/>
          <w:color w:val="auto"/>
          <w:sz w:val="23"/>
          <w:szCs w:val="23"/>
          <w:lang w:val="pt-BR"/>
        </w:rPr>
        <w:t>, Twelfth edition. Philadelphia, PA: Wolters Kluwer, 2026.</w:t>
      </w:r>
    </w:p>
    <w:p w14:paraId="43C0D5F5">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[47]</w:t>
      </w:r>
      <w:r>
        <w:rPr>
          <w:rFonts w:hint="default" w:cs="Times New Roman"/>
          <w:color w:val="auto"/>
          <w:sz w:val="23"/>
          <w:szCs w:val="23"/>
          <w:lang w:val="pt-BR"/>
        </w:rPr>
        <w:tab/>
        <w:t xml:space="preserve">G. Haff, N. T. Triplett, e National Strength &amp; Conditioning Association, Org., </w:t>
      </w:r>
      <w:r>
        <w:rPr>
          <w:rFonts w:hint="default" w:cs="Times New Roman"/>
          <w:i/>
          <w:color w:val="auto"/>
          <w:sz w:val="23"/>
          <w:szCs w:val="23"/>
          <w:lang w:val="pt-BR"/>
        </w:rPr>
        <w:t>Essentials of strength training and conditioning</w:t>
      </w:r>
      <w:r>
        <w:rPr>
          <w:rFonts w:hint="default" w:cs="Times New Roman"/>
          <w:color w:val="auto"/>
          <w:sz w:val="23"/>
          <w:szCs w:val="23"/>
          <w:lang w:val="pt-BR"/>
        </w:rPr>
        <w:t>, Fifth edition. Champaign, IL: Human Kinetics, 2027.</w:t>
      </w:r>
    </w:p>
    <w:p w14:paraId="7A31F912">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[48]</w:t>
      </w:r>
      <w:r>
        <w:rPr>
          <w:rFonts w:hint="default" w:cs="Times New Roman"/>
          <w:color w:val="auto"/>
          <w:sz w:val="23"/>
          <w:szCs w:val="23"/>
          <w:lang w:val="pt-BR"/>
        </w:rPr>
        <w:tab/>
        <w:t xml:space="preserve">U. Kyle, “Bioelectrical impedance analysis?part I: review of principles and methods”, </w:t>
      </w:r>
      <w:r>
        <w:rPr>
          <w:rFonts w:hint="default" w:cs="Times New Roman"/>
          <w:i/>
          <w:color w:val="auto"/>
          <w:sz w:val="23"/>
          <w:szCs w:val="23"/>
          <w:lang w:val="pt-BR"/>
        </w:rPr>
        <w:t>Clin. Nutr.</w:t>
      </w:r>
      <w:r>
        <w:rPr>
          <w:rFonts w:hint="default" w:cs="Times New Roman"/>
          <w:color w:val="auto"/>
          <w:sz w:val="23"/>
          <w:szCs w:val="23"/>
          <w:lang w:val="pt-BR"/>
        </w:rPr>
        <w:t>, v. 23, n. 5, p. 1226–1243, out. 2004, doi: 10.1016/j.clnu.2004.06.004.</w:t>
      </w:r>
    </w:p>
    <w:p w14:paraId="7454383E">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[49]</w:t>
      </w:r>
      <w:r>
        <w:rPr>
          <w:rFonts w:hint="default" w:cs="Times New Roman"/>
          <w:color w:val="auto"/>
          <w:sz w:val="23"/>
          <w:szCs w:val="23"/>
          <w:lang w:val="pt-BR"/>
        </w:rPr>
        <w:tab/>
        <w:t xml:space="preserve">H. C. Lukaski, W. W. Bolonchuk, C. B. Hall, e W. A. Siders, “Validation of tetrapolar bioelectrical impedance method to assess human body composition”, </w:t>
      </w:r>
      <w:r>
        <w:rPr>
          <w:rFonts w:hint="default" w:cs="Times New Roman"/>
          <w:i/>
          <w:color w:val="auto"/>
          <w:sz w:val="23"/>
          <w:szCs w:val="23"/>
          <w:lang w:val="pt-BR"/>
        </w:rPr>
        <w:t>J. Appl. Physiol.</w:t>
      </w:r>
      <w:r>
        <w:rPr>
          <w:rFonts w:hint="default" w:cs="Times New Roman"/>
          <w:color w:val="auto"/>
          <w:sz w:val="23"/>
          <w:szCs w:val="23"/>
          <w:lang w:val="pt-BR"/>
        </w:rPr>
        <w:t>, v. 60, n. 4, p. 1327–1332, abr. 1986, doi: 10.1152/jappl.1986.60.4.1327.</w:t>
      </w:r>
    </w:p>
    <w:p w14:paraId="1332FB3E">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[50]</w:t>
      </w:r>
      <w:r>
        <w:rPr>
          <w:rFonts w:hint="default" w:cs="Times New Roman"/>
          <w:color w:val="auto"/>
          <w:sz w:val="23"/>
          <w:szCs w:val="23"/>
          <w:lang w:val="pt-BR"/>
        </w:rPr>
        <w:tab/>
        <w:t xml:space="preserve">S. S. Sun </w:t>
      </w:r>
      <w:r>
        <w:rPr>
          <w:rFonts w:hint="default" w:cs="Times New Roman"/>
          <w:i/>
          <w:color w:val="auto"/>
          <w:sz w:val="23"/>
          <w:szCs w:val="23"/>
          <w:lang w:val="pt-BR"/>
        </w:rPr>
        <w:t>et al.</w:t>
      </w:r>
      <w:r>
        <w:rPr>
          <w:rFonts w:hint="default" w:cs="Times New Roman"/>
          <w:color w:val="auto"/>
          <w:sz w:val="23"/>
          <w:szCs w:val="23"/>
          <w:lang w:val="pt-BR"/>
        </w:rPr>
        <w:t xml:space="preserve">, “Development of bioelectrical impedance analysis prediction equations for body composition with the use of a multicomponent model for use in epidemiologic surveys”, </w:t>
      </w:r>
      <w:r>
        <w:rPr>
          <w:rFonts w:hint="default" w:cs="Times New Roman"/>
          <w:i/>
          <w:color w:val="auto"/>
          <w:sz w:val="23"/>
          <w:szCs w:val="23"/>
          <w:lang w:val="pt-BR"/>
        </w:rPr>
        <w:t>Am. J. Clin. Nutr.</w:t>
      </w:r>
      <w:r>
        <w:rPr>
          <w:rFonts w:hint="default" w:cs="Times New Roman"/>
          <w:color w:val="auto"/>
          <w:sz w:val="23"/>
          <w:szCs w:val="23"/>
          <w:lang w:val="pt-BR"/>
        </w:rPr>
        <w:t>, v. 77, n. 2, p. 331–340, fev. 2003, doi: 10.1093/ajcn/77.2.331.</w:t>
      </w:r>
    </w:p>
    <w:p w14:paraId="40C1CD8F">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[51]</w:t>
      </w:r>
      <w:r>
        <w:rPr>
          <w:rFonts w:hint="default" w:cs="Times New Roman"/>
          <w:color w:val="auto"/>
          <w:sz w:val="23"/>
          <w:szCs w:val="23"/>
          <w:lang w:val="pt-BR"/>
        </w:rPr>
        <w:tab/>
        <w:t xml:space="preserve">V. Mathiowetz, “Comparison of Rolyan and Jamar dynamometers for measuring grip strength”, </w:t>
      </w:r>
      <w:r>
        <w:rPr>
          <w:rFonts w:hint="default" w:cs="Times New Roman"/>
          <w:i/>
          <w:color w:val="auto"/>
          <w:sz w:val="23"/>
          <w:szCs w:val="23"/>
          <w:lang w:val="pt-BR"/>
        </w:rPr>
        <w:t>Occup. Ther. Int.</w:t>
      </w:r>
      <w:r>
        <w:rPr>
          <w:rFonts w:hint="default" w:cs="Times New Roman"/>
          <w:color w:val="auto"/>
          <w:sz w:val="23"/>
          <w:szCs w:val="23"/>
          <w:lang w:val="pt-BR"/>
        </w:rPr>
        <w:t>, v. 9, n. 3, p. 201–209, ago. 2002, doi: 10.1002/oti.165.</w:t>
      </w:r>
    </w:p>
    <w:p w14:paraId="56418C01">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[52]</w:t>
      </w:r>
      <w:r>
        <w:rPr>
          <w:rFonts w:hint="default" w:cs="Times New Roman"/>
          <w:color w:val="auto"/>
          <w:sz w:val="23"/>
          <w:szCs w:val="23"/>
          <w:lang w:val="pt-BR"/>
        </w:rPr>
        <w:tab/>
        <w:t xml:space="preserve">M. M. Reis e P. M. M. Arantes, “Medida da força de preensão manual- validade e confiabilidade do dinamômetro saehan”, </w:t>
      </w:r>
      <w:r>
        <w:rPr>
          <w:rFonts w:hint="default" w:cs="Times New Roman"/>
          <w:i/>
          <w:color w:val="auto"/>
          <w:sz w:val="23"/>
          <w:szCs w:val="23"/>
          <w:lang w:val="pt-BR"/>
        </w:rPr>
        <w:t>Fisioter. E Pesqui.</w:t>
      </w:r>
      <w:r>
        <w:rPr>
          <w:rFonts w:hint="default" w:cs="Times New Roman"/>
          <w:color w:val="auto"/>
          <w:sz w:val="23"/>
          <w:szCs w:val="23"/>
          <w:lang w:val="pt-BR"/>
        </w:rPr>
        <w:t>, v. 18, n. 2, p. 176–181, jun. 2011, doi: 10.1590/S1809-29502011000200013.</w:t>
      </w:r>
    </w:p>
    <w:p w14:paraId="513869D6">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[53]</w:t>
      </w:r>
      <w:r>
        <w:rPr>
          <w:rFonts w:hint="default" w:cs="Times New Roman"/>
          <w:color w:val="auto"/>
          <w:sz w:val="23"/>
          <w:szCs w:val="23"/>
          <w:lang w:val="pt-BR"/>
        </w:rPr>
        <w:tab/>
        <w:t xml:space="preserve">H. C. Roberts </w:t>
      </w:r>
      <w:r>
        <w:rPr>
          <w:rFonts w:hint="default" w:cs="Times New Roman"/>
          <w:i/>
          <w:color w:val="auto"/>
          <w:sz w:val="23"/>
          <w:szCs w:val="23"/>
          <w:lang w:val="pt-BR"/>
        </w:rPr>
        <w:t>et al.</w:t>
      </w:r>
      <w:r>
        <w:rPr>
          <w:rFonts w:hint="default" w:cs="Times New Roman"/>
          <w:color w:val="auto"/>
          <w:sz w:val="23"/>
          <w:szCs w:val="23"/>
          <w:lang w:val="pt-BR"/>
        </w:rPr>
        <w:t xml:space="preserve">, “A review of the measurement of grip strength in clinical and epidemiological studies: towards a standardised approach”, </w:t>
      </w:r>
      <w:r>
        <w:rPr>
          <w:rFonts w:hint="default" w:cs="Times New Roman"/>
          <w:i/>
          <w:color w:val="auto"/>
          <w:sz w:val="23"/>
          <w:szCs w:val="23"/>
          <w:lang w:val="pt-BR"/>
        </w:rPr>
        <w:t>Age Ageing</w:t>
      </w:r>
      <w:r>
        <w:rPr>
          <w:rFonts w:hint="default" w:cs="Times New Roman"/>
          <w:color w:val="auto"/>
          <w:sz w:val="23"/>
          <w:szCs w:val="23"/>
          <w:lang w:val="pt-BR"/>
        </w:rPr>
        <w:t>, v. 40, n. 4, p. 423–429, jul. 2011, doi: 10.1093/ageing/afr051.</w:t>
      </w:r>
    </w:p>
    <w:p w14:paraId="2145ACBC">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[54]</w:t>
      </w:r>
      <w:r>
        <w:rPr>
          <w:rFonts w:hint="default" w:cs="Times New Roman"/>
          <w:color w:val="auto"/>
          <w:sz w:val="23"/>
          <w:szCs w:val="23"/>
          <w:lang w:val="pt-BR"/>
        </w:rPr>
        <w:tab/>
        <w:t xml:space="preserve">S. Jaric, “Muscle Strength Testing: Use of Normalisation for Body Size”, </w:t>
      </w:r>
      <w:r>
        <w:rPr>
          <w:rFonts w:hint="default" w:cs="Times New Roman"/>
          <w:i/>
          <w:color w:val="auto"/>
          <w:sz w:val="23"/>
          <w:szCs w:val="23"/>
          <w:lang w:val="pt-BR"/>
        </w:rPr>
        <w:t>Sports Med.</w:t>
      </w:r>
      <w:r>
        <w:rPr>
          <w:rFonts w:hint="default" w:cs="Times New Roman"/>
          <w:color w:val="auto"/>
          <w:sz w:val="23"/>
          <w:szCs w:val="23"/>
          <w:lang w:val="pt-BR"/>
        </w:rPr>
        <w:t>, v. 32, n. 10, p. 615–631, 2002, doi: 10.2165/00007256-200232100-00002.</w:t>
      </w:r>
    </w:p>
    <w:p w14:paraId="223410F1">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[55]</w:t>
      </w:r>
      <w:r>
        <w:rPr>
          <w:rFonts w:hint="default" w:cs="Times New Roman"/>
          <w:color w:val="auto"/>
          <w:sz w:val="23"/>
          <w:szCs w:val="23"/>
          <w:lang w:val="pt-BR"/>
        </w:rPr>
        <w:tab/>
        <w:t xml:space="preserve">R. L. Lieber e J. Fridén, “Musculoskeletal balance of the human wrist elucidated using intraoperative laser diffraction”, </w:t>
      </w:r>
      <w:r>
        <w:rPr>
          <w:rFonts w:hint="default" w:cs="Times New Roman"/>
          <w:i/>
          <w:color w:val="auto"/>
          <w:sz w:val="23"/>
          <w:szCs w:val="23"/>
          <w:lang w:val="pt-BR"/>
        </w:rPr>
        <w:t>J. Electromyogr. Kinesiol.</w:t>
      </w:r>
      <w:r>
        <w:rPr>
          <w:rFonts w:hint="default" w:cs="Times New Roman"/>
          <w:color w:val="auto"/>
          <w:sz w:val="23"/>
          <w:szCs w:val="23"/>
          <w:lang w:val="pt-BR"/>
        </w:rPr>
        <w:t>, v. 8, n. 2, p. 93–100, abr. 1998, doi: 10.1016/S1050-6411(97)00025-4.</w:t>
      </w:r>
    </w:p>
    <w:p w14:paraId="771DE6D4">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[56]</w:t>
      </w:r>
      <w:r>
        <w:rPr>
          <w:rFonts w:hint="default" w:cs="Times New Roman"/>
          <w:color w:val="auto"/>
          <w:sz w:val="23"/>
          <w:szCs w:val="23"/>
          <w:lang w:val="pt-BR"/>
        </w:rPr>
        <w:tab/>
        <w:t xml:space="preserve">Z. Dvir, </w:t>
      </w:r>
      <w:r>
        <w:rPr>
          <w:rFonts w:hint="default" w:cs="Times New Roman"/>
          <w:i/>
          <w:color w:val="auto"/>
          <w:sz w:val="23"/>
          <w:szCs w:val="23"/>
          <w:lang w:val="pt-BR"/>
        </w:rPr>
        <w:t>Isokinetics: Muscle Testing, Interpretation and Clinical Applications</w:t>
      </w:r>
      <w:r>
        <w:rPr>
          <w:rFonts w:hint="default" w:cs="Times New Roman"/>
          <w:color w:val="auto"/>
          <w:sz w:val="23"/>
          <w:szCs w:val="23"/>
          <w:lang w:val="pt-BR"/>
        </w:rPr>
        <w:t>, 3</w:t>
      </w:r>
      <w:r>
        <w:rPr>
          <w:rFonts w:hint="default" w:cs="Times New Roman"/>
          <w:color w:val="auto"/>
          <w:sz w:val="23"/>
          <w:szCs w:val="23"/>
          <w:vertAlign w:val="superscript"/>
          <w:lang w:val="pt-BR"/>
        </w:rPr>
        <w:t>o</w:t>
      </w:r>
      <w:r>
        <w:rPr>
          <w:rFonts w:hint="default" w:cs="Times New Roman"/>
          <w:color w:val="auto"/>
          <w:sz w:val="23"/>
          <w:szCs w:val="23"/>
          <w:lang w:val="pt-BR"/>
        </w:rPr>
        <w:t xml:space="preserve"> ed. New York: Routledge, 2025. doi: 10.4324/9781003380719.</w:t>
      </w:r>
    </w:p>
    <w:p w14:paraId="035CE404">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[57]</w:t>
      </w:r>
      <w:r>
        <w:rPr>
          <w:rFonts w:hint="default" w:cs="Times New Roman"/>
          <w:color w:val="auto"/>
          <w:sz w:val="23"/>
          <w:szCs w:val="23"/>
          <w:lang w:val="pt-BR"/>
        </w:rPr>
        <w:tab/>
        <w:t xml:space="preserve">C. Bishop, “Interlimb Asymmetries: Are Thresholds a Usable Concept?”, </w:t>
      </w:r>
      <w:r>
        <w:rPr>
          <w:rFonts w:hint="default" w:cs="Times New Roman"/>
          <w:i/>
          <w:color w:val="auto"/>
          <w:sz w:val="23"/>
          <w:szCs w:val="23"/>
          <w:lang w:val="pt-BR"/>
        </w:rPr>
        <w:t>Strength Cond. J.</w:t>
      </w:r>
      <w:r>
        <w:rPr>
          <w:rFonts w:hint="default" w:cs="Times New Roman"/>
          <w:color w:val="auto"/>
          <w:sz w:val="23"/>
          <w:szCs w:val="23"/>
          <w:lang w:val="pt-BR"/>
        </w:rPr>
        <w:t>, v. 43, n. 1, p. 32–36, fev. 2021, doi: 10.1519/SSC.0000000000000554.</w:t>
      </w:r>
    </w:p>
    <w:p w14:paraId="64EC8801">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[58]</w:t>
      </w:r>
      <w:r>
        <w:rPr>
          <w:rFonts w:hint="default" w:cs="Times New Roman"/>
          <w:color w:val="auto"/>
          <w:sz w:val="23"/>
          <w:szCs w:val="23"/>
          <w:lang w:val="pt-BR"/>
        </w:rPr>
        <w:tab/>
        <w:t xml:space="preserve">R. M. R. Dias </w:t>
      </w:r>
      <w:r>
        <w:rPr>
          <w:rFonts w:hint="default" w:cs="Times New Roman"/>
          <w:i/>
          <w:color w:val="auto"/>
          <w:sz w:val="23"/>
          <w:szCs w:val="23"/>
          <w:lang w:val="pt-BR"/>
        </w:rPr>
        <w:t>et al.</w:t>
      </w:r>
      <w:r>
        <w:rPr>
          <w:rFonts w:hint="default" w:cs="Times New Roman"/>
          <w:color w:val="auto"/>
          <w:sz w:val="23"/>
          <w:szCs w:val="23"/>
          <w:lang w:val="pt-BR"/>
        </w:rPr>
        <w:t xml:space="preserve">, “Influência do processo de familiarização para avaliação da força muscular em testes de 1-RM”, </w:t>
      </w:r>
      <w:r>
        <w:rPr>
          <w:rFonts w:hint="default" w:cs="Times New Roman"/>
          <w:i/>
          <w:color w:val="auto"/>
          <w:sz w:val="23"/>
          <w:szCs w:val="23"/>
          <w:lang w:val="pt-BR"/>
        </w:rPr>
        <w:t>Rev. Bras. Med. Esporte</w:t>
      </w:r>
      <w:r>
        <w:rPr>
          <w:rFonts w:hint="default" w:cs="Times New Roman"/>
          <w:color w:val="auto"/>
          <w:sz w:val="23"/>
          <w:szCs w:val="23"/>
          <w:lang w:val="pt-BR"/>
        </w:rPr>
        <w:t>, v. 11, n. 1, 2005, doi: 10.1590/s1517-86922005000100004.</w:t>
      </w:r>
    </w:p>
    <w:p w14:paraId="5B597DE6">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[59]</w:t>
      </w:r>
      <w:r>
        <w:rPr>
          <w:rFonts w:hint="default" w:cs="Times New Roman"/>
          <w:color w:val="auto"/>
          <w:sz w:val="23"/>
          <w:szCs w:val="23"/>
          <w:lang w:val="pt-BR"/>
        </w:rPr>
        <w:tab/>
        <w:t xml:space="preserve">M. A. Soriano, T. J. Suchomel, e P. Comfort, “Weightlifting Overhead Pressing Derivatives: A Review of the Literature”, </w:t>
      </w:r>
      <w:r>
        <w:rPr>
          <w:rFonts w:hint="default" w:cs="Times New Roman"/>
          <w:i/>
          <w:color w:val="auto"/>
          <w:sz w:val="23"/>
          <w:szCs w:val="23"/>
          <w:lang w:val="pt-BR"/>
        </w:rPr>
        <w:t>Sports Med.</w:t>
      </w:r>
      <w:r>
        <w:rPr>
          <w:rFonts w:hint="default" w:cs="Times New Roman"/>
          <w:color w:val="auto"/>
          <w:sz w:val="23"/>
          <w:szCs w:val="23"/>
          <w:lang w:val="pt-BR"/>
        </w:rPr>
        <w:t>, v. 49, n. 6, p. 867–885, jun. 2019, doi: 10.1007/s40279-019-01096-8.</w:t>
      </w:r>
    </w:p>
    <w:p w14:paraId="1DDFA46B">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[60]</w:t>
      </w:r>
      <w:r>
        <w:rPr>
          <w:rFonts w:hint="default" w:cs="Times New Roman"/>
          <w:color w:val="auto"/>
          <w:sz w:val="23"/>
          <w:szCs w:val="23"/>
          <w:lang w:val="pt-BR"/>
        </w:rPr>
        <w:tab/>
        <w:t>G. D. P. Lemos, “A força máxima no shoulder press relativa à massa corporal é uma medida preditiva do  desempenho no strict handstand push-up dentro da modalidade CrossFit®?”, 2024.</w:t>
      </w:r>
    </w:p>
    <w:p w14:paraId="3520B8F5">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[61]</w:t>
      </w:r>
      <w:r>
        <w:rPr>
          <w:rFonts w:hint="default" w:cs="Times New Roman"/>
          <w:color w:val="auto"/>
          <w:sz w:val="23"/>
          <w:szCs w:val="23"/>
          <w:lang w:val="pt-BR"/>
        </w:rPr>
        <w:tab/>
        <w:t xml:space="preserve">W. A. Sands, D. J. Caine, e J. Borms, </w:t>
      </w:r>
      <w:r>
        <w:rPr>
          <w:rFonts w:hint="default" w:cs="Times New Roman"/>
          <w:i/>
          <w:color w:val="auto"/>
          <w:sz w:val="23"/>
          <w:szCs w:val="23"/>
          <w:lang w:val="pt-BR"/>
        </w:rPr>
        <w:t>Scientific Aspects of Women’s Gymnastics</w:t>
      </w:r>
      <w:r>
        <w:rPr>
          <w:rFonts w:hint="default" w:cs="Times New Roman"/>
          <w:color w:val="auto"/>
          <w:sz w:val="23"/>
          <w:szCs w:val="23"/>
          <w:lang w:val="pt-BR"/>
        </w:rPr>
        <w:t>, v. 45. em Medicine and Sport Science, vol. 45. S. Karger AG, 2002. doi: 10.1159/isbn.978-3-318-00894-4.</w:t>
      </w:r>
    </w:p>
    <w:p w14:paraId="7F981272">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[62]</w:t>
      </w:r>
      <w:r>
        <w:rPr>
          <w:rFonts w:hint="default" w:cs="Times New Roman"/>
          <w:color w:val="auto"/>
          <w:sz w:val="23"/>
          <w:szCs w:val="23"/>
          <w:lang w:val="pt-BR"/>
        </w:rPr>
        <w:tab/>
        <w:t xml:space="preserve">R. B. Davis, S. Õunpuu, D. Tyburski, e J. R. Gage, “A gait analysis data collection and reduction technique”, </w:t>
      </w:r>
      <w:r>
        <w:rPr>
          <w:rFonts w:hint="default" w:cs="Times New Roman"/>
          <w:i/>
          <w:color w:val="auto"/>
          <w:sz w:val="23"/>
          <w:szCs w:val="23"/>
          <w:lang w:val="pt-BR"/>
        </w:rPr>
        <w:t>Hum. Mov. Sci.</w:t>
      </w:r>
      <w:r>
        <w:rPr>
          <w:rFonts w:hint="default" w:cs="Times New Roman"/>
          <w:color w:val="auto"/>
          <w:sz w:val="23"/>
          <w:szCs w:val="23"/>
          <w:lang w:val="pt-BR"/>
        </w:rPr>
        <w:t>, v. 10, n. 5, p. 575–587, out. 1991, doi: 10.1016/0167-9457(91)90046-Z.</w:t>
      </w:r>
    </w:p>
    <w:p w14:paraId="54915C40">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[63]</w:t>
      </w:r>
      <w:r>
        <w:rPr>
          <w:rFonts w:hint="default" w:cs="Times New Roman"/>
          <w:color w:val="auto"/>
          <w:sz w:val="23"/>
          <w:szCs w:val="23"/>
          <w:lang w:val="pt-BR"/>
        </w:rPr>
        <w:tab/>
        <w:t xml:space="preserve">M. P. Kadaba, H. K. Ramakrishnan, e M. E. Wootten, “Measurement of lower extremity kinematics during level walking”, </w:t>
      </w:r>
      <w:r>
        <w:rPr>
          <w:rFonts w:hint="default" w:cs="Times New Roman"/>
          <w:i/>
          <w:color w:val="auto"/>
          <w:sz w:val="23"/>
          <w:szCs w:val="23"/>
          <w:lang w:val="pt-BR"/>
        </w:rPr>
        <w:t>J. Orthop. Res.</w:t>
      </w:r>
      <w:r>
        <w:rPr>
          <w:rFonts w:hint="default" w:cs="Times New Roman"/>
          <w:color w:val="auto"/>
          <w:sz w:val="23"/>
          <w:szCs w:val="23"/>
          <w:lang w:val="pt-BR"/>
        </w:rPr>
        <w:t>, v. 8, n. 3, p. 383–392, maio 1990, doi: 10.1002/jor.1100080310.</w:t>
      </w:r>
    </w:p>
    <w:p w14:paraId="339030CB">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[64]</w:t>
      </w:r>
      <w:r>
        <w:rPr>
          <w:rFonts w:hint="default" w:cs="Times New Roman"/>
          <w:color w:val="auto"/>
          <w:sz w:val="23"/>
          <w:szCs w:val="23"/>
          <w:lang w:val="pt-BR"/>
        </w:rPr>
        <w:tab/>
        <w:t xml:space="preserve">J. H. Challis, “A procedure for determining rigid body transformation parameters”, </w:t>
      </w:r>
      <w:r>
        <w:rPr>
          <w:rFonts w:hint="default" w:cs="Times New Roman"/>
          <w:i/>
          <w:color w:val="auto"/>
          <w:sz w:val="23"/>
          <w:szCs w:val="23"/>
          <w:lang w:val="pt-BR"/>
        </w:rPr>
        <w:t>J. Biomech.</w:t>
      </w:r>
      <w:r>
        <w:rPr>
          <w:rFonts w:hint="default" w:cs="Times New Roman"/>
          <w:color w:val="auto"/>
          <w:sz w:val="23"/>
          <w:szCs w:val="23"/>
          <w:lang w:val="pt-BR"/>
        </w:rPr>
        <w:t>, v. 28, n. 6, p. 733–737, jun. 1995, doi: 10.1016/0021-9290(94)00116-L.</w:t>
      </w:r>
    </w:p>
    <w:p w14:paraId="4B788203">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[65]</w:t>
      </w:r>
      <w:r>
        <w:rPr>
          <w:rFonts w:hint="default" w:cs="Times New Roman"/>
          <w:color w:val="auto"/>
          <w:sz w:val="23"/>
          <w:szCs w:val="23"/>
          <w:lang w:val="pt-BR"/>
        </w:rPr>
        <w:tab/>
        <w:t xml:space="preserve">W. Kabsch, “A solution for the best rotation to relate two sets of vectors”, </w:t>
      </w:r>
      <w:r>
        <w:rPr>
          <w:rFonts w:hint="default" w:cs="Times New Roman"/>
          <w:i/>
          <w:color w:val="auto"/>
          <w:sz w:val="23"/>
          <w:szCs w:val="23"/>
          <w:lang w:val="pt-BR"/>
        </w:rPr>
        <w:t>Acta Crystallogr. Sect. A</w:t>
      </w:r>
      <w:r>
        <w:rPr>
          <w:rFonts w:hint="default" w:cs="Times New Roman"/>
          <w:color w:val="auto"/>
          <w:sz w:val="23"/>
          <w:szCs w:val="23"/>
          <w:lang w:val="pt-BR"/>
        </w:rPr>
        <w:t>, v. 32, n. 5, p. 922–923, set. 1976, doi: 10.1107/S0567739476001873.</w:t>
      </w:r>
    </w:p>
    <w:p w14:paraId="6693C6F2">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[66]</w:t>
      </w:r>
      <w:r>
        <w:rPr>
          <w:rFonts w:hint="default" w:cs="Times New Roman"/>
          <w:color w:val="auto"/>
          <w:sz w:val="23"/>
          <w:szCs w:val="23"/>
          <w:lang w:val="pt-BR"/>
        </w:rPr>
        <w:tab/>
        <w:t xml:space="preserve">B. Michaud e M. Begon, “ezc3d: An easy C3D file I/O cross-platform solution for C++, Python and MATLAB”, </w:t>
      </w:r>
      <w:r>
        <w:rPr>
          <w:rFonts w:hint="default" w:cs="Times New Roman"/>
          <w:i/>
          <w:color w:val="auto"/>
          <w:sz w:val="23"/>
          <w:szCs w:val="23"/>
          <w:lang w:val="pt-BR"/>
        </w:rPr>
        <w:t>J. Open Source Softw.</w:t>
      </w:r>
      <w:r>
        <w:rPr>
          <w:rFonts w:hint="default" w:cs="Times New Roman"/>
          <w:color w:val="auto"/>
          <w:sz w:val="23"/>
          <w:szCs w:val="23"/>
          <w:lang w:val="pt-BR"/>
        </w:rPr>
        <w:t>, v. 6, n. 58, p. 2911, fev. 2021, doi: 10.21105/joss.02911.</w:t>
      </w:r>
    </w:p>
    <w:p w14:paraId="539FFA91">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[67]</w:t>
      </w:r>
      <w:r>
        <w:rPr>
          <w:rFonts w:hint="default" w:cs="Times New Roman"/>
          <w:color w:val="auto"/>
          <w:sz w:val="23"/>
          <w:szCs w:val="23"/>
          <w:lang w:val="pt-BR"/>
        </w:rPr>
        <w:tab/>
        <w:t xml:space="preserve">A. Peters, B. Galna, M. Sangeux, M. Morris, e R. Baker, “Quantification of soft tissue artifact in lower limb human motion analysis: A systematic review”, </w:t>
      </w:r>
      <w:r>
        <w:rPr>
          <w:rFonts w:hint="default" w:cs="Times New Roman"/>
          <w:i/>
          <w:color w:val="auto"/>
          <w:sz w:val="23"/>
          <w:szCs w:val="23"/>
          <w:lang w:val="pt-BR"/>
        </w:rPr>
        <w:t>Gait Posture</w:t>
      </w:r>
      <w:r>
        <w:rPr>
          <w:rFonts w:hint="default" w:cs="Times New Roman"/>
          <w:color w:val="auto"/>
          <w:sz w:val="23"/>
          <w:szCs w:val="23"/>
          <w:lang w:val="pt-BR"/>
        </w:rPr>
        <w:t>, v. 31, n. 1, p. 1–8, jan. 2010, doi: 10.1016/j.gaitpost.2009.09.004.</w:t>
      </w:r>
    </w:p>
    <w:p w14:paraId="0BEC416D">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[68]</w:t>
      </w:r>
      <w:r>
        <w:rPr>
          <w:rFonts w:hint="default" w:cs="Times New Roman"/>
          <w:color w:val="auto"/>
          <w:sz w:val="23"/>
          <w:szCs w:val="23"/>
          <w:lang w:val="pt-BR"/>
        </w:rPr>
        <w:tab/>
        <w:t xml:space="preserve">D. G. E. Robertson, G. E. Caldwell, J. Hamill, G. Kamen, e S. N. Whittlesey, </w:t>
      </w:r>
      <w:r>
        <w:rPr>
          <w:rFonts w:hint="default" w:cs="Times New Roman"/>
          <w:i/>
          <w:color w:val="auto"/>
          <w:sz w:val="23"/>
          <w:szCs w:val="23"/>
          <w:lang w:val="pt-BR"/>
        </w:rPr>
        <w:t>Research Methods in Biomechanics</w:t>
      </w:r>
      <w:r>
        <w:rPr>
          <w:rFonts w:hint="default" w:cs="Times New Roman"/>
          <w:color w:val="auto"/>
          <w:sz w:val="23"/>
          <w:szCs w:val="23"/>
          <w:lang w:val="pt-BR"/>
        </w:rPr>
        <w:t>, 2</w:t>
      </w:r>
      <w:r>
        <w:rPr>
          <w:rFonts w:hint="default" w:cs="Times New Roman"/>
          <w:color w:val="auto"/>
          <w:sz w:val="23"/>
          <w:szCs w:val="23"/>
          <w:vertAlign w:val="superscript"/>
          <w:lang w:val="pt-BR"/>
        </w:rPr>
        <w:t>o</w:t>
      </w:r>
      <w:r>
        <w:rPr>
          <w:rFonts w:hint="default" w:cs="Times New Roman"/>
          <w:color w:val="auto"/>
          <w:sz w:val="23"/>
          <w:szCs w:val="23"/>
          <w:lang w:val="pt-BR"/>
        </w:rPr>
        <w:t xml:space="preserve"> ed. Human Kinetics, 2014. doi: 10.5040/9781492595809.</w:t>
      </w:r>
    </w:p>
    <w:p w14:paraId="09D6A25A">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[69]</w:t>
      </w:r>
      <w:r>
        <w:rPr>
          <w:rFonts w:hint="default" w:cs="Times New Roman"/>
          <w:color w:val="auto"/>
          <w:sz w:val="23"/>
          <w:szCs w:val="23"/>
          <w:lang w:val="pt-BR"/>
        </w:rPr>
        <w:tab/>
        <w:t xml:space="preserve">S. J. Howarth e J. P. Callaghan, “Quantitative assessment of the accuracy for three interpolation techniques in kinematic analysis of human movement”, </w:t>
      </w:r>
      <w:r>
        <w:rPr>
          <w:rFonts w:hint="default" w:cs="Times New Roman"/>
          <w:i/>
          <w:color w:val="auto"/>
          <w:sz w:val="23"/>
          <w:szCs w:val="23"/>
          <w:lang w:val="pt-BR"/>
        </w:rPr>
        <w:t>Comput. Methods Biomech. Biomed. Engin.</w:t>
      </w:r>
      <w:r>
        <w:rPr>
          <w:rFonts w:hint="default" w:cs="Times New Roman"/>
          <w:color w:val="auto"/>
          <w:sz w:val="23"/>
          <w:szCs w:val="23"/>
          <w:lang w:val="pt-BR"/>
        </w:rPr>
        <w:t>, v. 13, n. 6, p. 847–855, dez. 2010, doi: 10.1080/10255841003664701.</w:t>
      </w:r>
    </w:p>
    <w:p w14:paraId="08D4C1AA">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[70]</w:t>
      </w:r>
      <w:r>
        <w:rPr>
          <w:rFonts w:hint="default" w:cs="Times New Roman"/>
          <w:color w:val="auto"/>
          <w:sz w:val="23"/>
          <w:szCs w:val="23"/>
          <w:lang w:val="pt-BR"/>
        </w:rPr>
        <w:tab/>
        <w:t xml:space="preserve">M. Šenk e L. Chèze, “Rotation sequence as an important factor in shoulder kinematics”, </w:t>
      </w:r>
      <w:r>
        <w:rPr>
          <w:rFonts w:hint="default" w:cs="Times New Roman"/>
          <w:i/>
          <w:color w:val="auto"/>
          <w:sz w:val="23"/>
          <w:szCs w:val="23"/>
          <w:lang w:val="pt-BR"/>
        </w:rPr>
        <w:t>Clin. Biomech.</w:t>
      </w:r>
      <w:r>
        <w:rPr>
          <w:rFonts w:hint="default" w:cs="Times New Roman"/>
          <w:color w:val="auto"/>
          <w:sz w:val="23"/>
          <w:szCs w:val="23"/>
          <w:lang w:val="pt-BR"/>
        </w:rPr>
        <w:t>, v. 21, p. S3–S8, jan. 2006, doi: 10.1016/j.clinbiomech.2005.09.007.</w:t>
      </w:r>
    </w:p>
    <w:p w14:paraId="7677FAEC">
      <w:pPr>
        <w:tabs>
          <w:tab w:val="left" w:pos="0"/>
        </w:tabs>
        <w:spacing w:after="0" w:line="240" w:lineRule="auto"/>
        <w:ind w:left="504" w:hanging="504"/>
        <w:rPr>
          <w:rFonts w:hint="default" w:cs="Times New Roman"/>
          <w:color w:val="auto"/>
          <w:sz w:val="23"/>
          <w:szCs w:val="23"/>
          <w:lang w:val="pt-BR"/>
        </w:rPr>
      </w:pPr>
      <w:r>
        <w:rPr>
          <w:rFonts w:hint="default" w:cs="Times New Roman"/>
          <w:color w:val="auto"/>
          <w:sz w:val="23"/>
          <w:szCs w:val="23"/>
          <w:lang w:val="pt-BR"/>
        </w:rPr>
        <w:t>[71]</w:t>
      </w:r>
      <w:r>
        <w:rPr>
          <w:rFonts w:hint="default" w:cs="Times New Roman"/>
          <w:color w:val="auto"/>
          <w:sz w:val="23"/>
          <w:szCs w:val="23"/>
          <w:lang w:val="pt-BR"/>
        </w:rPr>
        <w:tab/>
        <w:t xml:space="preserve">R. E. Fellin, W. C. Rose, T. D. Royer, e I. S. Davis, “Comparison of methods for kinematic identification of footstrike and toe-off during overground and treadmill running”, </w:t>
      </w:r>
      <w:r>
        <w:rPr>
          <w:rFonts w:hint="default" w:cs="Times New Roman"/>
          <w:i/>
          <w:color w:val="auto"/>
          <w:sz w:val="23"/>
          <w:szCs w:val="23"/>
          <w:lang w:val="pt-BR"/>
        </w:rPr>
        <w:t>J. Sci. Med. Sport</w:t>
      </w:r>
      <w:r>
        <w:rPr>
          <w:rFonts w:hint="default" w:cs="Times New Roman"/>
          <w:color w:val="auto"/>
          <w:sz w:val="23"/>
          <w:szCs w:val="23"/>
          <w:lang w:val="pt-BR"/>
        </w:rPr>
        <w:t>, v. 13, n. 6, p. 646–650, nov. 2010, doi: 10.1016/j.jsams.2010.03.006.</w:t>
      </w:r>
    </w:p>
    <w:p w14:paraId="73BB0823">
      <w:pPr>
        <w:tabs>
          <w:tab w:val="left" w:pos="0"/>
        </w:tabs>
        <w:spacing w:after="0" w:line="240" w:lineRule="auto"/>
        <w:ind w:left="504" w:hanging="504"/>
        <w:rPr>
          <w:rFonts w:hint="default" w:ascii="Times New Roman" w:hAnsi="Times New Roman" w:eastAsia="Times New Roman" w:cs="Times New Roman"/>
          <w:color w:val="auto"/>
          <w:sz w:val="23"/>
          <w:szCs w:val="23"/>
          <w:lang w:val="en-US"/>
        </w:rPr>
      </w:pPr>
      <w:r>
        <w:rPr>
          <w:rFonts w:hint="default" w:cs="Times New Roman"/>
          <w:color w:val="auto"/>
          <w:sz w:val="23"/>
          <w:szCs w:val="23"/>
          <w:lang w:val="pt-BR"/>
        </w:rPr>
        <w:t>[72]</w:t>
      </w:r>
      <w:r>
        <w:rPr>
          <w:rFonts w:hint="default" w:cs="Times New Roman"/>
          <w:color w:val="auto"/>
          <w:sz w:val="23"/>
          <w:szCs w:val="23"/>
          <w:lang w:val="pt-BR"/>
        </w:rPr>
        <w:tab/>
        <w:t xml:space="preserve">J. A. Zeni, J. G. Richards, e J. S. Higginson, “Two simple methods for determining gait events during treadmill and overground walking using kinematic data”, </w:t>
      </w:r>
      <w:r>
        <w:rPr>
          <w:rFonts w:hint="default" w:cs="Times New Roman"/>
          <w:i/>
          <w:color w:val="auto"/>
          <w:sz w:val="23"/>
          <w:szCs w:val="23"/>
          <w:lang w:val="pt-BR"/>
        </w:rPr>
        <w:t>Gait Posture</w:t>
      </w:r>
      <w:r>
        <w:rPr>
          <w:rFonts w:hint="default" w:cs="Times New Roman"/>
          <w:color w:val="auto"/>
          <w:sz w:val="23"/>
          <w:szCs w:val="23"/>
          <w:lang w:val="pt-BR"/>
        </w:rPr>
        <w:t>, v. 27, n. 4, p. 710–714, maio 2008, doi: 10.1016/j.gaitpost.2007.07.007.</w:t>
      </w:r>
      <w:r>
        <w:rPr>
          <w:rFonts w:hint="default" w:ascii="Times New Roman" w:hAnsi="Times New Roman" w:eastAsia="Times New Roman" w:cs="Times New Roman"/>
          <w:color w:val="auto"/>
          <w:sz w:val="23"/>
          <w:szCs w:val="23"/>
          <w:lang w:val="en-US"/>
        </w:rPr>
        <w:fldChar w:fldCharType="end"/>
      </w:r>
    </w:p>
    <w:p w14:paraId="37E02F6D">
      <w:pPr>
        <w:spacing w:line="360" w:lineRule="auto"/>
        <w:rPr>
          <w:rFonts w:hint="default" w:ascii="Times New Roman" w:hAnsi="Times New Roman" w:eastAsia="Times New Roman" w:cs="Times New Roman"/>
          <w:color w:val="auto"/>
          <w:sz w:val="23"/>
          <w:szCs w:val="23"/>
          <w:lang w:val="en-US"/>
        </w:rPr>
      </w:pPr>
    </w:p>
    <w:p w14:paraId="3ADCE635">
      <w:pPr>
        <w:rPr>
          <w:rFonts w:hint="default" w:ascii="Times New Roman" w:hAnsi="Times New Roman" w:eastAsia="Times New Roman" w:cs="Times New Roman"/>
          <w:color w:val="auto"/>
          <w:lang w:val="en-US"/>
        </w:rPr>
      </w:pPr>
    </w:p>
    <w:sectPr>
      <w:headerReference r:id="rId5" w:type="default"/>
      <w:footerReference r:id="rId6" w:type="default"/>
      <w:pgSz w:w="11906" w:h="16838"/>
      <w:pgMar w:top="1411" w:right="1411" w:bottom="1411" w:left="1411"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2074EAA"/>
    <w:rsid w:val="043E57C2"/>
    <w:rsid w:val="08BE55F8"/>
    <w:rsid w:val="0A864054"/>
    <w:rsid w:val="120D2A76"/>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1A326BF"/>
    <w:rsid w:val="43352264"/>
    <w:rsid w:val="448536D8"/>
    <w:rsid w:val="508E3FB7"/>
    <w:rsid w:val="5E571978"/>
    <w:rsid w:val="62E01320"/>
    <w:rsid w:val="63DA25E0"/>
    <w:rsid w:val="69687548"/>
    <w:rsid w:val="6B5E5C35"/>
    <w:rsid w:val="6BD620A1"/>
    <w:rsid w:val="6CF65E99"/>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Times New Roman" w:hAnsi="Times New Roman" w:eastAsia="Times New Roman" w:cs="Times New Roman"/>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Times New Roman" w:hAnsi="Times New Roman" w:eastAsia="Times New Roman" w:cs="Times New Roman"/>
      <w:b/>
      <w:sz w:val="24"/>
      <w:szCs w:val="24"/>
      <w:lang w:eastAsia="pt-BR"/>
    </w:rPr>
  </w:style>
  <w:style w:type="character" w:customStyle="1" w:styleId="15">
    <w:name w:val="Corpo de texto Char"/>
    <w:basedOn w:val="6"/>
    <w:link w:val="10"/>
    <w:qFormat/>
    <w:uiPriority w:val="0"/>
    <w:rPr>
      <w:rFonts w:ascii="Times New Roman" w:hAnsi="Times New Roman" w:eastAsia="Times New Roman" w:cs="Times New Roman"/>
      <w:sz w:val="24"/>
      <w:szCs w:val="24"/>
      <w:lang w:eastAsia="pt-BR"/>
    </w:rPr>
  </w:style>
  <w:style w:type="character" w:customStyle="1" w:styleId="16">
    <w:name w:val="Cabeçalho Char"/>
    <w:basedOn w:val="6"/>
    <w:link w:val="12"/>
    <w:qFormat/>
    <w:uiPriority w:val="0"/>
    <w:rPr>
      <w:rFonts w:ascii="Times New Roman" w:hAnsi="Times New Roman" w:eastAsia="Times New Roman" w:cs="Times New Roman"/>
      <w:sz w:val="24"/>
      <w:szCs w:val="24"/>
      <w:lang w:eastAsia="pt-BR"/>
    </w:rPr>
  </w:style>
  <w:style w:type="character" w:customStyle="1" w:styleId="17">
    <w:name w:val="Rodapé Char"/>
    <w:basedOn w:val="6"/>
    <w:link w:val="13"/>
    <w:qFormat/>
    <w:uiPriority w:val="0"/>
    <w:rPr>
      <w:rFonts w:ascii="Times New Roman" w:hAnsi="Times New Roman" w:eastAsia="Times New Roman" w:cs="Times New Roman"/>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13970</Words>
  <Characters>81275</Characters>
  <Lines>1928</Lines>
  <Paragraphs>547</Paragraphs>
  <TotalTime>61</TotalTime>
  <ScaleCrop>false</ScaleCrop>
  <LinksUpToDate>false</LinksUpToDate>
  <CharactersWithSpaces>94891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2026-09-18T20:25:23Z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zotero-version="10.0.2"&gt;&lt;session id="ZWRfo9gq"/&gt;&lt;style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