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1C6695" w14:textId="4B6FB5B2" w:rsidR="001C4566" w:rsidRPr="00B83B32" w:rsidRDefault="003B65B1" w:rsidP="00B83B32">
      <w:pPr>
        <w:pStyle w:val="PargrafodaLista"/>
        <w:numPr>
          <w:ilvl w:val="0"/>
          <w:numId w:val="1"/>
        </w:numPr>
        <w:jc w:val="both"/>
        <w:rPr>
          <w:rFonts w:ascii="Cambria" w:hAnsi="Cambria"/>
          <w:b/>
          <w:sz w:val="28"/>
          <w:szCs w:val="28"/>
        </w:rPr>
      </w:pPr>
      <w:r w:rsidRPr="00C061D4">
        <w:rPr>
          <w:rFonts w:ascii="Cambria" w:hAnsi="Cambria"/>
          <w:b/>
          <w:sz w:val="28"/>
          <w:szCs w:val="28"/>
        </w:rPr>
        <w:t>Referencial Bibliográfico</w:t>
      </w:r>
    </w:p>
    <w:p w14:paraId="5A60CFA2" w14:textId="14CE5A0F" w:rsidR="00024AFF" w:rsidRPr="00C061D4" w:rsidRDefault="003B65B1" w:rsidP="003B65B1">
      <w:pPr>
        <w:ind w:firstLine="360"/>
        <w:jc w:val="both"/>
        <w:rPr>
          <w:rFonts w:ascii="Cambria" w:hAnsi="Cambria"/>
          <w:szCs w:val="28"/>
        </w:rPr>
      </w:pPr>
      <w:r w:rsidRPr="00C061D4">
        <w:rPr>
          <w:rFonts w:ascii="Cambria" w:hAnsi="Cambria"/>
          <w:szCs w:val="28"/>
        </w:rPr>
        <w:t xml:space="preserve">Esta seção visa oferecer uma introdução aos conceitos básicos </w:t>
      </w:r>
      <w:r w:rsidR="00C061D4" w:rsidRPr="00C061D4">
        <w:rPr>
          <w:rFonts w:ascii="Cambria" w:hAnsi="Cambria"/>
          <w:szCs w:val="28"/>
        </w:rPr>
        <w:t>para o entendimento da pesquisa.</w:t>
      </w:r>
      <w:r w:rsidR="008259AE" w:rsidRPr="00C061D4">
        <w:rPr>
          <w:rFonts w:ascii="Cambria" w:hAnsi="Cambria"/>
          <w:szCs w:val="28"/>
        </w:rPr>
        <w:t xml:space="preserve"> </w:t>
      </w:r>
    </w:p>
    <w:p w14:paraId="3CFBEAB7" w14:textId="1E59BE1C" w:rsidR="003B65B1" w:rsidRPr="00C061D4" w:rsidRDefault="008259AE" w:rsidP="003B65B1">
      <w:pPr>
        <w:ind w:firstLine="360"/>
        <w:jc w:val="both"/>
        <w:rPr>
          <w:rFonts w:ascii="Cambria" w:hAnsi="Cambria"/>
          <w:szCs w:val="28"/>
        </w:rPr>
      </w:pPr>
      <w:r w:rsidRPr="00C061D4">
        <w:rPr>
          <w:rFonts w:ascii="Cambria" w:hAnsi="Cambria"/>
          <w:szCs w:val="28"/>
        </w:rPr>
        <w:t xml:space="preserve">Um ponto </w:t>
      </w:r>
      <w:r w:rsidR="001B6A3D">
        <w:rPr>
          <w:rFonts w:ascii="Cambria" w:hAnsi="Cambria"/>
          <w:szCs w:val="28"/>
        </w:rPr>
        <w:t xml:space="preserve">de </w:t>
      </w:r>
      <w:r w:rsidRPr="00C061D4">
        <w:rPr>
          <w:rFonts w:ascii="Cambria" w:hAnsi="Cambria"/>
          <w:szCs w:val="28"/>
        </w:rPr>
        <w:t>ressalto</w:t>
      </w:r>
      <w:r w:rsidR="001B6A3D">
        <w:rPr>
          <w:rFonts w:ascii="Cambria" w:hAnsi="Cambria"/>
          <w:szCs w:val="28"/>
        </w:rPr>
        <w:t xml:space="preserve"> é que</w:t>
      </w:r>
      <w:r w:rsidRPr="00C061D4">
        <w:rPr>
          <w:rFonts w:ascii="Cambria" w:hAnsi="Cambria"/>
          <w:szCs w:val="28"/>
        </w:rPr>
        <w:t xml:space="preserve"> es</w:t>
      </w:r>
      <w:r w:rsidR="001B6A3D">
        <w:rPr>
          <w:rFonts w:ascii="Cambria" w:hAnsi="Cambria"/>
          <w:szCs w:val="28"/>
        </w:rPr>
        <w:t>t</w:t>
      </w:r>
      <w:r w:rsidRPr="00C061D4">
        <w:rPr>
          <w:rFonts w:ascii="Cambria" w:hAnsi="Cambria"/>
          <w:szCs w:val="28"/>
        </w:rPr>
        <w:t xml:space="preserve">e trabalho  aborda aspectos de espaçonaves que </w:t>
      </w:r>
      <w:r w:rsidR="00024AFF" w:rsidRPr="00C061D4">
        <w:rPr>
          <w:rFonts w:ascii="Cambria" w:hAnsi="Cambria"/>
          <w:szCs w:val="28"/>
        </w:rPr>
        <w:t>orbitam a</w:t>
      </w:r>
      <w:r w:rsidR="000A7DF1">
        <w:rPr>
          <w:rFonts w:ascii="Cambria" w:hAnsi="Cambria"/>
          <w:szCs w:val="28"/>
        </w:rPr>
        <w:t xml:space="preserve"> </w:t>
      </w:r>
      <w:r w:rsidR="00024AFF" w:rsidRPr="00C061D4">
        <w:rPr>
          <w:rFonts w:ascii="Cambria" w:hAnsi="Cambria"/>
          <w:szCs w:val="28"/>
        </w:rPr>
        <w:t xml:space="preserve">Terra, </w:t>
      </w:r>
      <w:r w:rsidR="0055329D">
        <w:rPr>
          <w:rFonts w:ascii="Cambria" w:hAnsi="Cambria"/>
          <w:szCs w:val="28"/>
        </w:rPr>
        <w:t xml:space="preserve">sendo assim essas espaçonaves são </w:t>
      </w:r>
      <w:r w:rsidR="00024AFF" w:rsidRPr="00C061D4">
        <w:rPr>
          <w:rFonts w:ascii="Cambria" w:hAnsi="Cambria"/>
          <w:szCs w:val="28"/>
        </w:rPr>
        <w:t>satélite</w:t>
      </w:r>
      <w:r w:rsidR="0055329D">
        <w:rPr>
          <w:rFonts w:ascii="Cambria" w:hAnsi="Cambria"/>
          <w:szCs w:val="28"/>
        </w:rPr>
        <w:t>s</w:t>
      </w:r>
      <w:r w:rsidR="00024AFF" w:rsidRPr="00C061D4">
        <w:rPr>
          <w:rFonts w:ascii="Cambria" w:hAnsi="Cambria"/>
          <w:szCs w:val="28"/>
        </w:rPr>
        <w:t xml:space="preserve">. </w:t>
      </w:r>
      <w:r w:rsidR="0055329D">
        <w:rPr>
          <w:rFonts w:ascii="Cambria" w:hAnsi="Cambria"/>
          <w:szCs w:val="28"/>
        </w:rPr>
        <w:t>O</w:t>
      </w:r>
      <w:r w:rsidR="00024AFF" w:rsidRPr="00C061D4">
        <w:rPr>
          <w:rFonts w:ascii="Cambria" w:hAnsi="Cambria"/>
          <w:szCs w:val="28"/>
        </w:rPr>
        <w:t>nde se ler satélite entende-se espaçonave, vice-versa.</w:t>
      </w:r>
    </w:p>
    <w:p w14:paraId="6C2413CA" w14:textId="183B90D2" w:rsidR="00230B70" w:rsidRPr="00C061D4" w:rsidRDefault="00B719CB" w:rsidP="00230B70">
      <w:pPr>
        <w:pStyle w:val="PargrafodaLista"/>
        <w:numPr>
          <w:ilvl w:val="1"/>
          <w:numId w:val="1"/>
        </w:numPr>
        <w:jc w:val="both"/>
        <w:rPr>
          <w:rFonts w:ascii="Cambria" w:hAnsi="Cambria"/>
          <w:b/>
          <w:sz w:val="28"/>
          <w:szCs w:val="28"/>
        </w:rPr>
      </w:pPr>
      <w:r w:rsidRPr="00C061D4">
        <w:rPr>
          <w:rFonts w:ascii="Cambria" w:hAnsi="Cambria"/>
          <w:b/>
          <w:sz w:val="28"/>
          <w:szCs w:val="28"/>
        </w:rPr>
        <w:t xml:space="preserve">Pequenos </w:t>
      </w:r>
      <w:r w:rsidR="00C62D4B" w:rsidRPr="00C061D4">
        <w:rPr>
          <w:rFonts w:ascii="Cambria" w:hAnsi="Cambria"/>
          <w:b/>
          <w:sz w:val="28"/>
          <w:szCs w:val="28"/>
        </w:rPr>
        <w:t>Satélites</w:t>
      </w:r>
    </w:p>
    <w:p w14:paraId="26B4F664" w14:textId="7DED3DA5" w:rsidR="00375DAF" w:rsidRPr="00C061D4" w:rsidRDefault="004E3788" w:rsidP="00375DAF">
      <w:pPr>
        <w:ind w:firstLine="360"/>
        <w:jc w:val="both"/>
        <w:rPr>
          <w:rFonts w:ascii="Cambria" w:hAnsi="Cambria"/>
          <w:color w:val="000000"/>
        </w:rPr>
      </w:pPr>
      <w:r w:rsidRPr="00C061D4">
        <w:rPr>
          <w:rFonts w:ascii="Cambria" w:hAnsi="Cambria"/>
          <w:color w:val="000000"/>
        </w:rPr>
        <w:t xml:space="preserve"> </w:t>
      </w:r>
      <w:r w:rsidR="00717768">
        <w:rPr>
          <w:rFonts w:ascii="Cambria" w:hAnsi="Cambria"/>
          <w:color w:val="000000"/>
        </w:rPr>
        <w:t xml:space="preserve">O termo </w:t>
      </w:r>
      <w:r w:rsidR="00173C37" w:rsidRPr="00C061D4">
        <w:rPr>
          <w:rFonts w:ascii="Cambria" w:hAnsi="Cambria"/>
          <w:color w:val="000000"/>
        </w:rPr>
        <w:t>“</w:t>
      </w:r>
      <w:r w:rsidR="00717768">
        <w:rPr>
          <w:rFonts w:ascii="Cambria" w:hAnsi="Cambria"/>
          <w:color w:val="000000"/>
        </w:rPr>
        <w:t>p</w:t>
      </w:r>
      <w:r w:rsidR="00173C37" w:rsidRPr="00C061D4">
        <w:rPr>
          <w:rFonts w:ascii="Cambria" w:hAnsi="Cambria"/>
          <w:color w:val="000000"/>
        </w:rPr>
        <w:t xml:space="preserve">equenos </w:t>
      </w:r>
      <w:r w:rsidRPr="00C061D4">
        <w:rPr>
          <w:rFonts w:ascii="Cambria" w:hAnsi="Cambria"/>
          <w:color w:val="000000"/>
        </w:rPr>
        <w:t>satélites</w:t>
      </w:r>
      <w:r w:rsidR="00173C37" w:rsidRPr="00C061D4">
        <w:rPr>
          <w:rFonts w:ascii="Cambria" w:hAnsi="Cambria"/>
          <w:color w:val="000000"/>
        </w:rPr>
        <w:t xml:space="preserve">” </w:t>
      </w:r>
      <w:r w:rsidR="00717768">
        <w:rPr>
          <w:rFonts w:ascii="Cambria" w:hAnsi="Cambria"/>
          <w:color w:val="000000"/>
        </w:rPr>
        <w:t>é designado para caracterizar satélites que p</w:t>
      </w:r>
      <w:r w:rsidR="00173C37" w:rsidRPr="00C061D4">
        <w:rPr>
          <w:rFonts w:ascii="Cambria" w:hAnsi="Cambria"/>
          <w:color w:val="000000"/>
        </w:rPr>
        <w:t xml:space="preserve">ossuem massa úmida </w:t>
      </w:r>
      <w:r w:rsidR="00375DAF" w:rsidRPr="00C061D4">
        <w:rPr>
          <w:rFonts w:ascii="Cambria" w:hAnsi="Cambria"/>
          <w:color w:val="000000"/>
        </w:rPr>
        <w:t xml:space="preserve">(massa do satélite mais massa do propelente) inferior a </w:t>
      </w:r>
      <w:r w:rsidR="000F001C">
        <w:rPr>
          <w:rFonts w:ascii="Cambria" w:hAnsi="Cambria"/>
          <w:color w:val="000000"/>
        </w:rPr>
        <w:t>500</w:t>
      </w:r>
      <w:r w:rsidR="00AE755B" w:rsidRPr="00C061D4">
        <w:rPr>
          <w:rFonts w:ascii="Cambria" w:hAnsi="Cambria"/>
          <w:color w:val="000000"/>
        </w:rPr>
        <w:t xml:space="preserve"> </w:t>
      </w:r>
      <w:r w:rsidR="00375DAF" w:rsidRPr="00C061D4">
        <w:rPr>
          <w:rFonts w:ascii="Cambria" w:hAnsi="Cambria"/>
          <w:color w:val="000000"/>
        </w:rPr>
        <w:t xml:space="preserve">kg. Esta definição </w:t>
      </w:r>
      <w:r w:rsidR="00024AFF" w:rsidRPr="00C061D4">
        <w:rPr>
          <w:rFonts w:ascii="Cambria" w:hAnsi="Cambria"/>
          <w:color w:val="000000"/>
        </w:rPr>
        <w:t xml:space="preserve">cumpre a terminologia </w:t>
      </w:r>
      <w:r w:rsidR="00375DAF" w:rsidRPr="00C061D4">
        <w:rPr>
          <w:rFonts w:ascii="Cambria" w:hAnsi="Cambria"/>
          <w:color w:val="000000"/>
        </w:rPr>
        <w:t xml:space="preserve">estabelecida pelo </w:t>
      </w:r>
      <w:r w:rsidR="00375DAF" w:rsidRPr="00C061D4">
        <w:rPr>
          <w:rFonts w:ascii="Cambria" w:hAnsi="Cambria"/>
          <w:i/>
          <w:color w:val="000000"/>
        </w:rPr>
        <w:t>Small Space Tecnology Program</w:t>
      </w:r>
      <w:r w:rsidR="00375DAF" w:rsidRPr="00C061D4">
        <w:rPr>
          <w:rFonts w:ascii="Cambria" w:hAnsi="Cambria"/>
          <w:color w:val="000000"/>
        </w:rPr>
        <w:t xml:space="preserve"> (</w:t>
      </w:r>
      <w:r w:rsidR="00375DAF" w:rsidRPr="00C061D4">
        <w:rPr>
          <w:rFonts w:ascii="Cambria" w:hAnsi="Cambria"/>
          <w:i/>
          <w:color w:val="000000"/>
        </w:rPr>
        <w:t>SSTP</w:t>
      </w:r>
      <w:r w:rsidR="00375DAF" w:rsidRPr="00C061D4">
        <w:rPr>
          <w:rFonts w:ascii="Cambria" w:hAnsi="Cambria"/>
          <w:color w:val="000000"/>
        </w:rPr>
        <w:t>) da NASA (</w:t>
      </w:r>
      <w:r w:rsidR="00717ADF" w:rsidRPr="00C061D4">
        <w:rPr>
          <w:rFonts w:ascii="Cambria" w:hAnsi="Cambria"/>
        </w:rPr>
        <w:t>ROGAN SHIMMIN</w:t>
      </w:r>
      <w:r w:rsidR="00375DAF" w:rsidRPr="00C061D4">
        <w:rPr>
          <w:rFonts w:ascii="Cambria" w:hAnsi="Cambria"/>
          <w:color w:val="000000"/>
        </w:rPr>
        <w:t xml:space="preserve">, 2015). A Figura 1 </w:t>
      </w:r>
      <w:r w:rsidR="00024AFF" w:rsidRPr="00C061D4">
        <w:rPr>
          <w:rFonts w:ascii="Cambria" w:hAnsi="Cambria"/>
          <w:color w:val="000000"/>
        </w:rPr>
        <w:t>mostra a</w:t>
      </w:r>
      <w:r w:rsidR="00502927">
        <w:rPr>
          <w:rFonts w:ascii="Cambria" w:hAnsi="Cambria"/>
          <w:color w:val="000000"/>
        </w:rPr>
        <w:t>s sub</w:t>
      </w:r>
      <w:r w:rsidR="00024AFF" w:rsidRPr="00C061D4">
        <w:rPr>
          <w:rFonts w:ascii="Cambria" w:hAnsi="Cambria"/>
          <w:color w:val="000000"/>
        </w:rPr>
        <w:t>categoria</w:t>
      </w:r>
      <w:r w:rsidR="00502927">
        <w:rPr>
          <w:rFonts w:ascii="Cambria" w:hAnsi="Cambria"/>
          <w:color w:val="000000"/>
        </w:rPr>
        <w:t>s</w:t>
      </w:r>
      <w:r w:rsidR="00024AFF" w:rsidRPr="00C061D4">
        <w:rPr>
          <w:rFonts w:ascii="Cambria" w:hAnsi="Cambria"/>
          <w:color w:val="000000"/>
        </w:rPr>
        <w:t xml:space="preserve"> </w:t>
      </w:r>
      <w:r w:rsidR="00AE755B" w:rsidRPr="00C061D4">
        <w:rPr>
          <w:rFonts w:ascii="Cambria" w:hAnsi="Cambria"/>
          <w:color w:val="000000"/>
        </w:rPr>
        <w:t xml:space="preserve">de pequenos satélites </w:t>
      </w:r>
      <w:r w:rsidR="00024AFF" w:rsidRPr="00C061D4">
        <w:rPr>
          <w:rFonts w:ascii="Cambria" w:hAnsi="Cambria"/>
          <w:color w:val="000000"/>
        </w:rPr>
        <w:t>e</w:t>
      </w:r>
      <w:r w:rsidR="00AE755B" w:rsidRPr="00C061D4">
        <w:rPr>
          <w:rFonts w:ascii="Cambria" w:hAnsi="Cambria"/>
          <w:color w:val="000000"/>
        </w:rPr>
        <w:t xml:space="preserve"> alguns </w:t>
      </w:r>
      <w:r w:rsidR="00717ADF" w:rsidRPr="00C061D4">
        <w:rPr>
          <w:rFonts w:ascii="Cambria" w:hAnsi="Cambria"/>
          <w:color w:val="000000"/>
        </w:rPr>
        <w:t>exemplos</w:t>
      </w:r>
      <w:r w:rsidR="00E825BE" w:rsidRPr="00C061D4">
        <w:rPr>
          <w:rFonts w:ascii="Cambria" w:hAnsi="Cambria"/>
          <w:color w:val="000000"/>
        </w:rPr>
        <w:t xml:space="preserve"> de espaçonaves já lançadas</w:t>
      </w:r>
      <w:r w:rsidR="00375DAF" w:rsidRPr="00C061D4">
        <w:rPr>
          <w:rFonts w:ascii="Cambria" w:hAnsi="Cambria"/>
          <w:color w:val="000000"/>
        </w:rPr>
        <w:t>.</w:t>
      </w:r>
    </w:p>
    <w:p w14:paraId="49C5DFA9" w14:textId="6F56FEC0" w:rsidR="00042375" w:rsidRPr="00C061D4" w:rsidRDefault="006D06C7" w:rsidP="00173C37">
      <w:pPr>
        <w:ind w:firstLine="360"/>
        <w:jc w:val="center"/>
        <w:rPr>
          <w:rFonts w:ascii="Cambria" w:hAnsi="Cambria"/>
          <w:color w:val="000000"/>
        </w:rPr>
      </w:pPr>
      <w:r>
        <w:rPr>
          <w:noProof/>
        </w:rPr>
        <w:drawing>
          <wp:inline distT="0" distB="0" distL="0" distR="0" wp14:anchorId="77781025" wp14:editId="336713A9">
            <wp:extent cx="5400040" cy="3044825"/>
            <wp:effectExtent l="0" t="0" r="0" b="317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3044825"/>
                    </a:xfrm>
                    <a:prstGeom prst="rect">
                      <a:avLst/>
                    </a:prstGeom>
                  </pic:spPr>
                </pic:pic>
              </a:graphicData>
            </a:graphic>
          </wp:inline>
        </w:drawing>
      </w:r>
    </w:p>
    <w:p w14:paraId="68B73447" w14:textId="725CE938" w:rsidR="00173C37" w:rsidRPr="00C061D4" w:rsidRDefault="00173C37" w:rsidP="00173C37">
      <w:pPr>
        <w:ind w:firstLine="360"/>
        <w:jc w:val="center"/>
        <w:rPr>
          <w:rFonts w:ascii="Cambria" w:hAnsi="Cambria"/>
          <w:color w:val="000000"/>
        </w:rPr>
      </w:pPr>
      <w:r w:rsidRPr="00C061D4">
        <w:rPr>
          <w:rFonts w:ascii="Cambria" w:hAnsi="Cambria"/>
          <w:color w:val="000000"/>
        </w:rPr>
        <w:t>Figura X.: Categoria de Pequenos Satélites e alguns exemplos</w:t>
      </w:r>
      <w:r w:rsidR="000B6317">
        <w:rPr>
          <w:rFonts w:ascii="Cambria" w:hAnsi="Cambria"/>
          <w:color w:val="000000"/>
        </w:rPr>
        <w:t xml:space="preserve"> </w:t>
      </w:r>
      <w:r w:rsidR="000B6317" w:rsidRPr="000B6317">
        <w:rPr>
          <w:rFonts w:ascii="Cambria" w:hAnsi="Cambria"/>
          <w:color w:val="000000"/>
        </w:rPr>
        <w:t>(BARNHART, 2008)</w:t>
      </w:r>
      <w:r w:rsidRPr="00C061D4">
        <w:rPr>
          <w:rFonts w:ascii="Cambria" w:hAnsi="Cambria"/>
          <w:color w:val="000000"/>
        </w:rPr>
        <w:t>.</w:t>
      </w:r>
    </w:p>
    <w:p w14:paraId="41979600" w14:textId="210F8AFB" w:rsidR="006D06C7" w:rsidRDefault="00073810" w:rsidP="00F636BC">
      <w:pPr>
        <w:ind w:firstLine="360"/>
        <w:jc w:val="both"/>
        <w:rPr>
          <w:rFonts w:ascii="Cambria" w:hAnsi="Cambria"/>
          <w:color w:val="000000"/>
        </w:rPr>
      </w:pPr>
      <w:r w:rsidRPr="00C061D4">
        <w:rPr>
          <w:rFonts w:ascii="Cambria" w:hAnsi="Cambria"/>
          <w:color w:val="000000"/>
        </w:rPr>
        <w:t>As espaçonaves são normalmente agrupadas conforme sua massa</w:t>
      </w:r>
      <w:r>
        <w:rPr>
          <w:rFonts w:ascii="Cambria" w:hAnsi="Cambria"/>
          <w:color w:val="000000"/>
        </w:rPr>
        <w:t xml:space="preserve">. </w:t>
      </w:r>
      <w:r w:rsidR="004E3788" w:rsidRPr="00C061D4">
        <w:rPr>
          <w:rFonts w:ascii="Cambria" w:hAnsi="Cambria"/>
          <w:color w:val="000000"/>
        </w:rPr>
        <w:t>No limite superior d</w:t>
      </w:r>
      <w:r w:rsidR="00717768">
        <w:rPr>
          <w:rFonts w:ascii="Cambria" w:hAnsi="Cambria"/>
          <w:color w:val="000000"/>
        </w:rPr>
        <w:t>a categoria de pequenos satélites</w:t>
      </w:r>
      <w:r w:rsidR="004E3788" w:rsidRPr="00C061D4">
        <w:rPr>
          <w:rFonts w:ascii="Cambria" w:hAnsi="Cambria"/>
          <w:color w:val="000000"/>
        </w:rPr>
        <w:t xml:space="preserve">, existem minissatélites como o </w:t>
      </w:r>
      <w:r w:rsidR="00AE6F38">
        <w:rPr>
          <w:rFonts w:ascii="Cambria" w:hAnsi="Cambria"/>
          <w:color w:val="000000"/>
        </w:rPr>
        <w:t>Globalstar</w:t>
      </w:r>
      <w:r w:rsidR="000A7DF1">
        <w:rPr>
          <w:rFonts w:ascii="Cambria" w:hAnsi="Cambria"/>
          <w:color w:val="000000"/>
        </w:rPr>
        <w:t>,</w:t>
      </w:r>
      <w:r w:rsidR="004E3788" w:rsidRPr="00C061D4">
        <w:rPr>
          <w:rFonts w:ascii="Cambria" w:hAnsi="Cambria"/>
          <w:color w:val="000000"/>
        </w:rPr>
        <w:t xml:space="preserve"> </w:t>
      </w:r>
      <w:r w:rsidR="009D53C1">
        <w:rPr>
          <w:rFonts w:ascii="Cambria" w:hAnsi="Cambria"/>
          <w:color w:val="000000"/>
        </w:rPr>
        <w:t xml:space="preserve">satélite italiano para telecomunicações, que </w:t>
      </w:r>
      <w:r w:rsidR="00717768">
        <w:rPr>
          <w:rFonts w:ascii="Cambria" w:hAnsi="Cambria"/>
          <w:color w:val="000000"/>
        </w:rPr>
        <w:t>possui</w:t>
      </w:r>
      <w:r w:rsidR="009D53C1">
        <w:rPr>
          <w:rFonts w:ascii="Cambria" w:hAnsi="Cambria"/>
          <w:color w:val="000000"/>
        </w:rPr>
        <w:t xml:space="preserve"> massa úmida de 450 kg (</w:t>
      </w:r>
      <w:r w:rsidR="009D53C1" w:rsidRPr="009D53C1">
        <w:rPr>
          <w:rFonts w:ascii="Cambria" w:hAnsi="Cambria"/>
          <w:color w:val="000000"/>
        </w:rPr>
        <w:t>GLOBALSTAR, L.P, 2000</w:t>
      </w:r>
      <w:r w:rsidR="009D53C1">
        <w:rPr>
          <w:rFonts w:ascii="Cambria" w:hAnsi="Cambria"/>
          <w:color w:val="000000"/>
        </w:rPr>
        <w:t>)</w:t>
      </w:r>
      <w:r w:rsidR="004E3788" w:rsidRPr="00C061D4">
        <w:rPr>
          <w:rFonts w:ascii="Cambria" w:hAnsi="Cambria"/>
          <w:color w:val="000000"/>
        </w:rPr>
        <w:t xml:space="preserve">. </w:t>
      </w:r>
      <w:r w:rsidR="000A7DF1">
        <w:rPr>
          <w:rFonts w:ascii="Cambria" w:hAnsi="Cambria"/>
          <w:color w:val="000000"/>
        </w:rPr>
        <w:t xml:space="preserve">Já no </w:t>
      </w:r>
      <w:r w:rsidR="004E3788" w:rsidRPr="00C061D4">
        <w:rPr>
          <w:rFonts w:ascii="Cambria" w:hAnsi="Cambria"/>
          <w:color w:val="000000"/>
        </w:rPr>
        <w:t xml:space="preserve">extremo inferior, existem projetos como o KickSat que </w:t>
      </w:r>
      <w:r w:rsidR="009B63CF">
        <w:rPr>
          <w:rFonts w:ascii="Cambria" w:hAnsi="Cambria"/>
          <w:color w:val="000000"/>
        </w:rPr>
        <w:t>colocou em orbita 128</w:t>
      </w:r>
      <w:r w:rsidR="004E3788" w:rsidRPr="00C061D4">
        <w:rPr>
          <w:rFonts w:ascii="Cambria" w:hAnsi="Cambria"/>
          <w:color w:val="000000"/>
        </w:rPr>
        <w:t xml:space="preserve"> </w:t>
      </w:r>
      <w:r w:rsidR="006D06C7">
        <w:rPr>
          <w:rFonts w:ascii="Cambria" w:hAnsi="Cambria"/>
          <w:color w:val="000000"/>
        </w:rPr>
        <w:t xml:space="preserve">pemtosatelites </w:t>
      </w:r>
      <w:r w:rsidR="004E3788" w:rsidRPr="00C061D4">
        <w:rPr>
          <w:rFonts w:ascii="Cambria" w:hAnsi="Cambria"/>
          <w:color w:val="000000"/>
        </w:rPr>
        <w:t xml:space="preserve"> </w:t>
      </w:r>
      <w:r w:rsidR="006D06C7">
        <w:rPr>
          <w:rFonts w:ascii="Cambria" w:hAnsi="Cambria"/>
          <w:color w:val="000000"/>
        </w:rPr>
        <w:t>com 5</w:t>
      </w:r>
      <w:r w:rsidR="00717768">
        <w:rPr>
          <w:rFonts w:ascii="Cambria" w:hAnsi="Cambria"/>
          <w:color w:val="000000"/>
        </w:rPr>
        <w:t xml:space="preserve">g </w:t>
      </w:r>
      <w:r w:rsidR="00ED45CB" w:rsidRPr="00073810">
        <w:rPr>
          <w:rFonts w:ascii="Cambria" w:hAnsi="Cambria"/>
          <w:color w:val="000000"/>
        </w:rPr>
        <w:t>(GRIFFITHS, 2017)</w:t>
      </w:r>
      <w:r w:rsidR="004E3788" w:rsidRPr="00C061D4">
        <w:rPr>
          <w:rFonts w:ascii="Cambria" w:hAnsi="Cambria"/>
          <w:color w:val="000000"/>
        </w:rPr>
        <w:t xml:space="preserve">. </w:t>
      </w:r>
    </w:p>
    <w:p w14:paraId="50AD8C3D" w14:textId="1B093C7D" w:rsidR="00317702" w:rsidRDefault="009B63CF" w:rsidP="001C4566">
      <w:pPr>
        <w:ind w:firstLine="360"/>
        <w:jc w:val="both"/>
        <w:rPr>
          <w:rFonts w:ascii="Cambria" w:hAnsi="Cambria"/>
          <w:color w:val="000000"/>
        </w:rPr>
      </w:pPr>
      <w:r>
        <w:rPr>
          <w:rFonts w:ascii="Cambria" w:hAnsi="Cambria"/>
          <w:color w:val="000000"/>
        </w:rPr>
        <w:t>Uma</w:t>
      </w:r>
      <w:r w:rsidR="000B6317">
        <w:rPr>
          <w:rFonts w:ascii="Cambria" w:hAnsi="Cambria"/>
          <w:color w:val="000000"/>
        </w:rPr>
        <w:t xml:space="preserve"> dessas sete</w:t>
      </w:r>
      <w:r>
        <w:rPr>
          <w:rFonts w:ascii="Cambria" w:hAnsi="Cambria"/>
          <w:color w:val="000000"/>
        </w:rPr>
        <w:t xml:space="preserve"> subcategoria</w:t>
      </w:r>
      <w:r w:rsidR="000B6317">
        <w:rPr>
          <w:rFonts w:ascii="Cambria" w:hAnsi="Cambria"/>
          <w:color w:val="000000"/>
        </w:rPr>
        <w:t>s</w:t>
      </w:r>
      <w:r>
        <w:rPr>
          <w:rFonts w:ascii="Cambria" w:hAnsi="Cambria"/>
          <w:color w:val="000000"/>
        </w:rPr>
        <w:t xml:space="preserve"> se tornou muito popular na última década</w:t>
      </w:r>
      <w:r w:rsidR="00317702">
        <w:rPr>
          <w:rFonts w:ascii="Cambria" w:hAnsi="Cambria"/>
          <w:color w:val="000000"/>
        </w:rPr>
        <w:t>, que foi</w:t>
      </w:r>
      <w:r w:rsidR="009C3629">
        <w:rPr>
          <w:rFonts w:ascii="Cambria" w:hAnsi="Cambria"/>
          <w:color w:val="000000"/>
        </w:rPr>
        <w:t xml:space="preserve"> a de </w:t>
      </w:r>
      <w:r w:rsidR="00317702">
        <w:rPr>
          <w:rFonts w:ascii="Cambria" w:hAnsi="Cambria"/>
          <w:color w:val="000000"/>
        </w:rPr>
        <w:t>nanosatélites</w:t>
      </w:r>
      <w:r>
        <w:rPr>
          <w:rFonts w:ascii="Cambria" w:hAnsi="Cambria"/>
          <w:color w:val="000000"/>
        </w:rPr>
        <w:t>.</w:t>
      </w:r>
      <w:r w:rsidR="00317702">
        <w:rPr>
          <w:rFonts w:ascii="Cambria" w:hAnsi="Cambria"/>
          <w:color w:val="000000"/>
        </w:rPr>
        <w:t xml:space="preserve"> </w:t>
      </w:r>
      <w:r w:rsidR="00122EF6">
        <w:rPr>
          <w:rFonts w:ascii="Cambria" w:hAnsi="Cambria"/>
          <w:color w:val="000000"/>
        </w:rPr>
        <w:t>Esse crescimento pode ser observado na figura X, que mostra a quantidade de pequenos satélites colocados em orbita, entre os anos de 1995 e 2014. Tal</w:t>
      </w:r>
      <w:r w:rsidR="00317702">
        <w:rPr>
          <w:rFonts w:ascii="Cambria" w:hAnsi="Cambria"/>
          <w:color w:val="000000"/>
        </w:rPr>
        <w:t xml:space="preserve"> aumento foi provocado devido o surgimento do padrão Cubesat, </w:t>
      </w:r>
      <w:r w:rsidR="00317702" w:rsidRPr="00122EF6">
        <w:rPr>
          <w:rFonts w:ascii="Cambria" w:hAnsi="Cambria"/>
          <w:color w:val="000000"/>
        </w:rPr>
        <w:t xml:space="preserve">plataforma cubica de </w:t>
      </w:r>
      <w:r w:rsidR="00317702" w:rsidRPr="00122EF6">
        <w:rPr>
          <w:rFonts w:ascii="Cambria" w:hAnsi="Cambria"/>
          <w:color w:val="000000"/>
        </w:rPr>
        <w:t xml:space="preserve">10 × 10 × 10 cm que </w:t>
      </w:r>
      <w:r w:rsidR="00717768">
        <w:rPr>
          <w:rFonts w:ascii="Cambria" w:hAnsi="Cambria"/>
          <w:color w:val="000000"/>
        </w:rPr>
        <w:t>possui</w:t>
      </w:r>
      <w:r w:rsidR="00317702" w:rsidRPr="00122EF6">
        <w:rPr>
          <w:rFonts w:ascii="Cambria" w:hAnsi="Cambria"/>
          <w:color w:val="000000"/>
        </w:rPr>
        <w:t xml:space="preserve"> alguns quilogramas</w:t>
      </w:r>
      <w:r w:rsidR="00122EF6" w:rsidRPr="00122EF6">
        <w:rPr>
          <w:rFonts w:ascii="Cambria" w:hAnsi="Cambria"/>
          <w:color w:val="000000"/>
        </w:rPr>
        <w:t xml:space="preserve">. </w:t>
      </w:r>
      <w:r w:rsidR="00122EF6">
        <w:rPr>
          <w:rFonts w:ascii="Cambria" w:hAnsi="Cambria"/>
          <w:color w:val="000000"/>
        </w:rPr>
        <w:t>Tomando o ano de 2014</w:t>
      </w:r>
      <w:r w:rsidR="00317702">
        <w:rPr>
          <w:rFonts w:ascii="Cambria" w:hAnsi="Cambria"/>
          <w:color w:val="000000"/>
        </w:rPr>
        <w:t xml:space="preserve">, mais de </w:t>
      </w:r>
      <w:r w:rsidR="00122EF6">
        <w:rPr>
          <w:rFonts w:ascii="Cambria" w:hAnsi="Cambria"/>
          <w:color w:val="000000"/>
        </w:rPr>
        <w:t>123</w:t>
      </w:r>
      <w:r w:rsidR="00317702">
        <w:rPr>
          <w:rFonts w:ascii="Cambria" w:hAnsi="Cambria"/>
          <w:color w:val="000000"/>
        </w:rPr>
        <w:t xml:space="preserve"> nanosatélites foram lançados, sendo 68% CubeSats </w:t>
      </w:r>
      <w:r w:rsidR="00317702" w:rsidRPr="004035C5">
        <w:rPr>
          <w:rFonts w:ascii="Cambria" w:hAnsi="Cambria"/>
          <w:color w:val="000000"/>
        </w:rPr>
        <w:t>(WEKERLE; FILHO, 2017)</w:t>
      </w:r>
      <w:r w:rsidR="00317702">
        <w:rPr>
          <w:rFonts w:ascii="Cambria" w:hAnsi="Cambria"/>
          <w:color w:val="000000"/>
        </w:rPr>
        <w:t xml:space="preserve">. </w:t>
      </w:r>
      <w:r w:rsidR="00A90619">
        <w:rPr>
          <w:rFonts w:ascii="Cambria" w:hAnsi="Cambria"/>
          <w:color w:val="000000"/>
        </w:rPr>
        <w:t xml:space="preserve"> </w:t>
      </w:r>
    </w:p>
    <w:p w14:paraId="3D5DB022" w14:textId="77777777" w:rsidR="00317702" w:rsidRDefault="00317702" w:rsidP="001C4566">
      <w:pPr>
        <w:ind w:firstLine="360"/>
        <w:jc w:val="both"/>
        <w:rPr>
          <w:rFonts w:ascii="Cambria" w:hAnsi="Cambria"/>
          <w:color w:val="000000"/>
        </w:rPr>
      </w:pPr>
      <w:r>
        <w:rPr>
          <w:noProof/>
        </w:rPr>
        <w:lastRenderedPageBreak/>
        <w:drawing>
          <wp:inline distT="0" distB="0" distL="0" distR="0" wp14:anchorId="72342DED" wp14:editId="65B06420">
            <wp:extent cx="5400040" cy="339852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3398520"/>
                    </a:xfrm>
                    <a:prstGeom prst="rect">
                      <a:avLst/>
                    </a:prstGeom>
                  </pic:spPr>
                </pic:pic>
              </a:graphicData>
            </a:graphic>
          </wp:inline>
        </w:drawing>
      </w:r>
    </w:p>
    <w:p w14:paraId="466BDA47" w14:textId="15410E8C" w:rsidR="00717768" w:rsidRDefault="00317702" w:rsidP="00717768">
      <w:pPr>
        <w:ind w:firstLine="360"/>
        <w:jc w:val="center"/>
        <w:rPr>
          <w:rFonts w:ascii="Cambria" w:hAnsi="Cambria"/>
          <w:color w:val="000000"/>
        </w:rPr>
      </w:pPr>
      <w:r>
        <w:rPr>
          <w:rFonts w:ascii="Cambria" w:hAnsi="Cambria"/>
          <w:color w:val="000000"/>
        </w:rPr>
        <w:t xml:space="preserve">Figura X.: Lançamento de pequenos satélites por </w:t>
      </w:r>
      <w:r w:rsidR="00122EF6">
        <w:rPr>
          <w:rFonts w:ascii="Cambria" w:hAnsi="Cambria"/>
          <w:color w:val="000000"/>
        </w:rPr>
        <w:t>entre 1995 e 2014</w:t>
      </w:r>
      <w:r>
        <w:rPr>
          <w:rFonts w:ascii="Cambria" w:hAnsi="Cambria"/>
          <w:color w:val="000000"/>
        </w:rPr>
        <w:t xml:space="preserve"> </w:t>
      </w:r>
      <w:r w:rsidRPr="004035C5">
        <w:rPr>
          <w:rFonts w:ascii="Cambria" w:hAnsi="Cambria"/>
          <w:color w:val="000000"/>
        </w:rPr>
        <w:t>(WEKERLE; FILHO, 2017)</w:t>
      </w:r>
      <w:r>
        <w:rPr>
          <w:rFonts w:ascii="Cambria" w:hAnsi="Cambria"/>
          <w:color w:val="000000"/>
        </w:rPr>
        <w:t>.</w:t>
      </w:r>
    </w:p>
    <w:p w14:paraId="0D6C2DBE" w14:textId="04E53B91" w:rsidR="00337718" w:rsidRPr="00317702" w:rsidRDefault="00A90619" w:rsidP="001C4566">
      <w:pPr>
        <w:ind w:firstLine="360"/>
        <w:jc w:val="both"/>
        <w:rPr>
          <w:rFonts w:ascii="Cambria" w:hAnsi="Cambria"/>
          <w:color w:val="FF0000"/>
        </w:rPr>
      </w:pPr>
      <w:r w:rsidRPr="00317702">
        <w:rPr>
          <w:rFonts w:ascii="Cambria" w:hAnsi="Cambria"/>
          <w:color w:val="FF0000"/>
        </w:rPr>
        <w:t xml:space="preserve">Como a figura X mostra, no ano de 2014 que mais de 100 </w:t>
      </w:r>
      <w:r w:rsidR="004035C5" w:rsidRPr="00317702">
        <w:rPr>
          <w:rFonts w:ascii="Cambria" w:hAnsi="Cambria"/>
          <w:color w:val="FF0000"/>
        </w:rPr>
        <w:t xml:space="preserve">nanosatélites foram lançados, e mais de 68% eram Cubesats </w:t>
      </w:r>
      <w:r w:rsidR="004035C5" w:rsidRPr="00317702">
        <w:rPr>
          <w:rFonts w:ascii="Cambria" w:hAnsi="Cambria"/>
          <w:color w:val="FF0000"/>
        </w:rPr>
        <w:t>(WEKERLE; FILHO, 2017)</w:t>
      </w:r>
      <w:r w:rsidR="004035C5" w:rsidRPr="00317702">
        <w:rPr>
          <w:rFonts w:ascii="Cambria" w:hAnsi="Cambria"/>
          <w:color w:val="FF0000"/>
        </w:rPr>
        <w:t>.</w:t>
      </w:r>
      <w:r w:rsidRPr="00317702">
        <w:rPr>
          <w:rFonts w:ascii="Cambria" w:hAnsi="Cambria"/>
          <w:color w:val="FF0000"/>
        </w:rPr>
        <w:t xml:space="preserve"> </w:t>
      </w:r>
      <w:r w:rsidR="009B63CF" w:rsidRPr="00317702">
        <w:rPr>
          <w:rFonts w:ascii="Cambria" w:hAnsi="Cambria"/>
          <w:color w:val="FF0000"/>
        </w:rPr>
        <w:t xml:space="preserve">Os </w:t>
      </w:r>
      <w:r w:rsidRPr="00317702">
        <w:rPr>
          <w:rFonts w:ascii="Cambria" w:hAnsi="Cambria"/>
          <w:color w:val="FF0000"/>
        </w:rPr>
        <w:t xml:space="preserve">nanosatélites </w:t>
      </w:r>
      <w:r w:rsidR="009B63CF" w:rsidRPr="00317702">
        <w:rPr>
          <w:rFonts w:ascii="Cambria" w:hAnsi="Cambria"/>
          <w:color w:val="FF0000"/>
        </w:rPr>
        <w:t xml:space="preserve"> </w:t>
      </w:r>
      <w:r w:rsidR="00337718" w:rsidRPr="00317702">
        <w:rPr>
          <w:rFonts w:ascii="Cambria" w:hAnsi="Cambria"/>
          <w:color w:val="FF0000"/>
        </w:rPr>
        <w:t>Na última década um padrão de nano</w:t>
      </w:r>
      <w:r w:rsidR="00D01449" w:rsidRPr="00317702">
        <w:rPr>
          <w:rFonts w:ascii="Cambria" w:hAnsi="Cambria"/>
          <w:color w:val="FF0000"/>
        </w:rPr>
        <w:t>s</w:t>
      </w:r>
      <w:r w:rsidR="00337718" w:rsidRPr="00317702">
        <w:rPr>
          <w:rFonts w:ascii="Cambria" w:hAnsi="Cambria"/>
          <w:color w:val="FF0000"/>
        </w:rPr>
        <w:t>satélites se tornou muito comum no meio acadêmico</w:t>
      </w:r>
      <w:r w:rsidR="005E30BE" w:rsidRPr="00317702">
        <w:rPr>
          <w:rFonts w:ascii="Cambria" w:hAnsi="Cambria"/>
          <w:color w:val="FF0000"/>
        </w:rPr>
        <w:t>. Esse padrão, chamado CubeSat,</w:t>
      </w:r>
      <w:r w:rsidR="00337718" w:rsidRPr="00317702">
        <w:rPr>
          <w:rFonts w:ascii="Cambria" w:hAnsi="Cambria"/>
          <w:color w:val="FF0000"/>
        </w:rPr>
        <w:t xml:space="preserve"> possui a forma de um cubo de 10 × 10 × 10 cm que pesa apenas alguns quilogramas. Os CubeSats podem ser compostos por um único cubo (</w:t>
      </w:r>
      <w:r w:rsidR="005E30BE" w:rsidRPr="00317702">
        <w:rPr>
          <w:rFonts w:ascii="Cambria" w:hAnsi="Cambria"/>
          <w:color w:val="FF0000"/>
        </w:rPr>
        <w:t xml:space="preserve">uma unidade ou </w:t>
      </w:r>
      <w:r w:rsidR="00337718" w:rsidRPr="00317702">
        <w:rPr>
          <w:rFonts w:ascii="Cambria" w:hAnsi="Cambria"/>
          <w:color w:val="FF0000"/>
        </w:rPr>
        <w:t>1U) ou vários cubos combinados formando, por exemplo, unidades 3U ou 6U.</w:t>
      </w:r>
      <w:r w:rsidR="004E3788" w:rsidRPr="00317702">
        <w:rPr>
          <w:rFonts w:ascii="Cambria" w:hAnsi="Cambria"/>
          <w:color w:val="FF0000"/>
        </w:rPr>
        <w:t xml:space="preserve"> A figura abaixo mostra as configurações mais usuais para uma CubeSat</w:t>
      </w:r>
      <w:r w:rsidR="00717ADF" w:rsidRPr="00317702">
        <w:rPr>
          <w:rFonts w:ascii="Cambria" w:hAnsi="Cambria"/>
          <w:color w:val="FF0000"/>
        </w:rPr>
        <w:t xml:space="preserve"> (ROGAN SHIMMIN, 2015)</w:t>
      </w:r>
      <w:r w:rsidR="004E3788" w:rsidRPr="00317702">
        <w:rPr>
          <w:rFonts w:ascii="Cambria" w:hAnsi="Cambria"/>
          <w:color w:val="FF0000"/>
        </w:rPr>
        <w:t>.</w:t>
      </w:r>
    </w:p>
    <w:p w14:paraId="431C7D5D" w14:textId="42107BDA" w:rsidR="00590878" w:rsidRPr="00317702" w:rsidRDefault="00590878" w:rsidP="00590878">
      <w:pPr>
        <w:ind w:firstLine="360"/>
        <w:jc w:val="center"/>
        <w:rPr>
          <w:rFonts w:ascii="Cambria" w:hAnsi="Cambria"/>
          <w:color w:val="FF0000"/>
        </w:rPr>
      </w:pPr>
      <w:r w:rsidRPr="00317702">
        <w:rPr>
          <w:noProof/>
          <w:color w:val="FF0000"/>
        </w:rPr>
        <w:drawing>
          <wp:inline distT="0" distB="0" distL="0" distR="0" wp14:anchorId="48FC4EFE" wp14:editId="7E547CC9">
            <wp:extent cx="2463298" cy="1300348"/>
            <wp:effectExtent l="0" t="0" r="0" b="0"/>
            <wp:docPr id="3" name="Imagem 3" descr="Image result for cubesats fo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ubesats forms"/>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29615"/>
                    <a:stretch/>
                  </pic:blipFill>
                  <pic:spPr bwMode="auto">
                    <a:xfrm>
                      <a:off x="0" y="0"/>
                      <a:ext cx="2468208" cy="1302940"/>
                    </a:xfrm>
                    <a:prstGeom prst="rect">
                      <a:avLst/>
                    </a:prstGeom>
                    <a:noFill/>
                    <a:ln>
                      <a:noFill/>
                    </a:ln>
                    <a:extLst>
                      <a:ext uri="{53640926-AAD7-44D8-BBD7-CCE9431645EC}">
                        <a14:shadowObscured xmlns:a14="http://schemas.microsoft.com/office/drawing/2010/main"/>
                      </a:ext>
                    </a:extLst>
                  </pic:spPr>
                </pic:pic>
              </a:graphicData>
            </a:graphic>
          </wp:inline>
        </w:drawing>
      </w:r>
    </w:p>
    <w:p w14:paraId="4C581A22" w14:textId="62E03CDA" w:rsidR="00590878" w:rsidRPr="00317702" w:rsidRDefault="00590878" w:rsidP="00590878">
      <w:pPr>
        <w:ind w:firstLine="360"/>
        <w:jc w:val="center"/>
        <w:rPr>
          <w:rFonts w:ascii="Cambria" w:hAnsi="Cambria"/>
          <w:color w:val="FF0000"/>
        </w:rPr>
      </w:pPr>
      <w:r w:rsidRPr="00317702">
        <w:rPr>
          <w:rFonts w:ascii="Cambria" w:hAnsi="Cambria"/>
          <w:color w:val="FF0000"/>
        </w:rPr>
        <w:t>Figura X.: Algumas variações de CubeSat (</w:t>
      </w:r>
      <w:r w:rsidR="004E5A62" w:rsidRPr="00317702">
        <w:rPr>
          <w:rFonts w:ascii="Cambria" w:hAnsi="Cambria"/>
          <w:color w:val="FF0000"/>
        </w:rPr>
        <w:t>MABROUK, 2017</w:t>
      </w:r>
      <w:r w:rsidRPr="00317702">
        <w:rPr>
          <w:rFonts w:ascii="Cambria" w:hAnsi="Cambria"/>
          <w:color w:val="FF0000"/>
        </w:rPr>
        <w:t>).</w:t>
      </w:r>
    </w:p>
    <w:p w14:paraId="47AF038E" w14:textId="77777777" w:rsidR="00590878" w:rsidRPr="00C061D4" w:rsidRDefault="00590878" w:rsidP="00590878">
      <w:pPr>
        <w:ind w:firstLine="360"/>
        <w:jc w:val="center"/>
        <w:rPr>
          <w:rFonts w:ascii="Cambria" w:hAnsi="Cambria"/>
          <w:color w:val="000000"/>
        </w:rPr>
      </w:pPr>
    </w:p>
    <w:p w14:paraId="61181EF7" w14:textId="54AF09A0" w:rsidR="003B65B1" w:rsidRPr="00C061D4" w:rsidRDefault="000F001C" w:rsidP="00316609">
      <w:pPr>
        <w:pStyle w:val="PargrafodaLista"/>
        <w:numPr>
          <w:ilvl w:val="1"/>
          <w:numId w:val="1"/>
        </w:numPr>
        <w:jc w:val="both"/>
        <w:rPr>
          <w:rFonts w:ascii="Cambria" w:hAnsi="Cambria"/>
          <w:b/>
          <w:sz w:val="28"/>
          <w:szCs w:val="28"/>
        </w:rPr>
      </w:pPr>
      <w:r>
        <w:rPr>
          <w:rFonts w:ascii="Cambria" w:hAnsi="Cambria"/>
          <w:b/>
          <w:sz w:val="28"/>
          <w:szCs w:val="28"/>
        </w:rPr>
        <w:t xml:space="preserve">Padrão </w:t>
      </w:r>
      <w:r w:rsidR="003B65B1" w:rsidRPr="00C061D4">
        <w:rPr>
          <w:rFonts w:ascii="Cambria" w:hAnsi="Cambria"/>
          <w:b/>
          <w:sz w:val="28"/>
          <w:szCs w:val="28"/>
        </w:rPr>
        <w:t>CubeSat</w:t>
      </w:r>
    </w:p>
    <w:p w14:paraId="774CBD3B" w14:textId="10998153" w:rsidR="008B7C98" w:rsidRPr="00C061D4" w:rsidRDefault="008B7C98" w:rsidP="008B7C98">
      <w:pPr>
        <w:ind w:firstLine="360"/>
        <w:jc w:val="both"/>
        <w:rPr>
          <w:rFonts w:ascii="Cambria" w:hAnsi="Cambria"/>
        </w:rPr>
      </w:pPr>
      <w:r w:rsidRPr="00C061D4">
        <w:rPr>
          <w:rFonts w:ascii="Cambria" w:hAnsi="Cambria"/>
        </w:rPr>
        <w:t xml:space="preserve">O padrão CubeSat começou como </w:t>
      </w:r>
      <w:r w:rsidR="00330DFC" w:rsidRPr="00C061D4">
        <w:rPr>
          <w:rFonts w:ascii="Cambria" w:hAnsi="Cambria"/>
        </w:rPr>
        <w:t>um</w:t>
      </w:r>
      <w:r w:rsidR="00B21EAA" w:rsidRPr="00C061D4">
        <w:rPr>
          <w:rFonts w:ascii="Cambria" w:hAnsi="Cambria"/>
        </w:rPr>
        <w:t xml:space="preserve"> </w:t>
      </w:r>
      <w:r w:rsidR="00986536" w:rsidRPr="00C061D4">
        <w:rPr>
          <w:rFonts w:ascii="Cambria" w:hAnsi="Cambria"/>
        </w:rPr>
        <w:t>esforço</w:t>
      </w:r>
      <w:r w:rsidRPr="00C061D4">
        <w:rPr>
          <w:rFonts w:ascii="Cambria" w:hAnsi="Cambria"/>
        </w:rPr>
        <w:t xml:space="preserve"> colaborativo entre Jordi Puig-Suari, professor na </w:t>
      </w:r>
      <w:r w:rsidR="00986536" w:rsidRPr="00C061D4">
        <w:rPr>
          <w:rFonts w:ascii="Cambria" w:hAnsi="Cambria"/>
        </w:rPr>
        <w:t>Universidade</w:t>
      </w:r>
      <w:r w:rsidRPr="00C061D4">
        <w:rPr>
          <w:rFonts w:ascii="Cambria" w:hAnsi="Cambria"/>
        </w:rPr>
        <w:t xml:space="preserve"> </w:t>
      </w:r>
      <w:r w:rsidR="00986536" w:rsidRPr="00C061D4">
        <w:rPr>
          <w:rFonts w:ascii="Cambria" w:hAnsi="Cambria"/>
        </w:rPr>
        <w:t>Politécnica</w:t>
      </w:r>
      <w:r w:rsidRPr="00C061D4">
        <w:rPr>
          <w:rFonts w:ascii="Cambria" w:hAnsi="Cambria"/>
        </w:rPr>
        <w:t xml:space="preserve"> da </w:t>
      </w:r>
      <w:r w:rsidR="00B21EAA" w:rsidRPr="00C061D4">
        <w:rPr>
          <w:rFonts w:ascii="Cambria" w:hAnsi="Cambria"/>
        </w:rPr>
        <w:t>Califórnia</w:t>
      </w:r>
      <w:r w:rsidRPr="00C061D4">
        <w:rPr>
          <w:rFonts w:ascii="Cambria" w:hAnsi="Cambria"/>
        </w:rPr>
        <w:t xml:space="preserve"> (CalPoly), e Bob Twiggs, professor na Universidade de Stanford. A intenção original era fornecer </w:t>
      </w:r>
      <w:r w:rsidR="00B21EAA" w:rsidRPr="00C061D4">
        <w:rPr>
          <w:rFonts w:ascii="Cambria" w:hAnsi="Cambria"/>
        </w:rPr>
        <w:t>para a comunidade cient</w:t>
      </w:r>
      <w:r w:rsidR="003C2FD3" w:rsidRPr="00C061D4">
        <w:rPr>
          <w:rFonts w:ascii="Cambria" w:hAnsi="Cambria"/>
        </w:rPr>
        <w:t>í</w:t>
      </w:r>
      <w:r w:rsidR="00B21EAA" w:rsidRPr="00C061D4">
        <w:rPr>
          <w:rFonts w:ascii="Cambria" w:hAnsi="Cambria"/>
        </w:rPr>
        <w:t>f</w:t>
      </w:r>
      <w:r w:rsidR="003C2FD3" w:rsidRPr="00C061D4">
        <w:rPr>
          <w:rFonts w:ascii="Cambria" w:hAnsi="Cambria"/>
        </w:rPr>
        <w:t>i</w:t>
      </w:r>
      <w:r w:rsidR="00B21EAA" w:rsidRPr="00C061D4">
        <w:rPr>
          <w:rFonts w:ascii="Cambria" w:hAnsi="Cambria"/>
        </w:rPr>
        <w:t xml:space="preserve">ca universitária </w:t>
      </w:r>
      <w:r w:rsidRPr="00C061D4">
        <w:rPr>
          <w:rFonts w:ascii="Cambria" w:hAnsi="Cambria"/>
        </w:rPr>
        <w:t>meios mais acessíveis ao espaço</w:t>
      </w:r>
      <w:r w:rsidR="004D0D0E" w:rsidRPr="00C061D4">
        <w:rPr>
          <w:rFonts w:ascii="Cambria" w:hAnsi="Cambria"/>
        </w:rPr>
        <w:t xml:space="preserve"> (DEEPAK; TWIGGS, 2012)</w:t>
      </w:r>
      <w:r w:rsidRPr="00C061D4">
        <w:rPr>
          <w:rFonts w:ascii="Cambria" w:hAnsi="Cambria"/>
        </w:rPr>
        <w:t xml:space="preserve">. </w:t>
      </w:r>
    </w:p>
    <w:p w14:paraId="00ECCB4A" w14:textId="0E7FEECF" w:rsidR="00B21EAA" w:rsidRPr="00C061D4" w:rsidRDefault="003C2FD3" w:rsidP="009456E8">
      <w:pPr>
        <w:ind w:firstLine="360"/>
        <w:jc w:val="both"/>
        <w:rPr>
          <w:rFonts w:ascii="Cambria" w:hAnsi="Cambria"/>
        </w:rPr>
      </w:pPr>
      <w:r w:rsidRPr="00C061D4">
        <w:rPr>
          <w:rFonts w:ascii="Cambria" w:hAnsi="Cambria"/>
        </w:rPr>
        <w:t>Twiggs retrata o contexto histórico do desenvolvimento do conceito CubeSat em detalhes no seu artigo “</w:t>
      </w:r>
      <w:r w:rsidRPr="00A5614B">
        <w:rPr>
          <w:rFonts w:ascii="Cambria" w:hAnsi="Cambria"/>
          <w:i/>
        </w:rPr>
        <w:t>Origin of CubeSat</w:t>
      </w:r>
      <w:r w:rsidRPr="00C061D4">
        <w:rPr>
          <w:rFonts w:ascii="Cambria" w:hAnsi="Cambria"/>
        </w:rPr>
        <w:t>” (</w:t>
      </w:r>
      <w:r w:rsidR="00E11F1C" w:rsidRPr="00C061D4">
        <w:rPr>
          <w:rFonts w:ascii="Cambria" w:hAnsi="Cambria"/>
        </w:rPr>
        <w:t>TWIGGS</w:t>
      </w:r>
      <w:r w:rsidRPr="00C061D4">
        <w:rPr>
          <w:rFonts w:ascii="Cambria" w:hAnsi="Cambria"/>
        </w:rPr>
        <w:t xml:space="preserve">, 2008). Em resumo, o abandono radical </w:t>
      </w:r>
      <w:r w:rsidRPr="00C061D4">
        <w:rPr>
          <w:rFonts w:ascii="Cambria" w:hAnsi="Cambria"/>
        </w:rPr>
        <w:lastRenderedPageBreak/>
        <w:t xml:space="preserve">do design tradicional de satélites, ocasionado pelo CubeSat, começou após o lançamento bem-sucedido do </w:t>
      </w:r>
      <w:r w:rsidRPr="00C061D4">
        <w:rPr>
          <w:rFonts w:ascii="Cambria" w:hAnsi="Cambria"/>
          <w:i/>
        </w:rPr>
        <w:t>Orbiting Picosatellite Automatic Launcher</w:t>
      </w:r>
      <w:r w:rsidRPr="00C061D4">
        <w:rPr>
          <w:rFonts w:ascii="Cambria" w:hAnsi="Cambria"/>
        </w:rPr>
        <w:t xml:space="preserve"> (OPAL), projeto liderado por Twiggs</w:t>
      </w:r>
      <w:r w:rsidR="00F636BC">
        <w:rPr>
          <w:rFonts w:ascii="Cambria" w:hAnsi="Cambria"/>
        </w:rPr>
        <w:t>, que</w:t>
      </w:r>
      <w:r w:rsidRPr="00C061D4">
        <w:rPr>
          <w:rFonts w:ascii="Cambria" w:hAnsi="Cambria"/>
        </w:rPr>
        <w:t xml:space="preserve"> pôs em orbita seis hockey picosatélites (1 kg de peso). Inspirado por este sucesso, Twiggs explorou um design maior e mais cúbico para suportar mais capacidade. De acordo com Twiggs, ele encontrou o modelo perfeito para seu novo design em </w:t>
      </w:r>
      <w:r w:rsidR="000A7DF1">
        <w:rPr>
          <w:rFonts w:ascii="Cambria" w:hAnsi="Cambria"/>
        </w:rPr>
        <w:t xml:space="preserve">uma </w:t>
      </w:r>
      <w:r w:rsidRPr="00C061D4">
        <w:rPr>
          <w:rFonts w:ascii="Cambria" w:hAnsi="Cambria"/>
        </w:rPr>
        <w:t>loja</w:t>
      </w:r>
      <w:r w:rsidR="000A7DF1">
        <w:rPr>
          <w:rFonts w:ascii="Cambria" w:hAnsi="Cambria"/>
        </w:rPr>
        <w:t xml:space="preserve"> </w:t>
      </w:r>
      <w:r w:rsidRPr="00C061D4">
        <w:rPr>
          <w:rFonts w:ascii="Cambria" w:hAnsi="Cambria"/>
        </w:rPr>
        <w:t xml:space="preserve">varejo, </w:t>
      </w:r>
      <w:r w:rsidR="000A7DF1">
        <w:rPr>
          <w:rFonts w:ascii="Cambria" w:hAnsi="Cambria"/>
        </w:rPr>
        <w:t xml:space="preserve">uma </w:t>
      </w:r>
      <w:r w:rsidRPr="00C061D4">
        <w:rPr>
          <w:rFonts w:ascii="Cambria" w:hAnsi="Cambria"/>
        </w:rPr>
        <w:t>embalagem cubica de 10</w:t>
      </w:r>
      <w:r w:rsidR="0055329D">
        <w:rPr>
          <w:rFonts w:ascii="Cambria" w:hAnsi="Cambria"/>
        </w:rPr>
        <w:t xml:space="preserve"> </w:t>
      </w:r>
      <w:r w:rsidRPr="00C061D4">
        <w:rPr>
          <w:rFonts w:ascii="Cambria" w:hAnsi="Cambria"/>
        </w:rPr>
        <w:t xml:space="preserve">cm para ursinhos de pelúcia. O </w:t>
      </w:r>
      <w:r w:rsidR="001C4566" w:rsidRPr="00C061D4">
        <w:rPr>
          <w:rFonts w:ascii="Cambria" w:hAnsi="Cambria"/>
        </w:rPr>
        <w:t>nanosatélites</w:t>
      </w:r>
      <w:r w:rsidRPr="00C061D4">
        <w:rPr>
          <w:rFonts w:ascii="Cambria" w:hAnsi="Cambria"/>
        </w:rPr>
        <w:t xml:space="preserve"> resultante,</w:t>
      </w:r>
      <w:r w:rsidR="001C4566">
        <w:rPr>
          <w:rFonts w:ascii="Cambria" w:hAnsi="Cambria"/>
        </w:rPr>
        <w:t xml:space="preserve"> foi um</w:t>
      </w:r>
      <w:r w:rsidRPr="00C061D4">
        <w:rPr>
          <w:rFonts w:ascii="Cambria" w:hAnsi="Cambria"/>
        </w:rPr>
        <w:t xml:space="preserve"> cubo medindo 10 cm de aresta e pesando apenas 1 kg, </w:t>
      </w:r>
      <w:r w:rsidR="001C4566">
        <w:rPr>
          <w:rFonts w:ascii="Cambria" w:hAnsi="Cambria"/>
        </w:rPr>
        <w:t xml:space="preserve">nomeado </w:t>
      </w:r>
      <w:r w:rsidRPr="00C061D4">
        <w:rPr>
          <w:rFonts w:ascii="Cambria" w:hAnsi="Cambria"/>
        </w:rPr>
        <w:t>CubeSat</w:t>
      </w:r>
      <w:r w:rsidR="00D01449" w:rsidRPr="00C061D4">
        <w:rPr>
          <w:rFonts w:ascii="Cambria" w:hAnsi="Cambria"/>
        </w:rPr>
        <w:t xml:space="preserve"> (DEEPAK; TWIGGS, 2012)</w:t>
      </w:r>
      <w:r w:rsidRPr="00C061D4">
        <w:rPr>
          <w:rFonts w:ascii="Cambria" w:hAnsi="Cambria"/>
        </w:rPr>
        <w:t>.</w:t>
      </w:r>
    </w:p>
    <w:p w14:paraId="5ED90079" w14:textId="4B989C70" w:rsidR="001C4566" w:rsidRPr="00C061D4" w:rsidRDefault="0095496E" w:rsidP="001C4566">
      <w:pPr>
        <w:ind w:firstLine="360"/>
        <w:jc w:val="both"/>
        <w:rPr>
          <w:rFonts w:ascii="Cambria" w:hAnsi="Cambria"/>
        </w:rPr>
      </w:pPr>
      <w:r w:rsidRPr="00C061D4">
        <w:rPr>
          <w:rFonts w:ascii="Cambria" w:hAnsi="Cambria"/>
        </w:rPr>
        <w:t xml:space="preserve">Mais tarde naquele ano, Twiggs e Puig-Suari </w:t>
      </w:r>
      <w:r w:rsidR="009456E8" w:rsidRPr="00C061D4">
        <w:rPr>
          <w:rFonts w:ascii="Cambria" w:hAnsi="Cambria"/>
        </w:rPr>
        <w:t>disponibilizara</w:t>
      </w:r>
      <w:r w:rsidR="00EB090F" w:rsidRPr="00C061D4">
        <w:rPr>
          <w:rFonts w:ascii="Cambria" w:hAnsi="Cambria"/>
        </w:rPr>
        <w:t>m</w:t>
      </w:r>
      <w:r w:rsidRPr="00C061D4">
        <w:rPr>
          <w:rFonts w:ascii="Cambria" w:hAnsi="Cambria"/>
        </w:rPr>
        <w:t xml:space="preserve"> as especificações para o CubeSat. Em 2003, Puig</w:t>
      </w:r>
      <w:r w:rsidR="003C2FD3" w:rsidRPr="00C061D4">
        <w:rPr>
          <w:rFonts w:ascii="Cambria" w:hAnsi="Cambria"/>
        </w:rPr>
        <w:t>-</w:t>
      </w:r>
      <w:r w:rsidRPr="00C061D4">
        <w:rPr>
          <w:rFonts w:ascii="Cambria" w:hAnsi="Cambria"/>
        </w:rPr>
        <w:t xml:space="preserve">Suari e CalPoly </w:t>
      </w:r>
      <w:r w:rsidR="003C2FD3" w:rsidRPr="00C061D4">
        <w:rPr>
          <w:rFonts w:ascii="Cambria" w:hAnsi="Cambria"/>
        </w:rPr>
        <w:t>desenvolveram</w:t>
      </w:r>
      <w:r w:rsidRPr="00C061D4">
        <w:rPr>
          <w:rFonts w:ascii="Cambria" w:hAnsi="Cambria"/>
        </w:rPr>
        <w:t xml:space="preserve"> o </w:t>
      </w:r>
      <w:r w:rsidRPr="00C061D4">
        <w:rPr>
          <w:rFonts w:ascii="Cambria" w:hAnsi="Cambria"/>
          <w:i/>
        </w:rPr>
        <w:t>Poly-PicoSatellite Orbital Deployer</w:t>
      </w:r>
      <w:r w:rsidRPr="00C061D4">
        <w:rPr>
          <w:rFonts w:ascii="Cambria" w:hAnsi="Cambria"/>
        </w:rPr>
        <w:t xml:space="preserve">, ou </w:t>
      </w:r>
      <w:r w:rsidRPr="00C061D4">
        <w:rPr>
          <w:rFonts w:ascii="Cambria" w:hAnsi="Cambria"/>
          <w:i/>
        </w:rPr>
        <w:t>P-POD</w:t>
      </w:r>
      <w:r w:rsidRPr="00C061D4">
        <w:rPr>
          <w:rFonts w:ascii="Cambria" w:hAnsi="Cambria"/>
        </w:rPr>
        <w:t xml:space="preserve">, para lançar até três CubeSats </w:t>
      </w:r>
      <w:r w:rsidR="00EB090F" w:rsidRPr="00C061D4">
        <w:rPr>
          <w:rFonts w:ascii="Cambria" w:hAnsi="Cambria"/>
        </w:rPr>
        <w:t>1U</w:t>
      </w:r>
      <w:r w:rsidR="00E15A61" w:rsidRPr="00C061D4">
        <w:rPr>
          <w:rFonts w:ascii="Cambria" w:hAnsi="Cambria"/>
        </w:rPr>
        <w:t xml:space="preserve">. </w:t>
      </w:r>
      <w:r w:rsidR="00CE75A1" w:rsidRPr="00C061D4">
        <w:rPr>
          <w:rFonts w:ascii="Cambria" w:hAnsi="Cambria"/>
        </w:rPr>
        <w:t>As primeiras missões CubeSat começaram no</w:t>
      </w:r>
      <w:r w:rsidR="00A24B6D">
        <w:rPr>
          <w:rFonts w:ascii="Cambria" w:hAnsi="Cambria"/>
        </w:rPr>
        <w:t xml:space="preserve"> </w:t>
      </w:r>
      <w:r w:rsidR="00CE75A1" w:rsidRPr="00C061D4">
        <w:rPr>
          <w:rFonts w:ascii="Cambria" w:hAnsi="Cambria"/>
        </w:rPr>
        <w:t xml:space="preserve"> mesmo ano do desenvolvimento do P-POD</w:t>
      </w:r>
      <w:r w:rsidR="00E15A61" w:rsidRPr="00C061D4">
        <w:rPr>
          <w:rFonts w:ascii="Cambria" w:hAnsi="Cambria"/>
        </w:rPr>
        <w:t xml:space="preserve"> </w:t>
      </w:r>
      <w:r w:rsidR="00D01449" w:rsidRPr="00C061D4">
        <w:rPr>
          <w:rFonts w:ascii="Cambria" w:hAnsi="Cambria"/>
        </w:rPr>
        <w:t>(DEEPAK; TWIGGS, 2012)</w:t>
      </w:r>
      <w:r w:rsidR="00E15A61" w:rsidRPr="00C061D4">
        <w:rPr>
          <w:rFonts w:ascii="Cambria" w:hAnsi="Cambria"/>
        </w:rPr>
        <w:t>.</w:t>
      </w:r>
    </w:p>
    <w:p w14:paraId="4A02C143" w14:textId="26129857" w:rsidR="0095496E" w:rsidRPr="00C061D4" w:rsidRDefault="000F001C" w:rsidP="00CE75A1">
      <w:pPr>
        <w:ind w:firstLine="360"/>
        <w:jc w:val="both"/>
        <w:rPr>
          <w:rFonts w:ascii="Cambria" w:hAnsi="Cambria"/>
        </w:rPr>
      </w:pPr>
      <w:r>
        <w:rPr>
          <w:rFonts w:ascii="Cambria" w:hAnsi="Cambria"/>
        </w:rPr>
        <w:t xml:space="preserve">Com o passar dos anos, o documento CubeSat Standard sofreu poucas alterações. A versão mais atualizada </w:t>
      </w:r>
      <w:r w:rsidR="00B42A86">
        <w:rPr>
          <w:rFonts w:ascii="Cambria" w:hAnsi="Cambria"/>
        </w:rPr>
        <w:t xml:space="preserve">pode ser encontrada em alguns sites, como o Cubesat.org. A imagem X mostra as dimensões que um CubeSat 3U+ deve </w:t>
      </w:r>
      <w:r w:rsidR="00D25DC0">
        <w:rPr>
          <w:rFonts w:ascii="Cambria" w:hAnsi="Cambria"/>
        </w:rPr>
        <w:t>possuir. Um ponto a ser mencionado é que o 3U+ foi criado para atender as demandas de sensoriamento remoto, possibilitando colocar uma câmera sem prejudicar o espaço interno</w:t>
      </w:r>
      <w:r w:rsidR="007C7A3A" w:rsidRPr="007C7A3A">
        <w:rPr>
          <w:rFonts w:ascii="Cambria" w:hAnsi="Cambria"/>
          <w:color w:val="000000"/>
        </w:rPr>
        <w:t xml:space="preserve"> </w:t>
      </w:r>
      <w:r w:rsidR="007C7A3A">
        <w:rPr>
          <w:rFonts w:ascii="Cambria" w:hAnsi="Cambria"/>
          <w:color w:val="000000"/>
        </w:rPr>
        <w:t>(</w:t>
      </w:r>
      <w:bookmarkStart w:id="0" w:name="_GoBack"/>
      <w:bookmarkEnd w:id="0"/>
      <w:r w:rsidR="007C7A3A" w:rsidRPr="007C7A3A">
        <w:rPr>
          <w:rFonts w:ascii="Cambria" w:hAnsi="Cambria"/>
          <w:color w:val="000000"/>
        </w:rPr>
        <w:t>CUBESAT PROGRAM, 2014)</w:t>
      </w:r>
      <w:r w:rsidR="007C7A3A" w:rsidRPr="00C061D4">
        <w:rPr>
          <w:rFonts w:ascii="Cambria" w:hAnsi="Cambria"/>
          <w:color w:val="000000"/>
        </w:rPr>
        <w:t>.</w:t>
      </w:r>
    </w:p>
    <w:p w14:paraId="2AAE3EEB" w14:textId="54F78A7C" w:rsidR="00B719CB" w:rsidRDefault="00B42A86" w:rsidP="00B42A86">
      <w:pPr>
        <w:ind w:firstLine="360"/>
        <w:rPr>
          <w:rFonts w:ascii="Cambria" w:hAnsi="Cambria"/>
        </w:rPr>
      </w:pPr>
      <w:r>
        <w:rPr>
          <w:noProof/>
        </w:rPr>
        <w:drawing>
          <wp:inline distT="0" distB="0" distL="0" distR="0" wp14:anchorId="3788A737" wp14:editId="7638A0FB">
            <wp:extent cx="5400040" cy="3500120"/>
            <wp:effectExtent l="0" t="0" r="0" b="508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3500120"/>
                    </a:xfrm>
                    <a:prstGeom prst="rect">
                      <a:avLst/>
                    </a:prstGeom>
                  </pic:spPr>
                </pic:pic>
              </a:graphicData>
            </a:graphic>
          </wp:inline>
        </w:drawing>
      </w:r>
    </w:p>
    <w:p w14:paraId="27A82C72" w14:textId="2BE1C36C" w:rsidR="00A5614B" w:rsidRPr="00454333" w:rsidRDefault="00A5614B" w:rsidP="00454333">
      <w:pPr>
        <w:ind w:firstLine="360"/>
        <w:jc w:val="center"/>
        <w:rPr>
          <w:rFonts w:ascii="Cambria" w:hAnsi="Cambria"/>
          <w:color w:val="000000"/>
        </w:rPr>
      </w:pPr>
      <w:r w:rsidRPr="00C061D4">
        <w:rPr>
          <w:rFonts w:ascii="Cambria" w:hAnsi="Cambria"/>
          <w:color w:val="000000"/>
        </w:rPr>
        <w:t xml:space="preserve">Figura X.: </w:t>
      </w:r>
      <w:r>
        <w:rPr>
          <w:rFonts w:ascii="Cambria" w:hAnsi="Cambria"/>
          <w:color w:val="000000"/>
        </w:rPr>
        <w:t xml:space="preserve">Especificações Estruturais para um CubeSat </w:t>
      </w:r>
      <w:r w:rsidR="007C7A3A">
        <w:rPr>
          <w:rFonts w:ascii="Cambria" w:hAnsi="Cambria"/>
          <w:color w:val="000000"/>
        </w:rPr>
        <w:t xml:space="preserve">3U+                                    </w:t>
      </w:r>
      <w:r w:rsidR="007C7A3A" w:rsidRPr="007C7A3A">
        <w:rPr>
          <w:rFonts w:ascii="Cambria" w:hAnsi="Cambria"/>
          <w:color w:val="000000"/>
        </w:rPr>
        <w:t>(CUBESAT PROGRAM, 2014)</w:t>
      </w:r>
      <w:r w:rsidRPr="00C061D4">
        <w:rPr>
          <w:rFonts w:ascii="Cambria" w:hAnsi="Cambria"/>
          <w:color w:val="000000"/>
        </w:rPr>
        <w:t>.</w:t>
      </w:r>
    </w:p>
    <w:p w14:paraId="7A8A542F" w14:textId="22F3EF0D" w:rsidR="00CE75A1" w:rsidRPr="00C061D4" w:rsidRDefault="00853615" w:rsidP="00853615">
      <w:pPr>
        <w:jc w:val="both"/>
        <w:rPr>
          <w:rFonts w:ascii="Calibri" w:hAnsi="Calibri"/>
        </w:rPr>
      </w:pPr>
      <w:r w:rsidRPr="00C061D4">
        <w:rPr>
          <w:rFonts w:ascii="Cambria" w:hAnsi="Cambria"/>
        </w:rPr>
        <w:tab/>
      </w:r>
      <w:r w:rsidR="00CE75A1" w:rsidRPr="00C061D4">
        <w:rPr>
          <w:rFonts w:ascii="Cambria" w:hAnsi="Cambria"/>
        </w:rPr>
        <w:t xml:space="preserve">Graças aos CubeSats, muitas universidades agora possuem um programa espacial. </w:t>
      </w:r>
      <w:r w:rsidR="001C4566">
        <w:rPr>
          <w:rFonts w:ascii="Cambria" w:hAnsi="Cambria"/>
        </w:rPr>
        <w:t>Porém</w:t>
      </w:r>
      <w:r w:rsidR="00CE75A1" w:rsidRPr="00C061D4">
        <w:rPr>
          <w:rFonts w:ascii="Cambria" w:hAnsi="Cambria"/>
        </w:rPr>
        <w:t xml:space="preserve"> o uso dessa tecnologia não é exclusiva </w:t>
      </w:r>
      <w:r w:rsidR="001C4566">
        <w:rPr>
          <w:rFonts w:ascii="Cambria" w:hAnsi="Cambria"/>
        </w:rPr>
        <w:t>apenas</w:t>
      </w:r>
      <w:r w:rsidR="00CE75A1" w:rsidRPr="00C061D4">
        <w:rPr>
          <w:rFonts w:ascii="Cambria" w:hAnsi="Cambria"/>
        </w:rPr>
        <w:t xml:space="preserve"> para grandes universidades; escolas secundarias, ensino médio e escolas primarias puderam iniciar seus próprios programas CubeSat </w:t>
      </w:r>
      <w:r w:rsidR="00D01449" w:rsidRPr="00C061D4">
        <w:rPr>
          <w:rFonts w:ascii="Cambria" w:hAnsi="Cambria"/>
        </w:rPr>
        <w:t>(DEEPAK; TWIGGS, 2012)</w:t>
      </w:r>
      <w:r w:rsidR="00CE75A1" w:rsidRPr="00C061D4">
        <w:rPr>
          <w:rFonts w:ascii="Cambria" w:hAnsi="Cambria"/>
        </w:rPr>
        <w:t xml:space="preserve">. Um exemplo de projetos como esse é o UbatubaSat, que é um CubeSat feito pelos estudantes da escola municipal Tancredo de Almeida Neves, em Ubatuba-SP </w:t>
      </w:r>
      <w:r w:rsidR="00D01449" w:rsidRPr="00C061D4">
        <w:rPr>
          <w:rFonts w:ascii="Cambria" w:hAnsi="Cambria"/>
        </w:rPr>
        <w:t>(FIORAVANTI, 2011).</w:t>
      </w:r>
    </w:p>
    <w:p w14:paraId="006596EE" w14:textId="0C9D0F73" w:rsidR="00853615" w:rsidRPr="00F728BA" w:rsidRDefault="00F636BC" w:rsidP="00CE75A1">
      <w:pPr>
        <w:ind w:firstLine="360"/>
        <w:jc w:val="both"/>
        <w:rPr>
          <w:rFonts w:ascii="Cambria" w:hAnsi="Cambria"/>
          <w:color w:val="FF0000"/>
        </w:rPr>
      </w:pPr>
      <w:r w:rsidRPr="00F728BA">
        <w:rPr>
          <w:rFonts w:ascii="Cambria" w:hAnsi="Cambria"/>
          <w:color w:val="FF0000"/>
        </w:rPr>
        <w:t xml:space="preserve">Essa facilidade de acesso ao espaço é devido a algumas </w:t>
      </w:r>
      <w:r w:rsidR="00F728BA" w:rsidRPr="00F728BA">
        <w:rPr>
          <w:rFonts w:ascii="Cambria" w:hAnsi="Cambria"/>
          <w:color w:val="FF0000"/>
        </w:rPr>
        <w:t>características</w:t>
      </w:r>
      <w:r w:rsidRPr="00F728BA">
        <w:rPr>
          <w:rFonts w:ascii="Cambria" w:hAnsi="Cambria"/>
          <w:color w:val="FF0000"/>
        </w:rPr>
        <w:t xml:space="preserve"> que só o padrão CubeSat possui. Essas</w:t>
      </w:r>
      <w:r w:rsidR="00CE75A1" w:rsidRPr="00F728BA">
        <w:rPr>
          <w:rFonts w:ascii="Cambria" w:hAnsi="Cambria"/>
          <w:color w:val="FF0000"/>
        </w:rPr>
        <w:t xml:space="preserve"> </w:t>
      </w:r>
      <w:r w:rsidR="00E15A61" w:rsidRPr="00F728BA">
        <w:rPr>
          <w:rFonts w:ascii="Cambria" w:hAnsi="Cambria"/>
          <w:color w:val="FF0000"/>
        </w:rPr>
        <w:t>particularidades</w:t>
      </w:r>
      <w:r w:rsidR="00CE75A1" w:rsidRPr="00F728BA">
        <w:rPr>
          <w:rFonts w:ascii="Cambria" w:hAnsi="Cambria"/>
          <w:color w:val="FF0000"/>
        </w:rPr>
        <w:t xml:space="preserve"> que </w:t>
      </w:r>
      <w:r w:rsidRPr="00F728BA">
        <w:rPr>
          <w:rFonts w:ascii="Cambria" w:hAnsi="Cambria"/>
          <w:color w:val="FF0000"/>
        </w:rPr>
        <w:t>faziam</w:t>
      </w:r>
      <w:r w:rsidR="00CE75A1" w:rsidRPr="00F728BA">
        <w:rPr>
          <w:rFonts w:ascii="Cambria" w:hAnsi="Cambria"/>
          <w:color w:val="FF0000"/>
        </w:rPr>
        <w:t xml:space="preserve"> com que o padrão CubeSat tenha se </w:t>
      </w:r>
      <w:r w:rsidR="00CE75A1" w:rsidRPr="00F728BA">
        <w:rPr>
          <w:rFonts w:ascii="Cambria" w:hAnsi="Cambria"/>
          <w:color w:val="FF0000"/>
        </w:rPr>
        <w:lastRenderedPageBreak/>
        <w:t xml:space="preserve">tornado tão popular na comunidade cientifica </w:t>
      </w:r>
      <w:r w:rsidR="00E15A61" w:rsidRPr="00F728BA">
        <w:rPr>
          <w:rFonts w:ascii="Cambria" w:hAnsi="Cambria"/>
          <w:color w:val="FF0000"/>
        </w:rPr>
        <w:t>foi resumid</w:t>
      </w:r>
      <w:r w:rsidR="00C061D4" w:rsidRPr="00F728BA">
        <w:rPr>
          <w:rFonts w:ascii="Cambria" w:hAnsi="Cambria"/>
          <w:color w:val="FF0000"/>
        </w:rPr>
        <w:t>a</w:t>
      </w:r>
      <w:r w:rsidRPr="00F728BA">
        <w:rPr>
          <w:rFonts w:ascii="Cambria" w:hAnsi="Cambria"/>
          <w:color w:val="FF0000"/>
        </w:rPr>
        <w:t xml:space="preserve"> em sete pontos</w:t>
      </w:r>
      <w:r w:rsidR="006B029A" w:rsidRPr="00F728BA">
        <w:rPr>
          <w:rFonts w:ascii="Cambria" w:hAnsi="Cambria"/>
          <w:color w:val="FF0000"/>
        </w:rPr>
        <w:t xml:space="preserve"> e é mostrado abaixo (ISIS, 2016)</w:t>
      </w:r>
      <w:r w:rsidR="00837F2E" w:rsidRPr="00F728BA">
        <w:rPr>
          <w:rFonts w:ascii="Cambria" w:hAnsi="Cambria"/>
          <w:color w:val="FF0000"/>
        </w:rPr>
        <w:t>:</w:t>
      </w:r>
    </w:p>
    <w:p w14:paraId="34AF75A1" w14:textId="0B41DC04" w:rsidR="003570B3" w:rsidRPr="00C061D4" w:rsidRDefault="00837F2E" w:rsidP="00875EA3">
      <w:pPr>
        <w:pStyle w:val="PargrafodaLista"/>
        <w:numPr>
          <w:ilvl w:val="0"/>
          <w:numId w:val="2"/>
        </w:numPr>
        <w:jc w:val="both"/>
        <w:rPr>
          <w:rFonts w:ascii="Cambria" w:hAnsi="Cambria"/>
        </w:rPr>
      </w:pPr>
      <w:r w:rsidRPr="00C061D4">
        <w:rPr>
          <w:rFonts w:ascii="Cambria" w:hAnsi="Cambria"/>
        </w:rPr>
        <w:t xml:space="preserve">Modularidade: Por possuir um tamanho </w:t>
      </w:r>
      <w:r w:rsidR="003570B3" w:rsidRPr="00C061D4">
        <w:rPr>
          <w:rFonts w:ascii="Cambria" w:hAnsi="Cambria"/>
        </w:rPr>
        <w:t>padrão</w:t>
      </w:r>
      <w:r w:rsidRPr="00C061D4">
        <w:rPr>
          <w:rFonts w:ascii="Cambria" w:hAnsi="Cambria"/>
        </w:rPr>
        <w:t>,</w:t>
      </w:r>
      <w:r w:rsidR="003570B3" w:rsidRPr="00C061D4">
        <w:rPr>
          <w:rFonts w:ascii="Cambria" w:hAnsi="Cambria"/>
        </w:rPr>
        <w:t xml:space="preserve"> tornou-se possível desenvolver módulos padronizados funcionais, como subsistemas de energia, comunicação, etc. Isso fez com que soluções de prateleira (COTS) fossem amplamente utilizados no design de algumas missões, fazendo com que a implementação se tornasse mais rápida e mais barata;</w:t>
      </w:r>
    </w:p>
    <w:p w14:paraId="10A276AD" w14:textId="54651A06" w:rsidR="00145219" w:rsidRPr="00C061D4" w:rsidRDefault="003570B3" w:rsidP="00875EA3">
      <w:pPr>
        <w:pStyle w:val="PargrafodaLista"/>
        <w:numPr>
          <w:ilvl w:val="0"/>
          <w:numId w:val="2"/>
        </w:numPr>
        <w:jc w:val="both"/>
        <w:rPr>
          <w:rFonts w:ascii="Cambria" w:hAnsi="Cambria"/>
        </w:rPr>
      </w:pPr>
      <w:r w:rsidRPr="00C061D4">
        <w:rPr>
          <w:rFonts w:ascii="Cambria" w:hAnsi="Cambria"/>
        </w:rPr>
        <w:t xml:space="preserve">Lançamento: Os CubeSats são tipicamente lançados no espaço como cargas contidas em contêineres, dentro de um </w:t>
      </w:r>
      <w:r w:rsidRPr="00A5614B">
        <w:rPr>
          <w:rFonts w:ascii="Cambria" w:hAnsi="Cambria"/>
          <w:i/>
        </w:rPr>
        <w:t>Deployer</w:t>
      </w:r>
      <w:r w:rsidRPr="00C061D4">
        <w:rPr>
          <w:rFonts w:ascii="Cambria" w:hAnsi="Cambria"/>
        </w:rPr>
        <w:t>, como um meio de reduzir a complexidade d</w:t>
      </w:r>
      <w:r w:rsidR="00145219" w:rsidRPr="00C061D4">
        <w:rPr>
          <w:rFonts w:ascii="Cambria" w:hAnsi="Cambria"/>
        </w:rPr>
        <w:t>o</w:t>
      </w:r>
      <w:r w:rsidRPr="00C061D4">
        <w:rPr>
          <w:rFonts w:ascii="Cambria" w:hAnsi="Cambria"/>
        </w:rPr>
        <w:t xml:space="preserve"> lançamento e os custos associados</w:t>
      </w:r>
      <w:r w:rsidR="00145219" w:rsidRPr="00C061D4">
        <w:rPr>
          <w:rFonts w:ascii="Cambria" w:hAnsi="Cambria"/>
        </w:rPr>
        <w:t>;</w:t>
      </w:r>
    </w:p>
    <w:p w14:paraId="786B0085" w14:textId="4563078C" w:rsidR="00145219" w:rsidRPr="00C061D4" w:rsidRDefault="00145219" w:rsidP="00875EA3">
      <w:pPr>
        <w:pStyle w:val="PargrafodaLista"/>
        <w:numPr>
          <w:ilvl w:val="0"/>
          <w:numId w:val="2"/>
        </w:numPr>
        <w:jc w:val="both"/>
        <w:rPr>
          <w:rFonts w:ascii="Cambria" w:hAnsi="Cambria"/>
        </w:rPr>
      </w:pPr>
      <w:r w:rsidRPr="00C061D4">
        <w:rPr>
          <w:rFonts w:ascii="Cambria" w:hAnsi="Cambria"/>
        </w:rPr>
        <w:t>Custo: Os CubeSats são missões que normalmente são desenvolvidas  usando um orçamento baixo;</w:t>
      </w:r>
    </w:p>
    <w:p w14:paraId="5A202CA0" w14:textId="3837D844" w:rsidR="00EC24A3" w:rsidRPr="00C061D4" w:rsidRDefault="00145219" w:rsidP="00875EA3">
      <w:pPr>
        <w:pStyle w:val="PargrafodaLista"/>
        <w:numPr>
          <w:ilvl w:val="0"/>
          <w:numId w:val="2"/>
        </w:numPr>
        <w:jc w:val="both"/>
        <w:rPr>
          <w:rFonts w:ascii="Cambria" w:hAnsi="Cambria"/>
        </w:rPr>
      </w:pPr>
      <w:r w:rsidRPr="00C061D4">
        <w:rPr>
          <w:rFonts w:ascii="Cambria" w:hAnsi="Cambria"/>
        </w:rPr>
        <w:t xml:space="preserve">Componentes: </w:t>
      </w:r>
      <w:r w:rsidR="001C4566">
        <w:rPr>
          <w:rFonts w:ascii="Cambria" w:hAnsi="Cambria"/>
        </w:rPr>
        <w:t>S</w:t>
      </w:r>
      <w:r w:rsidRPr="00C061D4">
        <w:rPr>
          <w:rFonts w:ascii="Cambria" w:hAnsi="Cambria"/>
        </w:rPr>
        <w:t>ão feitos para aplicações espaciais são frequentemente utilizados e aceitos em missões. Isso permite uma abordagem de baixo custo e de rápida implementação, fazendo com que os pesquisadores usem os componentes mais atuais</w:t>
      </w:r>
      <w:r w:rsidR="00EC24A3" w:rsidRPr="00C061D4">
        <w:rPr>
          <w:rFonts w:ascii="Cambria" w:hAnsi="Cambria"/>
        </w:rPr>
        <w:t xml:space="preserve">. O fato de muitas missões CubeSat estão em orbita baixa e possuem um tempo de vida curto faz com que o uso desses componentes se torne possível. </w:t>
      </w:r>
    </w:p>
    <w:p w14:paraId="62737D8B" w14:textId="4396DE9A" w:rsidR="002C3DB5" w:rsidRDefault="00EC24A3" w:rsidP="00875EA3">
      <w:pPr>
        <w:pStyle w:val="PargrafodaLista"/>
        <w:numPr>
          <w:ilvl w:val="0"/>
          <w:numId w:val="2"/>
        </w:numPr>
        <w:jc w:val="both"/>
        <w:rPr>
          <w:rFonts w:ascii="Cambria" w:hAnsi="Cambria"/>
        </w:rPr>
      </w:pPr>
      <w:r w:rsidRPr="00C061D4">
        <w:rPr>
          <w:rFonts w:ascii="Cambria" w:hAnsi="Cambria"/>
        </w:rPr>
        <w:t xml:space="preserve">Desenvolvimento: Devido a baixa complexidade, escopo limitado e capacidade dos CubeSats </w:t>
      </w:r>
      <w:r w:rsidR="002C3DB5" w:rsidRPr="00C061D4">
        <w:rPr>
          <w:rFonts w:ascii="Cambria" w:hAnsi="Cambria"/>
        </w:rPr>
        <w:t xml:space="preserve">muitas vezes é possível usar metodologias de projeto menos formais. Em algumas circunstâncias, é possível trabalhar em equipes compactas, eliminando ainda mais a necessidade de pacotes de documentação e outras despesas gerais. Naturalmente, um certo nível mínimo de formalidade e documentação é sempre necessário. </w:t>
      </w:r>
    </w:p>
    <w:p w14:paraId="0DE6A03A" w14:textId="77777777" w:rsidR="001C4566" w:rsidRPr="00C061D4" w:rsidRDefault="001C4566" w:rsidP="001C4566">
      <w:pPr>
        <w:pStyle w:val="PargrafodaLista"/>
        <w:jc w:val="both"/>
        <w:rPr>
          <w:rFonts w:ascii="Cambria" w:hAnsi="Cambria"/>
        </w:rPr>
      </w:pPr>
    </w:p>
    <w:p w14:paraId="0200596E" w14:textId="224C6084" w:rsidR="002C3DB5" w:rsidRPr="00C061D4" w:rsidRDefault="002C3DB5" w:rsidP="00145219">
      <w:pPr>
        <w:pStyle w:val="PargrafodaLista"/>
        <w:numPr>
          <w:ilvl w:val="0"/>
          <w:numId w:val="2"/>
        </w:numPr>
        <w:jc w:val="both"/>
        <w:rPr>
          <w:rFonts w:ascii="Cambria" w:hAnsi="Cambria"/>
        </w:rPr>
      </w:pPr>
      <w:r w:rsidRPr="00C061D4">
        <w:rPr>
          <w:rFonts w:ascii="Cambria" w:hAnsi="Cambria"/>
        </w:rPr>
        <w:t>Risco: Tipicamente, a abordagem utilizada em missões CubeSats correm um risco técnico mais elevado oferecendo em troca um custo menor, uma implementação mais rápida, uma aplicação mais inovadora ou um conju</w:t>
      </w:r>
      <w:r w:rsidR="001C4566">
        <w:rPr>
          <w:rFonts w:ascii="Cambria" w:hAnsi="Cambria"/>
        </w:rPr>
        <w:t>n</w:t>
      </w:r>
      <w:r w:rsidRPr="00C061D4">
        <w:rPr>
          <w:rFonts w:ascii="Cambria" w:hAnsi="Cambria"/>
        </w:rPr>
        <w:t>to desses elementos. Esses elementos também permitem diferentes abordagens de mitigação de riscos (</w:t>
      </w:r>
      <w:r w:rsidR="001C4566" w:rsidRPr="00C061D4">
        <w:rPr>
          <w:rFonts w:ascii="Cambria" w:hAnsi="Cambria"/>
        </w:rPr>
        <w:t>revoos</w:t>
      </w:r>
      <w:r w:rsidRPr="00C061D4">
        <w:rPr>
          <w:rFonts w:ascii="Cambria" w:hAnsi="Cambria"/>
        </w:rPr>
        <w:t>, peças sobressalentes em orbita, etc</w:t>
      </w:r>
      <w:r w:rsidR="001C4566">
        <w:rPr>
          <w:rFonts w:ascii="Cambria" w:hAnsi="Cambria"/>
        </w:rPr>
        <w:t>.</w:t>
      </w:r>
      <w:r w:rsidRPr="00C061D4">
        <w:rPr>
          <w:rFonts w:ascii="Cambria" w:hAnsi="Cambria"/>
        </w:rPr>
        <w:t xml:space="preserve">) do que técnicas de mitigação de risco tradicionais. </w:t>
      </w:r>
    </w:p>
    <w:p w14:paraId="47CC5ED7" w14:textId="057D7531" w:rsidR="002C3DB5" w:rsidRPr="00C061D4" w:rsidRDefault="00831B17" w:rsidP="00145219">
      <w:pPr>
        <w:pStyle w:val="PargrafodaLista"/>
        <w:numPr>
          <w:ilvl w:val="0"/>
          <w:numId w:val="2"/>
        </w:numPr>
        <w:jc w:val="both"/>
        <w:rPr>
          <w:rFonts w:ascii="Cambria" w:hAnsi="Cambria"/>
        </w:rPr>
      </w:pPr>
      <w:r w:rsidRPr="00C061D4">
        <w:rPr>
          <w:rFonts w:ascii="Cambria" w:hAnsi="Cambria"/>
        </w:rPr>
        <w:t xml:space="preserve">Aplicação de Nicho: Os benefícios do CubeSats não são ter boas performances em termos de largura de banda ou resolução espacial, pois não é compatível com as restrições impostas pelo padrão. Entretanto, quando é usado em redes ou constelações, os CubeSats são capazes de fornecer uma resolução temporal por preços acessíveis. </w:t>
      </w:r>
    </w:p>
    <w:p w14:paraId="06FBB0BA" w14:textId="53B3F7DE" w:rsidR="00ED24D3" w:rsidRDefault="00ED24D3" w:rsidP="00853615">
      <w:pPr>
        <w:jc w:val="both"/>
        <w:rPr>
          <w:rFonts w:ascii="Cambria" w:hAnsi="Cambria"/>
        </w:rPr>
      </w:pPr>
    </w:p>
    <w:p w14:paraId="3A38E0AE" w14:textId="331055AB" w:rsidR="006B029A" w:rsidRDefault="006B029A" w:rsidP="00853615">
      <w:pPr>
        <w:jc w:val="both"/>
        <w:rPr>
          <w:rFonts w:ascii="Cambria" w:hAnsi="Cambria"/>
        </w:rPr>
      </w:pPr>
    </w:p>
    <w:p w14:paraId="14B34E86" w14:textId="3DD83682" w:rsidR="006B029A" w:rsidRDefault="006B029A" w:rsidP="00853615">
      <w:pPr>
        <w:jc w:val="both"/>
        <w:rPr>
          <w:rFonts w:ascii="Cambria" w:hAnsi="Cambria"/>
        </w:rPr>
      </w:pPr>
    </w:p>
    <w:p w14:paraId="2AAFEC2C" w14:textId="77777777" w:rsidR="006B029A" w:rsidRPr="00502927" w:rsidRDefault="006B029A" w:rsidP="00853615">
      <w:pPr>
        <w:jc w:val="both"/>
        <w:rPr>
          <w:rFonts w:ascii="Cambria" w:hAnsi="Cambria"/>
        </w:rPr>
      </w:pPr>
    </w:p>
    <w:p w14:paraId="2084E6C6" w14:textId="25EB117B" w:rsidR="006B029A" w:rsidRDefault="006B029A" w:rsidP="006B029A">
      <w:pPr>
        <w:pStyle w:val="PargrafodaLista"/>
        <w:numPr>
          <w:ilvl w:val="1"/>
          <w:numId w:val="1"/>
        </w:numPr>
        <w:jc w:val="both"/>
        <w:rPr>
          <w:rFonts w:ascii="Cambria" w:hAnsi="Cambria"/>
          <w:b/>
          <w:sz w:val="28"/>
          <w:szCs w:val="28"/>
        </w:rPr>
      </w:pPr>
      <w:r>
        <w:rPr>
          <w:rFonts w:ascii="Cambria" w:hAnsi="Cambria"/>
          <w:b/>
          <w:sz w:val="28"/>
          <w:szCs w:val="28"/>
        </w:rPr>
        <w:t>Subsistemas Aeroespaciais</w:t>
      </w:r>
    </w:p>
    <w:p w14:paraId="460A6D0E" w14:textId="77777777" w:rsidR="006B029A" w:rsidRPr="006B029A" w:rsidRDefault="006B029A" w:rsidP="000E5067">
      <w:pPr>
        <w:jc w:val="both"/>
        <w:rPr>
          <w:rFonts w:ascii="Cambria" w:hAnsi="Cambria"/>
          <w:b/>
          <w:sz w:val="28"/>
          <w:szCs w:val="28"/>
        </w:rPr>
      </w:pPr>
    </w:p>
    <w:p w14:paraId="05C2CA2A" w14:textId="03370812" w:rsidR="00B21EAA" w:rsidRPr="00C061D4" w:rsidRDefault="0009116C" w:rsidP="00B719CB">
      <w:pPr>
        <w:pStyle w:val="PargrafodaLista"/>
        <w:numPr>
          <w:ilvl w:val="1"/>
          <w:numId w:val="1"/>
        </w:numPr>
        <w:jc w:val="both"/>
        <w:rPr>
          <w:rFonts w:ascii="Cambria" w:hAnsi="Cambria"/>
          <w:b/>
          <w:sz w:val="28"/>
          <w:szCs w:val="28"/>
        </w:rPr>
      </w:pPr>
      <w:r>
        <w:rPr>
          <w:rFonts w:ascii="Cambria" w:hAnsi="Cambria"/>
          <w:b/>
          <w:sz w:val="28"/>
          <w:szCs w:val="28"/>
        </w:rPr>
        <w:t xml:space="preserve">Ferramenta de </w:t>
      </w:r>
      <w:r w:rsidR="00B719CB" w:rsidRPr="00C061D4">
        <w:rPr>
          <w:rFonts w:ascii="Cambria" w:hAnsi="Cambria"/>
          <w:b/>
          <w:sz w:val="28"/>
          <w:szCs w:val="28"/>
        </w:rPr>
        <w:t>Avaliação d</w:t>
      </w:r>
      <w:r>
        <w:rPr>
          <w:rFonts w:ascii="Cambria" w:hAnsi="Cambria"/>
          <w:b/>
          <w:sz w:val="28"/>
          <w:szCs w:val="28"/>
        </w:rPr>
        <w:t>e</w:t>
      </w:r>
      <w:r w:rsidR="00B719CB" w:rsidRPr="00C061D4">
        <w:rPr>
          <w:rFonts w:ascii="Cambria" w:hAnsi="Cambria"/>
          <w:b/>
          <w:sz w:val="28"/>
          <w:szCs w:val="28"/>
        </w:rPr>
        <w:t xml:space="preserve"> </w:t>
      </w:r>
      <w:r>
        <w:rPr>
          <w:rFonts w:ascii="Cambria" w:hAnsi="Cambria"/>
          <w:b/>
          <w:sz w:val="28"/>
          <w:szCs w:val="28"/>
        </w:rPr>
        <w:t>T</w:t>
      </w:r>
      <w:r w:rsidR="00B719CB" w:rsidRPr="00C061D4">
        <w:rPr>
          <w:rFonts w:ascii="Cambria" w:hAnsi="Cambria"/>
          <w:b/>
          <w:sz w:val="28"/>
          <w:szCs w:val="28"/>
        </w:rPr>
        <w:t>ecnologia</w:t>
      </w:r>
    </w:p>
    <w:p w14:paraId="5CE528FF" w14:textId="1A28048F" w:rsidR="00573D43" w:rsidRDefault="00D27773" w:rsidP="00573D43">
      <w:pPr>
        <w:ind w:firstLine="360"/>
        <w:jc w:val="both"/>
        <w:rPr>
          <w:rFonts w:ascii="Cambria" w:hAnsi="Cambria"/>
        </w:rPr>
      </w:pPr>
      <w:r w:rsidRPr="00D27773">
        <w:rPr>
          <w:rFonts w:ascii="Cambria" w:hAnsi="Cambria"/>
        </w:rPr>
        <w:t xml:space="preserve">O </w:t>
      </w:r>
      <w:r w:rsidRPr="00D27773">
        <w:rPr>
          <w:rFonts w:ascii="Cambria" w:hAnsi="Cambria"/>
          <w:i/>
        </w:rPr>
        <w:t>Techonology Readiness Levels</w:t>
      </w:r>
      <w:r w:rsidRPr="00D27773">
        <w:rPr>
          <w:rFonts w:ascii="Cambria" w:hAnsi="Cambria"/>
        </w:rPr>
        <w:t xml:space="preserve">  (TRLs) são um</w:t>
      </w:r>
      <w:r>
        <w:rPr>
          <w:rFonts w:ascii="Cambria" w:hAnsi="Cambria"/>
        </w:rPr>
        <w:t xml:space="preserve">a métrica/medida sistemática que ajuda na avalição da maturidade de tecnologias e consiste na comparação da maturidade de </w:t>
      </w:r>
      <w:r>
        <w:rPr>
          <w:rFonts w:ascii="Cambria" w:hAnsi="Cambria"/>
        </w:rPr>
        <w:lastRenderedPageBreak/>
        <w:t xml:space="preserve">diferentes tipos de tecnologia (Mankins, 1995). </w:t>
      </w:r>
      <w:r w:rsidR="00573D43">
        <w:rPr>
          <w:rFonts w:ascii="Cambria" w:hAnsi="Cambria"/>
        </w:rPr>
        <w:t>A figura X mostra a escala TRL, que vai de 1 ate 9.</w:t>
      </w:r>
    </w:p>
    <w:p w14:paraId="2CD3BFC7" w14:textId="77777777" w:rsidR="00573D43" w:rsidRDefault="00573D43" w:rsidP="00573D43">
      <w:pPr>
        <w:ind w:firstLine="360"/>
        <w:jc w:val="center"/>
        <w:rPr>
          <w:rFonts w:ascii="Cambria" w:hAnsi="Cambria"/>
        </w:rPr>
      </w:pPr>
      <w:r>
        <w:rPr>
          <w:noProof/>
        </w:rPr>
        <w:drawing>
          <wp:inline distT="0" distB="0" distL="0" distR="0" wp14:anchorId="52ACA792" wp14:editId="6AC546EA">
            <wp:extent cx="1927454" cy="3114136"/>
            <wp:effectExtent l="0" t="0" r="0" b="0"/>
            <wp:docPr id="7" name="Imagem 7" descr="Image result for trl na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trl nas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30018" cy="3118279"/>
                    </a:xfrm>
                    <a:prstGeom prst="rect">
                      <a:avLst/>
                    </a:prstGeom>
                    <a:noFill/>
                    <a:ln>
                      <a:noFill/>
                    </a:ln>
                  </pic:spPr>
                </pic:pic>
              </a:graphicData>
            </a:graphic>
          </wp:inline>
        </w:drawing>
      </w:r>
    </w:p>
    <w:p w14:paraId="5270F67B" w14:textId="77777777" w:rsidR="00573D43" w:rsidRDefault="00573D43" w:rsidP="00573D43">
      <w:pPr>
        <w:ind w:firstLine="360"/>
        <w:jc w:val="center"/>
        <w:rPr>
          <w:rFonts w:ascii="Cambria" w:hAnsi="Cambria"/>
        </w:rPr>
      </w:pPr>
      <w:r>
        <w:rPr>
          <w:rFonts w:ascii="Cambria" w:hAnsi="Cambria"/>
        </w:rPr>
        <w:t>Figura X. Escala do TRL (</w:t>
      </w:r>
      <w:hyperlink r:id="rId13" w:history="1">
        <w:r w:rsidRPr="003735C9">
          <w:rPr>
            <w:rStyle w:val="Hyperlink"/>
            <w:rFonts w:ascii="Cambria" w:hAnsi="Cambria"/>
          </w:rPr>
          <w:t>https://en.wikipedia.org/wiki/Technology_readiness_level</w:t>
        </w:r>
      </w:hyperlink>
      <w:r>
        <w:rPr>
          <w:rFonts w:ascii="Cambria" w:hAnsi="Cambria"/>
        </w:rPr>
        <w:t>).</w:t>
      </w:r>
    </w:p>
    <w:p w14:paraId="67BF3150" w14:textId="77777777" w:rsidR="00573D43" w:rsidRDefault="00573D43" w:rsidP="0009116C">
      <w:pPr>
        <w:ind w:firstLine="360"/>
        <w:jc w:val="both"/>
        <w:rPr>
          <w:rFonts w:ascii="Cambria" w:hAnsi="Cambria"/>
        </w:rPr>
      </w:pPr>
    </w:p>
    <w:p w14:paraId="5DFEF24B" w14:textId="0F7C508F" w:rsidR="00D27773" w:rsidRDefault="00D27773" w:rsidP="0009116C">
      <w:pPr>
        <w:ind w:firstLine="360"/>
        <w:jc w:val="both"/>
        <w:rPr>
          <w:rFonts w:ascii="Cambria" w:hAnsi="Cambria"/>
        </w:rPr>
      </w:pPr>
      <w:r>
        <w:rPr>
          <w:rFonts w:ascii="Cambria" w:hAnsi="Cambria"/>
        </w:rPr>
        <w:t xml:space="preserve">Uma tecnologia é considerada estado da arte quando seu TRL for maior ou igual a 6. </w:t>
      </w:r>
      <w:r w:rsidRPr="00C061D4">
        <w:rPr>
          <w:rFonts w:ascii="Cambria" w:hAnsi="Cambria"/>
        </w:rPr>
        <w:t>Um TRL de 6 indica que o modelo ou protótipo está próximo da configuração desejada em termos de desempenho, peso e volume, e foi testado e demonstrado em um ambiente relevante. Um ambiente relevante é um ambiente de laboratório de alta fidelidade ou um sistema operacional ambiente</w:t>
      </w:r>
      <w:r>
        <w:rPr>
          <w:rFonts w:ascii="Cambria" w:hAnsi="Cambria"/>
        </w:rPr>
        <w:t xml:space="preserve"> </w:t>
      </w:r>
      <w:r w:rsidRPr="00C061D4">
        <w:rPr>
          <w:rFonts w:ascii="Cambria" w:hAnsi="Cambria"/>
        </w:rPr>
        <w:t>Uma tecnologia é considerada não-técnica sempre que o seu TRL for inferior ou igual a 5. Nesta categoria, a tecnologia é considerada “no horizonte”</w:t>
      </w:r>
      <w:r>
        <w:rPr>
          <w:rFonts w:ascii="Cambria" w:hAnsi="Cambria"/>
        </w:rPr>
        <w:t xml:space="preserve"> </w:t>
      </w:r>
      <w:r w:rsidRPr="00C061D4">
        <w:rPr>
          <w:rFonts w:ascii="Cambria" w:hAnsi="Cambria"/>
          <w:color w:val="000000"/>
        </w:rPr>
        <w:t>(</w:t>
      </w:r>
      <w:r w:rsidRPr="00C061D4">
        <w:rPr>
          <w:rFonts w:ascii="Cambria" w:hAnsi="Cambria"/>
        </w:rPr>
        <w:t>ROGAN SHIMMIN</w:t>
      </w:r>
      <w:r w:rsidRPr="00C061D4">
        <w:rPr>
          <w:rFonts w:ascii="Cambria" w:hAnsi="Cambria"/>
          <w:color w:val="000000"/>
        </w:rPr>
        <w:t>, 2015)</w:t>
      </w:r>
      <w:r w:rsidRPr="00C061D4">
        <w:rPr>
          <w:rFonts w:ascii="Cambria" w:hAnsi="Cambria"/>
        </w:rPr>
        <w:t>.</w:t>
      </w:r>
    </w:p>
    <w:p w14:paraId="465E44D0" w14:textId="0A74CDE4" w:rsidR="00D27773" w:rsidRPr="00D27773" w:rsidRDefault="00D27773" w:rsidP="0009116C">
      <w:pPr>
        <w:ind w:firstLine="360"/>
        <w:jc w:val="both"/>
        <w:rPr>
          <w:rFonts w:ascii="Cambria" w:hAnsi="Cambria"/>
        </w:rPr>
      </w:pPr>
      <w:r>
        <w:rPr>
          <w:rFonts w:ascii="Cambria" w:hAnsi="Cambria"/>
        </w:rPr>
        <w:t>O uso de TRL será importante na hora de decidir em quais missões se basear, para escolher os componentes e dispositivos. Essa ferramenta deixará explicito os possíveis riscos em se basear em missões que ainda possuem um TRL baixo.</w:t>
      </w:r>
    </w:p>
    <w:p w14:paraId="6AB618E1" w14:textId="51CE17C7" w:rsidR="00F601E7" w:rsidRPr="004429E5" w:rsidRDefault="0009116C" w:rsidP="00D27773">
      <w:pPr>
        <w:ind w:firstLine="360"/>
        <w:jc w:val="both"/>
        <w:rPr>
          <w:rFonts w:ascii="Cambria" w:hAnsi="Cambria"/>
          <w:color w:val="FF0000"/>
        </w:rPr>
      </w:pPr>
      <w:r w:rsidRPr="004429E5">
        <w:rPr>
          <w:rFonts w:ascii="Cambria" w:hAnsi="Cambria"/>
          <w:color w:val="FF0000"/>
        </w:rPr>
        <w:t>Uma das ferramentas disponíveis para a avalição de tecnologias que permite definir seu nível de maturidade designa-se por TRL (</w:t>
      </w:r>
      <w:r w:rsidRPr="004429E5">
        <w:rPr>
          <w:rFonts w:ascii="Cambria" w:hAnsi="Cambria"/>
          <w:i/>
          <w:color w:val="FF0000"/>
        </w:rPr>
        <w:t>Techonology Readiness Levels</w:t>
      </w:r>
      <w:r w:rsidRPr="004429E5">
        <w:rPr>
          <w:rFonts w:ascii="Cambria" w:hAnsi="Cambria"/>
          <w:color w:val="FF0000"/>
        </w:rPr>
        <w:t xml:space="preserve">), Níveis de Prontidão Tecnológica. </w:t>
      </w:r>
    </w:p>
    <w:p w14:paraId="703242C5" w14:textId="77777777" w:rsidR="00D27773" w:rsidRPr="00C061D4" w:rsidRDefault="00D27773" w:rsidP="00D27773">
      <w:pPr>
        <w:ind w:firstLine="360"/>
        <w:jc w:val="center"/>
        <w:rPr>
          <w:rFonts w:ascii="Cambria" w:hAnsi="Cambria"/>
        </w:rPr>
      </w:pPr>
    </w:p>
    <w:p w14:paraId="73C1B1E6" w14:textId="0EF96076" w:rsidR="005A5BB4" w:rsidRPr="00F601E7" w:rsidRDefault="005A5BB4" w:rsidP="00F601E7">
      <w:pPr>
        <w:pStyle w:val="PargrafodaLista"/>
        <w:numPr>
          <w:ilvl w:val="1"/>
          <w:numId w:val="1"/>
        </w:numPr>
        <w:jc w:val="both"/>
        <w:rPr>
          <w:rFonts w:ascii="Cambria" w:hAnsi="Cambria"/>
          <w:b/>
          <w:sz w:val="28"/>
          <w:szCs w:val="28"/>
          <w:lang w:val="en-US"/>
        </w:rPr>
      </w:pPr>
      <w:r w:rsidRPr="00F601E7">
        <w:rPr>
          <w:rFonts w:ascii="Cambria" w:hAnsi="Cambria"/>
          <w:b/>
          <w:sz w:val="28"/>
          <w:szCs w:val="28"/>
          <w:lang w:val="en-US"/>
        </w:rPr>
        <w:t>Computador de Bordo</w:t>
      </w:r>
    </w:p>
    <w:p w14:paraId="6FA2C7FE" w14:textId="2D24AB79" w:rsidR="00412BEB" w:rsidRDefault="00412BEB" w:rsidP="00083D1D">
      <w:pPr>
        <w:ind w:firstLine="360"/>
        <w:jc w:val="both"/>
        <w:rPr>
          <w:rFonts w:ascii="Cambria" w:hAnsi="Cambria"/>
        </w:rPr>
      </w:pPr>
      <w:r w:rsidRPr="00412BEB">
        <w:rPr>
          <w:rFonts w:ascii="Cambria" w:hAnsi="Cambria"/>
        </w:rPr>
        <w:t>O Computador de Bordo é</w:t>
      </w:r>
      <w:r>
        <w:rPr>
          <w:rFonts w:ascii="Cambria" w:hAnsi="Cambria"/>
        </w:rPr>
        <w:t xml:space="preserve"> considerado o cérebro do CubeSat e consiste essencialmente de um microcontrolador conectado à outros subsistemas por uma por barramentos de dados e periféricos adicionais. Um sistema operacional de tempo real (RTOS) controla todas as aplicações que rodam no microcotrolador e constitui o software de voo do CubeSat (FSW) </w:t>
      </w:r>
      <w:r w:rsidRPr="00BB1460">
        <w:rPr>
          <w:rFonts w:ascii="Cambria" w:hAnsi="Cambria"/>
        </w:rPr>
        <w:t>(</w:t>
      </w:r>
      <w:r w:rsidRPr="00412BEB">
        <w:rPr>
          <w:rFonts w:ascii="Cambria" w:hAnsi="Cambria"/>
        </w:rPr>
        <w:t>Development of an onboard computer (OBC) for a CubeSat</w:t>
      </w:r>
      <w:r>
        <w:rPr>
          <w:rFonts w:ascii="Cambria" w:hAnsi="Cambria"/>
        </w:rPr>
        <w:t>).</w:t>
      </w:r>
    </w:p>
    <w:p w14:paraId="72D2FBD9" w14:textId="5573C790" w:rsidR="00BB741E" w:rsidRDefault="00BB741E" w:rsidP="00083D1D">
      <w:pPr>
        <w:ind w:firstLine="360"/>
        <w:jc w:val="both"/>
        <w:rPr>
          <w:rFonts w:ascii="Cambria" w:hAnsi="Cambria"/>
        </w:rPr>
      </w:pPr>
      <w:r w:rsidRPr="00BB741E">
        <w:rPr>
          <w:rFonts w:ascii="Cambria" w:hAnsi="Cambria"/>
        </w:rPr>
        <w:t>As funções mais importantes d</w:t>
      </w:r>
      <w:r>
        <w:rPr>
          <w:rFonts w:ascii="Cambria" w:hAnsi="Cambria"/>
        </w:rPr>
        <w:t>e um Computador de bordo são exemplificadas abaixo (Well et al., 2003):</w:t>
      </w:r>
    </w:p>
    <w:p w14:paraId="55BBC2F7" w14:textId="132235A9" w:rsidR="00BB741E" w:rsidRDefault="00BB741E" w:rsidP="00BB741E">
      <w:pPr>
        <w:pStyle w:val="PargrafodaLista"/>
        <w:numPr>
          <w:ilvl w:val="0"/>
          <w:numId w:val="3"/>
        </w:numPr>
        <w:jc w:val="both"/>
        <w:rPr>
          <w:rFonts w:ascii="Cambria" w:hAnsi="Cambria"/>
        </w:rPr>
      </w:pPr>
      <w:r>
        <w:rPr>
          <w:rFonts w:ascii="Cambria" w:hAnsi="Cambria"/>
        </w:rPr>
        <w:lastRenderedPageBreak/>
        <w:t>Capturar e armazenar dados da telemetria e Payload para a tramsmissão para a estação de solo;</w:t>
      </w:r>
    </w:p>
    <w:p w14:paraId="22715A9B" w14:textId="3B8C335F" w:rsidR="00BB741E" w:rsidRDefault="00BB741E" w:rsidP="00BB741E">
      <w:pPr>
        <w:pStyle w:val="PargrafodaLista"/>
        <w:numPr>
          <w:ilvl w:val="0"/>
          <w:numId w:val="3"/>
        </w:numPr>
        <w:jc w:val="both"/>
        <w:rPr>
          <w:rFonts w:ascii="Cambria" w:hAnsi="Cambria"/>
        </w:rPr>
      </w:pPr>
      <w:r>
        <w:rPr>
          <w:rFonts w:ascii="Cambria" w:hAnsi="Cambria"/>
        </w:rPr>
        <w:t>Codificar e decodificar pacotes de  dados para a estação de solo;</w:t>
      </w:r>
    </w:p>
    <w:p w14:paraId="0C9B9DCE" w14:textId="1D209FE3" w:rsidR="00BB741E" w:rsidRDefault="00BB741E" w:rsidP="00BB741E">
      <w:pPr>
        <w:pStyle w:val="PargrafodaLista"/>
        <w:numPr>
          <w:ilvl w:val="0"/>
          <w:numId w:val="3"/>
        </w:numPr>
        <w:jc w:val="both"/>
        <w:rPr>
          <w:rFonts w:ascii="Cambria" w:hAnsi="Cambria"/>
        </w:rPr>
      </w:pPr>
      <w:r>
        <w:rPr>
          <w:rFonts w:ascii="Cambria" w:hAnsi="Cambria"/>
        </w:rPr>
        <w:t>Processar os telecomandos da estação de solo, incluindo o tempo atraso entre dos telecomandos enviados pelo canal de uplink;</w:t>
      </w:r>
    </w:p>
    <w:p w14:paraId="6F78C0CB" w14:textId="005315B8" w:rsidR="00BB741E" w:rsidRPr="00BB741E" w:rsidRDefault="00BB741E" w:rsidP="00BB741E">
      <w:pPr>
        <w:pStyle w:val="PargrafodaLista"/>
        <w:numPr>
          <w:ilvl w:val="0"/>
          <w:numId w:val="3"/>
        </w:numPr>
        <w:jc w:val="both"/>
        <w:rPr>
          <w:rFonts w:ascii="Cambria" w:hAnsi="Cambria"/>
        </w:rPr>
      </w:pPr>
      <w:r>
        <w:rPr>
          <w:rFonts w:ascii="Cambria" w:hAnsi="Cambria"/>
        </w:rPr>
        <w:t xml:space="preserve">Monitorar os subsistemas, implementando funções de watchdog e re-iniciando subsistemas críticos quando necessário. </w:t>
      </w:r>
    </w:p>
    <w:p w14:paraId="71921D96" w14:textId="77777777" w:rsidR="0062035E" w:rsidRPr="00F601E7" w:rsidRDefault="0062035E" w:rsidP="00083D1D">
      <w:pPr>
        <w:ind w:firstLine="360"/>
        <w:jc w:val="both"/>
        <w:rPr>
          <w:rFonts w:ascii="Cambria" w:hAnsi="Cambria"/>
        </w:rPr>
      </w:pPr>
    </w:p>
    <w:p w14:paraId="3C762A43" w14:textId="00F6040B" w:rsidR="00E57822" w:rsidRDefault="00083D1D" w:rsidP="00083D1D">
      <w:pPr>
        <w:jc w:val="both"/>
        <w:rPr>
          <w:rFonts w:ascii="ArialMT" w:hAnsi="ArialMT"/>
          <w:color w:val="000000"/>
          <w:lang w:val="en-US"/>
        </w:rPr>
      </w:pPr>
      <w:r w:rsidRPr="00083D1D">
        <w:rPr>
          <w:rFonts w:ascii="ArialMT" w:hAnsi="ArialMT"/>
          <w:color w:val="000000"/>
          <w:lang w:val="en-US"/>
        </w:rPr>
        <w:t>This is also</w:t>
      </w:r>
      <w:r w:rsidR="00FB718D">
        <w:rPr>
          <w:rFonts w:ascii="ArialMT" w:hAnsi="ArialMT"/>
          <w:color w:val="000000"/>
          <w:lang w:val="en-US"/>
        </w:rPr>
        <w:t xml:space="preserve"> </w:t>
      </w:r>
      <w:r w:rsidRPr="00083D1D">
        <w:rPr>
          <w:rFonts w:ascii="ArialMT" w:hAnsi="ArialMT"/>
          <w:color w:val="000000"/>
          <w:lang w:val="en-US"/>
        </w:rPr>
        <w:t>accomplished by the OBC which decodes these telecommands and executes them by in</w:t>
      </w:r>
      <w:r w:rsidR="00FB718D">
        <w:rPr>
          <w:rFonts w:ascii="ArialMT" w:hAnsi="ArialMT"/>
          <w:color w:val="000000"/>
          <w:lang w:val="en-US"/>
        </w:rPr>
        <w:t xml:space="preserve"> </w:t>
      </w:r>
      <w:r w:rsidRPr="00083D1D">
        <w:rPr>
          <w:rFonts w:ascii="ArialMT" w:hAnsi="ArialMT"/>
          <w:color w:val="000000"/>
          <w:lang w:val="en-US"/>
        </w:rPr>
        <w:t>turn commanding the other subsystems to achieve the desired action (Polaschegg,</w:t>
      </w:r>
      <w:r w:rsidR="00FB718D">
        <w:rPr>
          <w:rFonts w:ascii="ArialMT" w:hAnsi="ArialMT"/>
          <w:color w:val="000000"/>
          <w:lang w:val="en-US"/>
        </w:rPr>
        <w:t xml:space="preserve"> </w:t>
      </w:r>
      <w:r w:rsidRPr="00083D1D">
        <w:rPr>
          <w:rFonts w:ascii="ArialMT" w:hAnsi="ArialMT"/>
          <w:color w:val="000000"/>
          <w:lang w:val="en-US"/>
        </w:rPr>
        <w:t>2005).</w:t>
      </w:r>
    </w:p>
    <w:p w14:paraId="63B7E7DF" w14:textId="76019942" w:rsidR="00E57822" w:rsidRPr="00E57822" w:rsidRDefault="00E57822" w:rsidP="00083D1D">
      <w:pPr>
        <w:jc w:val="both"/>
        <w:rPr>
          <w:rFonts w:ascii="ArialMT" w:hAnsi="ArialMT"/>
          <w:color w:val="000000"/>
        </w:rPr>
      </w:pPr>
      <w:r w:rsidRPr="00E57822">
        <w:rPr>
          <w:rFonts w:ascii="ArialMT" w:hAnsi="ArialMT"/>
          <w:color w:val="000000"/>
        </w:rPr>
        <w:t xml:space="preserve">O computador de bordo </w:t>
      </w:r>
      <w:r>
        <w:rPr>
          <w:rFonts w:ascii="ArialMT" w:hAnsi="ArialMT"/>
          <w:color w:val="000000"/>
        </w:rPr>
        <w:t>também pode fazer a leitura dos sensores do ADCS para determinar a leitu</w:t>
      </w:r>
    </w:p>
    <w:p w14:paraId="615D5DF8" w14:textId="1C402429" w:rsidR="00083D1D" w:rsidRPr="005A5BB4" w:rsidRDefault="00083D1D" w:rsidP="00083D1D">
      <w:pPr>
        <w:jc w:val="both"/>
        <w:rPr>
          <w:rFonts w:ascii="Cambria" w:hAnsi="Cambria"/>
          <w:lang w:val="en-US"/>
        </w:rPr>
      </w:pPr>
      <w:r w:rsidRPr="00D238ED">
        <w:rPr>
          <w:rFonts w:ascii="ArialMT" w:hAnsi="ArialMT"/>
          <w:color w:val="000000"/>
          <w:lang w:val="en-US"/>
        </w:rPr>
        <w:br/>
      </w:r>
      <w:r w:rsidRPr="00083D1D">
        <w:rPr>
          <w:rFonts w:ascii="ArialMT" w:hAnsi="ArialMT"/>
          <w:color w:val="000000"/>
          <w:lang w:val="en-US"/>
        </w:rPr>
        <w:t>The OBC also makes use of the data from ADCS sensors to determine the attitude of</w:t>
      </w:r>
      <w:r w:rsidRPr="00083D1D">
        <w:rPr>
          <w:rFonts w:ascii="ArialMT" w:hAnsi="ArialMT"/>
          <w:color w:val="000000"/>
          <w:lang w:val="en-US"/>
        </w:rPr>
        <w:br/>
        <w:t>the orbiting satellite and controls the ADCS actuators to control the satellite’s attitude.</w:t>
      </w:r>
      <w:r w:rsidRPr="00083D1D">
        <w:rPr>
          <w:rFonts w:ascii="ArialMT" w:hAnsi="ArialMT"/>
          <w:color w:val="000000"/>
          <w:lang w:val="en-US"/>
        </w:rPr>
        <w:br/>
        <w:t>This is done by loading a pre-defined control algorithm into the microcontroller and</w:t>
      </w:r>
      <w:r w:rsidRPr="00083D1D">
        <w:rPr>
          <w:rFonts w:ascii="ArialMT" w:hAnsi="ArialMT"/>
          <w:color w:val="000000"/>
          <w:lang w:val="en-US"/>
        </w:rPr>
        <w:br/>
        <w:t xml:space="preserve">executing manoeuvres whenever necessary (Hales </w:t>
      </w:r>
      <w:r w:rsidRPr="00083D1D">
        <w:rPr>
          <w:rFonts w:ascii="ArialMT" w:hAnsi="ArialMT"/>
          <w:i/>
          <w:iCs/>
          <w:color w:val="000000"/>
          <w:lang w:val="en-US"/>
        </w:rPr>
        <w:t>et al.</w:t>
      </w:r>
      <w:r w:rsidRPr="00083D1D">
        <w:rPr>
          <w:rFonts w:ascii="ArialMT" w:hAnsi="ArialMT"/>
          <w:color w:val="000000"/>
          <w:lang w:val="en-US"/>
        </w:rPr>
        <w:t>, 2001).</w:t>
      </w:r>
      <w:r w:rsidRPr="00083D1D">
        <w:rPr>
          <w:rFonts w:ascii="ArialMT" w:hAnsi="ArialMT"/>
          <w:color w:val="000000"/>
          <w:lang w:val="en-US"/>
        </w:rPr>
        <w:br/>
        <w:t>As illustrated in Figure 2.3, the OBC is composed of both hardware and software</w:t>
      </w:r>
      <w:r w:rsidRPr="00083D1D">
        <w:rPr>
          <w:rFonts w:ascii="ArialMT" w:hAnsi="ArialMT"/>
          <w:color w:val="000000"/>
          <w:lang w:val="en-US"/>
        </w:rPr>
        <w:br/>
        <w:t>components. Such a global visualisation is very useful to associate all the OBC elements</w:t>
      </w:r>
      <w:r w:rsidRPr="00083D1D">
        <w:rPr>
          <w:rFonts w:ascii="ArialMT" w:hAnsi="ArialMT"/>
          <w:color w:val="000000"/>
          <w:lang w:val="en-US"/>
        </w:rPr>
        <w:br/>
        <w:t>with their respective functions and build the OBC architecture based on these elements</w:t>
      </w:r>
      <w:r w:rsidRPr="00083D1D">
        <w:rPr>
          <w:rFonts w:ascii="ArialMT" w:hAnsi="ArialMT"/>
          <w:color w:val="000000"/>
          <w:lang w:val="en-US"/>
        </w:rPr>
        <w:br/>
        <w:t>(Noergaard, 2005). These two components are presented in more details:</w:t>
      </w:r>
    </w:p>
    <w:p w14:paraId="6CB79195" w14:textId="66E56C91" w:rsidR="000E5067" w:rsidRDefault="005A5BB4" w:rsidP="000E5067">
      <w:pPr>
        <w:jc w:val="both"/>
        <w:rPr>
          <w:rFonts w:ascii="ArialMT" w:hAnsi="ArialMT"/>
          <w:color w:val="000000"/>
          <w:lang w:val="en-US"/>
        </w:rPr>
      </w:pPr>
      <w:r w:rsidRPr="005A5BB4">
        <w:rPr>
          <w:rFonts w:ascii="ArialMT" w:hAnsi="ArialMT"/>
          <w:color w:val="000000"/>
          <w:lang w:val="en-US"/>
        </w:rPr>
        <w:t>n its very basic form, a CubeSat’s architecture is similar to what is presented in Figure</w:t>
      </w:r>
      <w:r w:rsidRPr="005A5BB4">
        <w:rPr>
          <w:rFonts w:ascii="ArialMT" w:hAnsi="ArialMT"/>
          <w:color w:val="000000"/>
          <w:lang w:val="en-US"/>
        </w:rPr>
        <w:br/>
        <w:t>2.2. The OBC is at the centre of all communications between other subsystems via a</w:t>
      </w:r>
      <w:r w:rsidRPr="005A5BB4">
        <w:rPr>
          <w:rFonts w:ascii="ArialMT" w:hAnsi="ArialMT"/>
          <w:color w:val="000000"/>
          <w:lang w:val="en-US"/>
        </w:rPr>
        <w:br/>
        <w:t>serial bus interface. The OBC generally includes the memory subsystem because it has</w:t>
      </w:r>
      <w:r w:rsidRPr="005A5BB4">
        <w:rPr>
          <w:rFonts w:ascii="ArialMT" w:hAnsi="ArialMT"/>
          <w:color w:val="000000"/>
          <w:lang w:val="en-US"/>
        </w:rPr>
        <w:br/>
        <w:t>the additional function to record housekeeping parameters and telemetry payload data</w:t>
      </w:r>
      <w:r w:rsidRPr="005A5BB4">
        <w:rPr>
          <w:rFonts w:ascii="ArialMT" w:hAnsi="ArialMT"/>
          <w:color w:val="000000"/>
          <w:lang w:val="en-US"/>
        </w:rPr>
        <w:br/>
        <w:t>collected at given timestamps or coordinates, before initiating the transmission to the</w:t>
      </w:r>
      <w:r w:rsidRPr="005A5BB4">
        <w:rPr>
          <w:rFonts w:ascii="ArialMT" w:hAnsi="ArialMT"/>
          <w:color w:val="000000"/>
          <w:lang w:val="en-US"/>
        </w:rPr>
        <w:br/>
        <w:t>ground station during an overpass (Hardy, 2009).</w:t>
      </w:r>
      <w:r w:rsidRPr="005A5BB4">
        <w:rPr>
          <w:rFonts w:ascii="ArialMT" w:hAnsi="ArialMT"/>
          <w:color w:val="000000"/>
          <w:lang w:val="en-US"/>
        </w:rPr>
        <w:br/>
        <w:t>Each subsystem is assigned a dedicated task. A brief description of each subsystem is</w:t>
      </w:r>
      <w:r w:rsidRPr="005A5BB4">
        <w:rPr>
          <w:rFonts w:ascii="ArialMT" w:hAnsi="ArialMT"/>
          <w:color w:val="000000"/>
          <w:lang w:val="en-US"/>
        </w:rPr>
        <w:br/>
        <w:t>given in the points that follow.</w:t>
      </w:r>
    </w:p>
    <w:p w14:paraId="69FC8552" w14:textId="77777777" w:rsidR="00E06B69" w:rsidRPr="00E06B69" w:rsidRDefault="00E06B69" w:rsidP="00E06B69">
      <w:pPr>
        <w:ind w:firstLine="360"/>
        <w:jc w:val="both"/>
        <w:rPr>
          <w:rFonts w:ascii="ArialMT" w:hAnsi="ArialMT"/>
          <w:color w:val="FF0000"/>
          <w:lang w:val="en-US"/>
        </w:rPr>
      </w:pPr>
      <w:r w:rsidRPr="00E06B69">
        <w:rPr>
          <w:rFonts w:ascii="Cambria" w:hAnsi="Cambria"/>
          <w:color w:val="FF0000"/>
        </w:rPr>
        <w:t xml:space="preserve">Os subsistemas de um satélite são encarregados de transmitir e armazenar informações ou comandos entre eles. O computar de bordo se assemelha ao coração dessa troca de dados e funciona com a comunicação a bordo entre todos os subsistemas. As especificações do computador de bordo precisam ser determinadas e otimizada para assegurar o seu funcionamento e eficiência de troca de dados, desde que varias taxas estão sendo utilizadas entre os subsistemas.  </w:t>
      </w:r>
      <w:r w:rsidRPr="00E06B69">
        <w:rPr>
          <w:rFonts w:ascii="Cambria" w:hAnsi="Cambria"/>
          <w:color w:val="FF0000"/>
          <w:lang w:val="en-US"/>
        </w:rPr>
        <w:t>(Hidayat, 2010). (TUSat1—The Innovative Creation of a Low-Cost CubeSat)</w:t>
      </w:r>
    </w:p>
    <w:p w14:paraId="17939586" w14:textId="77777777" w:rsidR="00E06B69" w:rsidRPr="00E06B69" w:rsidRDefault="00E06B69" w:rsidP="00E06B69">
      <w:pPr>
        <w:ind w:firstLine="360"/>
        <w:jc w:val="both"/>
        <w:rPr>
          <w:rFonts w:ascii="Cambria" w:hAnsi="Cambria"/>
          <w:color w:val="FF0000"/>
        </w:rPr>
      </w:pPr>
      <w:r w:rsidRPr="00E06B69">
        <w:rPr>
          <w:rFonts w:ascii="Cambria" w:hAnsi="Cambria"/>
          <w:color w:val="FF0000"/>
        </w:rPr>
        <w:t>Parametros do computador de bordo, como temperatura e potencia consumida, em diferentes pontos do satelite, são constantemente medidos e armazenados na memoria do computador de bordo e constituem os dados de telemetria para sem baixados pela estação de solo durante a passada. A estação de solo pode enviar novas versões do firmware de voo, pelo canal uplink, e novos parâmetros orbitais podem ser definidos e implementados. Isso é pego asdasdasd</w:t>
      </w:r>
    </w:p>
    <w:p w14:paraId="0A82E80C" w14:textId="77777777" w:rsidR="00F601E7" w:rsidRPr="005A5BB4" w:rsidRDefault="00F601E7" w:rsidP="000E5067">
      <w:pPr>
        <w:jc w:val="both"/>
        <w:rPr>
          <w:rFonts w:ascii="Cambria" w:hAnsi="Cambria"/>
          <w:lang w:val="en-US"/>
        </w:rPr>
      </w:pPr>
    </w:p>
    <w:p w14:paraId="3DB3AEBE" w14:textId="65E89C4A" w:rsidR="00F601E7" w:rsidRDefault="005A5BB4" w:rsidP="00F601E7">
      <w:pPr>
        <w:pStyle w:val="PargrafodaLista"/>
        <w:numPr>
          <w:ilvl w:val="2"/>
          <w:numId w:val="1"/>
        </w:numPr>
        <w:jc w:val="both"/>
        <w:rPr>
          <w:rFonts w:ascii="Cambria" w:hAnsi="Cambria"/>
          <w:b/>
          <w:sz w:val="28"/>
          <w:szCs w:val="28"/>
          <w:lang w:val="en-US"/>
        </w:rPr>
      </w:pPr>
      <w:r w:rsidRPr="00F601E7">
        <w:rPr>
          <w:rFonts w:ascii="Cambria" w:hAnsi="Cambria"/>
          <w:b/>
          <w:sz w:val="28"/>
          <w:szCs w:val="28"/>
          <w:lang w:val="en-US"/>
        </w:rPr>
        <w:t xml:space="preserve">Computadores de Bordo </w:t>
      </w:r>
      <w:r w:rsidR="00C061D4" w:rsidRPr="00F601E7">
        <w:rPr>
          <w:rFonts w:ascii="Cambria" w:hAnsi="Cambria"/>
          <w:b/>
          <w:sz w:val="28"/>
          <w:szCs w:val="28"/>
          <w:lang w:val="en-US"/>
        </w:rPr>
        <w:t>existentes</w:t>
      </w:r>
    </w:p>
    <w:p w14:paraId="27C0B633" w14:textId="2EEE1B53" w:rsidR="00F601E7" w:rsidRPr="00F728BA" w:rsidRDefault="00F728BA" w:rsidP="00F728BA">
      <w:pPr>
        <w:ind w:firstLine="360"/>
        <w:jc w:val="both"/>
        <w:rPr>
          <w:rFonts w:ascii="Cambria" w:hAnsi="Cambria"/>
          <w:szCs w:val="28"/>
        </w:rPr>
      </w:pPr>
      <w:r w:rsidRPr="00F728BA">
        <w:rPr>
          <w:rFonts w:ascii="Cambria" w:hAnsi="Cambria"/>
          <w:szCs w:val="28"/>
        </w:rPr>
        <w:lastRenderedPageBreak/>
        <w:t>Nesta seção serão avaliadas a</w:t>
      </w:r>
      <w:r>
        <w:rPr>
          <w:rFonts w:ascii="Cambria" w:hAnsi="Cambria"/>
          <w:szCs w:val="28"/>
        </w:rPr>
        <w:t xml:space="preserve">lgumas missões e seus Computadores de Bordo. Levou-se em consideração a maturidade tecnologia, mencionada na seção X. </w:t>
      </w:r>
    </w:p>
    <w:p w14:paraId="38ABF7BE" w14:textId="216C4AB5" w:rsidR="00F601E7" w:rsidRPr="00F601E7" w:rsidRDefault="00F601E7" w:rsidP="00F601E7">
      <w:pPr>
        <w:pStyle w:val="PargrafodaLista"/>
        <w:numPr>
          <w:ilvl w:val="0"/>
          <w:numId w:val="5"/>
        </w:numPr>
        <w:jc w:val="both"/>
        <w:rPr>
          <w:rFonts w:ascii="Cambria" w:hAnsi="Cambria"/>
          <w:b/>
          <w:sz w:val="28"/>
          <w:szCs w:val="28"/>
          <w:lang w:val="en-US"/>
        </w:rPr>
      </w:pPr>
      <w:r w:rsidRPr="00F601E7">
        <w:rPr>
          <w:rFonts w:ascii="Cambria" w:hAnsi="Cambria"/>
          <w:b/>
        </w:rPr>
        <w:t>FloripaSat OBDH</w:t>
      </w:r>
    </w:p>
    <w:p w14:paraId="384C0E63" w14:textId="77777777" w:rsidR="00F601E7" w:rsidRPr="004414D3" w:rsidRDefault="00F601E7" w:rsidP="00F601E7">
      <w:pPr>
        <w:ind w:firstLine="360"/>
        <w:jc w:val="both"/>
        <w:rPr>
          <w:rFonts w:ascii="Cambria" w:hAnsi="Cambria"/>
        </w:rPr>
      </w:pPr>
      <w:r w:rsidRPr="004414D3">
        <w:rPr>
          <w:rFonts w:ascii="Cambria" w:hAnsi="Cambria"/>
        </w:rPr>
        <w:t>O projeto FloripaSat, da Universidade Federal de Santa Catarina (UFSC), possui um  computador de bordo que é responsável pela sincronização de ações e fluxo de dados entre os subsistemas (Payload e EPS) e com a Segmento Terrestre. Esse subsistema é composto por seis sub-modulos: CPU (MCU: CPU + RAM + Program Flash), memoria não volátil, Drivers de controle, unidade de medição inercial (IMU), Sensores de Corrente (sen</w:t>
      </w:r>
      <w:r>
        <w:rPr>
          <w:rFonts w:ascii="Cambria" w:hAnsi="Cambria"/>
        </w:rPr>
        <w:t>s</w:t>
      </w:r>
      <w:r w:rsidRPr="004414D3">
        <w:rPr>
          <w:rFonts w:ascii="Cambria" w:hAnsi="Cambria"/>
        </w:rPr>
        <w:t>or de Sol) e interfaces de comunicação (FLORIPASAT,2016).</w:t>
      </w:r>
    </w:p>
    <w:p w14:paraId="58D0C80D" w14:textId="247EF791" w:rsidR="00F601E7" w:rsidRPr="004414D3" w:rsidRDefault="00F601E7" w:rsidP="00F601E7">
      <w:pPr>
        <w:ind w:firstLine="360"/>
        <w:jc w:val="both"/>
        <w:rPr>
          <w:rFonts w:ascii="Cambria" w:hAnsi="Cambria"/>
        </w:rPr>
      </w:pPr>
      <w:r w:rsidRPr="004414D3">
        <w:rPr>
          <w:rFonts w:ascii="Cambria" w:hAnsi="Cambria"/>
        </w:rPr>
        <w:t xml:space="preserve">O sistema responsável pela execução do firmware consiste de SoC que </w:t>
      </w:r>
      <w:r w:rsidR="004276BB" w:rsidRPr="004414D3">
        <w:rPr>
          <w:rFonts w:ascii="Cambria" w:hAnsi="Cambria"/>
        </w:rPr>
        <w:t>contém</w:t>
      </w:r>
      <w:r w:rsidRPr="004414D3">
        <w:rPr>
          <w:rFonts w:ascii="Cambria" w:hAnsi="Cambria"/>
        </w:rPr>
        <w:t xml:space="preserve"> uma CPU, </w:t>
      </w:r>
      <w:r w:rsidR="004276BB" w:rsidRPr="004414D3">
        <w:rPr>
          <w:rFonts w:ascii="Cambria" w:hAnsi="Cambria"/>
        </w:rPr>
        <w:t>Memória</w:t>
      </w:r>
      <w:r w:rsidRPr="004414D3">
        <w:rPr>
          <w:rFonts w:ascii="Cambria" w:hAnsi="Cambria"/>
        </w:rPr>
        <w:t xml:space="preserve"> RAM e Flash (usado para armazenamento de programas e status dos registradores). O Microcontrolador escolhido foi o MSP430F6659IPZ da Texas Instruments. Tal microcontrolador, conhecido por ter um baixo consumo, possui sete modos de operação de consumo, 4 timers de 16-bits, 12 AD/DA de 12-bits, 6 interfaces de comunicação serial, bloco de real-time clock (RTC) e mais de 74 pinos de I/O. O clock de operação do OBDH é de 32MHz (FLORIPASAT,2016).</w:t>
      </w:r>
    </w:p>
    <w:p w14:paraId="5C977DA0" w14:textId="77777777" w:rsidR="00F601E7" w:rsidRPr="004414D3" w:rsidRDefault="00F601E7" w:rsidP="00F601E7">
      <w:pPr>
        <w:ind w:firstLine="360"/>
        <w:jc w:val="both"/>
        <w:rPr>
          <w:rFonts w:ascii="Cambria" w:hAnsi="Cambria"/>
        </w:rPr>
      </w:pPr>
      <w:r w:rsidRPr="004414D3">
        <w:rPr>
          <w:rFonts w:ascii="Cambria" w:hAnsi="Cambria"/>
        </w:rPr>
        <w:t>Provendo um sistema de redundância, há um monitor de tensão com um Watchdog Timer (FLORIPASAT,2016). A figura abaixo mostra a arquitetura do OBDH do FloripaSat.</w:t>
      </w:r>
    </w:p>
    <w:p w14:paraId="3ABB5A56" w14:textId="77777777" w:rsidR="00F601E7" w:rsidRPr="004414D3" w:rsidRDefault="00F601E7" w:rsidP="00F601E7">
      <w:pPr>
        <w:ind w:firstLine="360"/>
        <w:jc w:val="center"/>
        <w:rPr>
          <w:rFonts w:ascii="Cambria" w:hAnsi="Cambria"/>
        </w:rPr>
      </w:pPr>
      <w:r w:rsidRPr="004414D3">
        <w:rPr>
          <w:rFonts w:ascii="Cambria" w:hAnsi="Cambria"/>
          <w:noProof/>
        </w:rPr>
        <w:drawing>
          <wp:inline distT="0" distB="0" distL="0" distR="0" wp14:anchorId="41E21DE2" wp14:editId="1AA14E48">
            <wp:extent cx="5400040" cy="3510258"/>
            <wp:effectExtent l="0" t="0" r="0" b="0"/>
            <wp:docPr id="4" name="Imagem 4" descr="Obdh Top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bdh Topolog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3510258"/>
                    </a:xfrm>
                    <a:prstGeom prst="rect">
                      <a:avLst/>
                    </a:prstGeom>
                    <a:noFill/>
                    <a:ln>
                      <a:noFill/>
                    </a:ln>
                  </pic:spPr>
                </pic:pic>
              </a:graphicData>
            </a:graphic>
          </wp:inline>
        </w:drawing>
      </w:r>
    </w:p>
    <w:p w14:paraId="40856EB5" w14:textId="77777777" w:rsidR="00F601E7" w:rsidRDefault="00F601E7" w:rsidP="00F601E7">
      <w:pPr>
        <w:ind w:firstLine="360"/>
        <w:jc w:val="center"/>
        <w:rPr>
          <w:rFonts w:ascii="Cambria" w:hAnsi="Cambria"/>
        </w:rPr>
      </w:pPr>
      <w:r w:rsidRPr="004414D3">
        <w:rPr>
          <w:rFonts w:ascii="Cambria" w:hAnsi="Cambria"/>
        </w:rPr>
        <w:t>Figura X: Arquitetura do OBDH do FloripaSat. Fonte: (FLORIPASAT,2016)</w:t>
      </w:r>
    </w:p>
    <w:p w14:paraId="59F4EAF2" w14:textId="77777777" w:rsidR="00F601E7" w:rsidRPr="004414D3" w:rsidRDefault="00F601E7" w:rsidP="00F601E7">
      <w:pPr>
        <w:ind w:firstLine="360"/>
        <w:jc w:val="center"/>
        <w:rPr>
          <w:rFonts w:ascii="Cambria" w:hAnsi="Cambria"/>
        </w:rPr>
      </w:pPr>
    </w:p>
    <w:p w14:paraId="23E633E9" w14:textId="77777777" w:rsidR="00F601E7" w:rsidRPr="00F601E7" w:rsidRDefault="00F601E7" w:rsidP="00F601E7">
      <w:pPr>
        <w:pStyle w:val="PargrafodaLista"/>
        <w:numPr>
          <w:ilvl w:val="0"/>
          <w:numId w:val="5"/>
        </w:numPr>
        <w:rPr>
          <w:rFonts w:ascii="Cambria" w:hAnsi="Cambria"/>
          <w:b/>
        </w:rPr>
      </w:pPr>
      <w:r w:rsidRPr="00F601E7">
        <w:rPr>
          <w:rFonts w:ascii="Cambria" w:hAnsi="Cambria"/>
          <w:b/>
        </w:rPr>
        <w:t>Open OBC</w:t>
      </w:r>
    </w:p>
    <w:p w14:paraId="51623DFF" w14:textId="77777777" w:rsidR="00F601E7" w:rsidRPr="004414D3" w:rsidRDefault="00F601E7" w:rsidP="00F601E7">
      <w:pPr>
        <w:ind w:firstLine="360"/>
        <w:jc w:val="both"/>
        <w:rPr>
          <w:rFonts w:ascii="Cambria" w:hAnsi="Cambria"/>
        </w:rPr>
      </w:pPr>
      <w:r w:rsidRPr="004414D3">
        <w:rPr>
          <w:rFonts w:ascii="Cambria" w:hAnsi="Cambria"/>
        </w:rPr>
        <w:t xml:space="preserve">Esse é um computador </w:t>
      </w:r>
      <w:r w:rsidRPr="004414D3">
        <w:rPr>
          <w:rFonts w:ascii="Cambria" w:hAnsi="Cambria"/>
          <w:i/>
        </w:rPr>
        <w:t>open source</w:t>
      </w:r>
      <w:r w:rsidRPr="004414D3">
        <w:rPr>
          <w:rFonts w:ascii="Cambria" w:hAnsi="Cambria"/>
        </w:rPr>
        <w:t xml:space="preserve"> para CubeSat, desenvolvido pela Universidade Federal do Ceara (UFC) com o do Instituto Nacional de Pesquisas Espaciais (INPE), tendo </w:t>
      </w:r>
      <w:r w:rsidRPr="004414D3">
        <w:rPr>
          <w:rFonts w:ascii="Cambria" w:hAnsi="Cambria"/>
        </w:rPr>
        <w:lastRenderedPageBreak/>
        <w:t>como pontos fortes o baixo custo e a ata confiabilidade. A arquitetura utilizada no Open OBC  contém: processador TMS570LS0432 da fabricante Texas Instruments</w:t>
      </w:r>
    </w:p>
    <w:p w14:paraId="40F13CFF" w14:textId="77777777" w:rsidR="00F601E7" w:rsidRDefault="00F601E7" w:rsidP="00F601E7">
      <w:pPr>
        <w:ind w:firstLine="360"/>
        <w:jc w:val="both"/>
        <w:rPr>
          <w:rFonts w:ascii="Cambria" w:hAnsi="Cambria"/>
        </w:rPr>
      </w:pPr>
      <w:r w:rsidRPr="004414D3">
        <w:rPr>
          <w:rFonts w:ascii="Cambria" w:hAnsi="Cambria"/>
        </w:rPr>
        <w:t>A arquitetura proposta utiliza o processador TMS570LS0432 do fabricante Texas Instruments, o qual possui: núcleo ARM Cortex-R4 em duas CPUs; detecção e correção de falhas em suas memórias RAM e ROM internas; hardware BIST (Auto-teste interno de fábrica) tanto na CPU quanto na memória RAM; e outras características de segurança como o monitoramento do clock e da tensão de alimentação. Uma memória Flash externa foi utilizada para armazenamento de código e dados. Foram disponibilizadas duas interfaces I2C para a comunicação com os subsistemas existentes em um CubeSat, sendo uma exclusiva para comunicação com o Transponder e outra comum para os demais. A arquitetura é complementada por uma interface UART para diagnóstico e depuração, sinais PWM para acionamento das bobinas de torque e entradas ADC para medição da intensidade da luz solar nas faces do satélite. Estão previstos ainda um cartão MicroSD para armazenamentos de dados e uma interface CAN para tráfego de informações transmitidas em tempo real, garantindo assim um controle rígido de erros e a recepção de mensagens (OPENOBC, 2017)</w:t>
      </w:r>
    </w:p>
    <w:p w14:paraId="01BDE8EB" w14:textId="77777777" w:rsidR="00F601E7" w:rsidRDefault="00F601E7" w:rsidP="00F601E7">
      <w:pPr>
        <w:ind w:firstLine="360"/>
        <w:jc w:val="center"/>
        <w:rPr>
          <w:rFonts w:ascii="Cambria" w:hAnsi="Cambria"/>
        </w:rPr>
      </w:pPr>
      <w:r>
        <w:rPr>
          <w:noProof/>
        </w:rPr>
        <w:drawing>
          <wp:inline distT="0" distB="0" distL="0" distR="0" wp14:anchorId="3944D834" wp14:editId="212717A3">
            <wp:extent cx="3486150" cy="314325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86150" cy="3143250"/>
                    </a:xfrm>
                    <a:prstGeom prst="rect">
                      <a:avLst/>
                    </a:prstGeom>
                  </pic:spPr>
                </pic:pic>
              </a:graphicData>
            </a:graphic>
          </wp:inline>
        </w:drawing>
      </w:r>
    </w:p>
    <w:p w14:paraId="6D9D3086" w14:textId="77777777" w:rsidR="00F601E7" w:rsidRDefault="00F601E7" w:rsidP="00F601E7">
      <w:pPr>
        <w:ind w:firstLine="360"/>
        <w:jc w:val="center"/>
        <w:rPr>
          <w:rFonts w:ascii="Cambria" w:hAnsi="Cambria"/>
        </w:rPr>
      </w:pPr>
      <w:r w:rsidRPr="004414D3">
        <w:rPr>
          <w:rFonts w:ascii="Cambria" w:hAnsi="Cambria"/>
        </w:rPr>
        <w:t>Figura X: Arquitetura</w:t>
      </w:r>
      <w:r>
        <w:rPr>
          <w:rFonts w:ascii="Cambria" w:hAnsi="Cambria"/>
        </w:rPr>
        <w:t xml:space="preserve"> </w:t>
      </w:r>
      <w:r w:rsidRPr="004414D3">
        <w:rPr>
          <w:rFonts w:ascii="Cambria" w:hAnsi="Cambria"/>
        </w:rPr>
        <w:t xml:space="preserve">do </w:t>
      </w:r>
      <w:r>
        <w:rPr>
          <w:rFonts w:ascii="Cambria" w:hAnsi="Cambria"/>
        </w:rPr>
        <w:t>OpenOBC</w:t>
      </w:r>
      <w:r w:rsidRPr="004414D3">
        <w:rPr>
          <w:rFonts w:ascii="Cambria" w:hAnsi="Cambria"/>
        </w:rPr>
        <w:t>. Fonte: (</w:t>
      </w:r>
      <w:r>
        <w:rPr>
          <w:rFonts w:ascii="Cambria" w:hAnsi="Cambria"/>
        </w:rPr>
        <w:t>OPENOBC</w:t>
      </w:r>
      <w:r w:rsidRPr="004414D3">
        <w:rPr>
          <w:rFonts w:ascii="Cambria" w:hAnsi="Cambria"/>
        </w:rPr>
        <w:t>,</w:t>
      </w:r>
      <w:r>
        <w:rPr>
          <w:rFonts w:ascii="Cambria" w:hAnsi="Cambria"/>
        </w:rPr>
        <w:t xml:space="preserve"> </w:t>
      </w:r>
      <w:r w:rsidRPr="004414D3">
        <w:rPr>
          <w:rFonts w:ascii="Cambria" w:hAnsi="Cambria"/>
        </w:rPr>
        <w:t>201</w:t>
      </w:r>
      <w:r>
        <w:rPr>
          <w:rFonts w:ascii="Cambria" w:hAnsi="Cambria"/>
        </w:rPr>
        <w:t>7</w:t>
      </w:r>
      <w:r w:rsidRPr="004414D3">
        <w:rPr>
          <w:rFonts w:ascii="Cambria" w:hAnsi="Cambria"/>
        </w:rPr>
        <w:t>)</w:t>
      </w:r>
    </w:p>
    <w:p w14:paraId="425B6484" w14:textId="77777777" w:rsidR="00F601E7" w:rsidRPr="004414D3" w:rsidRDefault="00F601E7" w:rsidP="00F601E7">
      <w:pPr>
        <w:ind w:firstLine="360"/>
        <w:rPr>
          <w:rFonts w:ascii="Cambria" w:hAnsi="Cambria"/>
        </w:rPr>
      </w:pPr>
    </w:p>
    <w:p w14:paraId="472BF2A5" w14:textId="77777777" w:rsidR="00F601E7" w:rsidRPr="00F601E7" w:rsidRDefault="00F601E7" w:rsidP="00F601E7">
      <w:pPr>
        <w:pStyle w:val="PargrafodaLista"/>
        <w:numPr>
          <w:ilvl w:val="0"/>
          <w:numId w:val="5"/>
        </w:numPr>
        <w:rPr>
          <w:rFonts w:ascii="Cambria" w:hAnsi="Cambria"/>
          <w:b/>
          <w:lang w:val="en-US"/>
        </w:rPr>
      </w:pPr>
      <w:r w:rsidRPr="00F601E7">
        <w:rPr>
          <w:rFonts w:ascii="Cambria" w:hAnsi="Cambria"/>
          <w:b/>
          <w:lang w:val="en-US"/>
        </w:rPr>
        <w:t>ISIS On Board Computer (iOBC)</w:t>
      </w:r>
    </w:p>
    <w:p w14:paraId="7C0883D9" w14:textId="77777777" w:rsidR="00F601E7" w:rsidRPr="007B32BB" w:rsidRDefault="00F601E7" w:rsidP="00F601E7">
      <w:pPr>
        <w:ind w:firstLine="360"/>
        <w:jc w:val="both"/>
        <w:rPr>
          <w:rFonts w:ascii="Cambria" w:hAnsi="Cambria"/>
        </w:rPr>
      </w:pPr>
      <w:r w:rsidRPr="007B32BB">
        <w:rPr>
          <w:rFonts w:ascii="Cambria" w:hAnsi="Cambria"/>
        </w:rPr>
        <w:t>O iOBC</w:t>
      </w:r>
      <w:r>
        <w:rPr>
          <w:rFonts w:ascii="Cambria" w:hAnsi="Cambria"/>
        </w:rPr>
        <w:t>, do fabricante  ISIS (</w:t>
      </w:r>
      <w:r>
        <w:rPr>
          <w:rFonts w:ascii="Cambria" w:hAnsi="Cambria"/>
          <w:i/>
        </w:rPr>
        <w:t>Innovative Solution In Space</w:t>
      </w:r>
      <w:r>
        <w:rPr>
          <w:rFonts w:ascii="Cambria" w:hAnsi="Cambria"/>
        </w:rPr>
        <w:t>),</w:t>
      </w:r>
      <w:r w:rsidRPr="007B32BB">
        <w:rPr>
          <w:rFonts w:ascii="Cambria" w:hAnsi="Cambria"/>
        </w:rPr>
        <w:t xml:space="preserve"> é </w:t>
      </w:r>
      <w:r>
        <w:rPr>
          <w:rFonts w:ascii="Cambria" w:hAnsi="Cambria"/>
        </w:rPr>
        <w:t xml:space="preserve">um </w:t>
      </w:r>
      <w:r w:rsidRPr="007B32BB">
        <w:rPr>
          <w:rFonts w:ascii="Cambria" w:hAnsi="Cambria"/>
        </w:rPr>
        <w:t>computador de bordo</w:t>
      </w:r>
      <w:r>
        <w:rPr>
          <w:rFonts w:ascii="Cambria" w:hAnsi="Cambria"/>
        </w:rPr>
        <w:t xml:space="preserve"> com alto desempenho baseado em um processador ARM9 com velocidade de clock de 400MHz e oferece uma infinidade de interfaces padronizadas. Tem a capacidade de modularidade, permitindo a adição de eletrônicos ou interfaces especificas da missão, tornando o iOBC um ótimo computador de bordo para inúmeras missões (ISIS, 2016).</w:t>
      </w:r>
    </w:p>
    <w:p w14:paraId="6DB708DA" w14:textId="77777777" w:rsidR="00F601E7" w:rsidRDefault="00F601E7" w:rsidP="00F601E7">
      <w:pPr>
        <w:ind w:firstLine="360"/>
        <w:jc w:val="both"/>
        <w:rPr>
          <w:rFonts w:ascii="Cambria" w:hAnsi="Cambria"/>
          <w:highlight w:val="yellow"/>
        </w:rPr>
      </w:pPr>
      <w:r w:rsidRPr="004414D3">
        <w:rPr>
          <w:rFonts w:ascii="Cambria" w:hAnsi="Cambria"/>
        </w:rPr>
        <w:t xml:space="preserve">A arquitetura utiliza o processador </w:t>
      </w:r>
      <w:r w:rsidRPr="006E7871">
        <w:rPr>
          <w:rFonts w:ascii="Cambria" w:hAnsi="Cambria"/>
        </w:rPr>
        <w:t>AT91SAM9G20</w:t>
      </w:r>
      <w:r>
        <w:t xml:space="preserve"> </w:t>
      </w:r>
      <w:r w:rsidRPr="004414D3">
        <w:rPr>
          <w:rFonts w:ascii="Cambria" w:hAnsi="Cambria"/>
        </w:rPr>
        <w:t xml:space="preserve">do fabricante </w:t>
      </w:r>
      <w:r>
        <w:rPr>
          <w:rFonts w:ascii="Cambria" w:hAnsi="Cambria"/>
        </w:rPr>
        <w:t>Microchip</w:t>
      </w:r>
      <w:r w:rsidRPr="004414D3">
        <w:rPr>
          <w:rFonts w:ascii="Cambria" w:hAnsi="Cambria"/>
        </w:rPr>
        <w:t xml:space="preserve">, o qual possui: núcleo </w:t>
      </w:r>
      <w:r>
        <w:rPr>
          <w:rFonts w:ascii="Cambria" w:hAnsi="Cambria"/>
        </w:rPr>
        <w:t>ARM9 32-bit com 400MHz</w:t>
      </w:r>
      <w:r w:rsidRPr="004414D3">
        <w:rPr>
          <w:rFonts w:ascii="Cambria" w:hAnsi="Cambria"/>
        </w:rPr>
        <w:t>; detecção e correção de falhas em suas memórias RAM e ROM internas; h</w:t>
      </w:r>
      <w:r w:rsidRPr="00FC6A6F">
        <w:rPr>
          <w:rFonts w:ascii="Cambria" w:hAnsi="Cambria"/>
          <w:highlight w:val="yellow"/>
        </w:rPr>
        <w:t xml:space="preserve">ardware BIST (Auto-teste interno de fábrica) tanto na CPU quanto na memória RAM; e outras características de segurança como o monitoramento do clock e </w:t>
      </w:r>
      <w:r w:rsidRPr="00FC6A6F">
        <w:rPr>
          <w:rFonts w:ascii="Cambria" w:hAnsi="Cambria"/>
          <w:highlight w:val="yellow"/>
        </w:rPr>
        <w:lastRenderedPageBreak/>
        <w:t>da tensão de alimentação. Uma memória Flash externa foi utilizada para armazenamento de código e dados. Foram disponibilizadas duas interfaces I2C para a comunicação com os subsistemas existentes em um CubeSat, sendo uma exclusiva para comunicação com o Transponder e outra comum para os demais. A arquitetura é complementada por uma interface UART para diagnóstico e depuração, sinais PWM para acionamento das bobinas de torque e entradas ADC para medição da intensidade da luz solar nas faces do satélite. Estão previstos ainda um cartão MicroSD para armazenamentos de dados e uma interface CAN para tráfego de informações transmitidas em tempo real, garantindo assim um controle rígido de erros e a recepção de mensagens (OPENOBC, 2017)</w:t>
      </w:r>
    </w:p>
    <w:p w14:paraId="21DB7820" w14:textId="77777777" w:rsidR="00F601E7" w:rsidRDefault="00F601E7" w:rsidP="00F601E7">
      <w:pPr>
        <w:ind w:firstLine="360"/>
        <w:jc w:val="both"/>
        <w:rPr>
          <w:rFonts w:ascii="Cambria" w:hAnsi="Cambria"/>
        </w:rPr>
      </w:pPr>
    </w:p>
    <w:p w14:paraId="7B9C30DF" w14:textId="77777777" w:rsidR="00F601E7" w:rsidRPr="00F601E7" w:rsidRDefault="00F601E7" w:rsidP="00F601E7">
      <w:pPr>
        <w:pStyle w:val="PargrafodaLista"/>
        <w:numPr>
          <w:ilvl w:val="0"/>
          <w:numId w:val="5"/>
        </w:numPr>
        <w:rPr>
          <w:rFonts w:ascii="Cambria" w:hAnsi="Cambria"/>
          <w:b/>
        </w:rPr>
      </w:pPr>
      <w:r w:rsidRPr="00F601E7">
        <w:rPr>
          <w:rFonts w:ascii="Cambria" w:hAnsi="Cambria"/>
          <w:b/>
        </w:rPr>
        <w:t>FM430 Flight Module </w:t>
      </w:r>
    </w:p>
    <w:p w14:paraId="320BE5A1" w14:textId="77777777" w:rsidR="00F601E7" w:rsidRDefault="00F601E7" w:rsidP="00F601E7">
      <w:pPr>
        <w:ind w:firstLine="360"/>
        <w:jc w:val="both"/>
        <w:rPr>
          <w:rFonts w:ascii="Cambria" w:hAnsi="Cambria"/>
        </w:rPr>
      </w:pPr>
      <w:r>
        <w:rPr>
          <w:rFonts w:ascii="Cambria" w:hAnsi="Cambria"/>
        </w:rPr>
        <w:t xml:space="preserve">O </w:t>
      </w:r>
      <w:r w:rsidRPr="00A36401">
        <w:rPr>
          <w:rFonts w:ascii="Cambria" w:hAnsi="Cambria"/>
        </w:rPr>
        <w:t>FM430</w:t>
      </w:r>
      <w:r>
        <w:rPr>
          <w:rFonts w:ascii="Cambria" w:hAnsi="Cambria"/>
        </w:rPr>
        <w:t xml:space="preserve">, da fabricante </w:t>
      </w:r>
      <w:r w:rsidRPr="00A36401">
        <w:rPr>
          <w:rFonts w:ascii="Cambria" w:hAnsi="Cambria"/>
        </w:rPr>
        <w:t>Pumpkin Inc</w:t>
      </w:r>
      <w:r>
        <w:rPr>
          <w:rFonts w:ascii="Cambria" w:hAnsi="Cambria"/>
        </w:rPr>
        <w:t xml:space="preserve">, </w:t>
      </w:r>
      <w:r w:rsidRPr="00A36401">
        <w:rPr>
          <w:rFonts w:ascii="Cambria" w:hAnsi="Cambria"/>
        </w:rPr>
        <w:t xml:space="preserve">é uma solução compacta para sistemas ambientais difíceis. </w:t>
      </w:r>
      <w:r>
        <w:rPr>
          <w:rFonts w:ascii="Cambria" w:hAnsi="Cambria"/>
        </w:rPr>
        <w:t xml:space="preserve">Possui como microcontrolador o </w:t>
      </w:r>
      <w:r w:rsidRPr="002B7735">
        <w:rPr>
          <w:rFonts w:ascii="Cambria" w:hAnsi="Cambria"/>
        </w:rPr>
        <w:t>MSP430F1612</w:t>
      </w:r>
      <w:r>
        <w:rPr>
          <w:rFonts w:ascii="Cambria" w:hAnsi="Cambria"/>
        </w:rPr>
        <w:t xml:space="preserve"> de 16-bit</w:t>
      </w:r>
      <w:r w:rsidRPr="002B7735">
        <w:rPr>
          <w:rFonts w:ascii="Cambria" w:hAnsi="Cambria"/>
        </w:rPr>
        <w:t xml:space="preserve">, da fabricante Texas Instruments, </w:t>
      </w:r>
      <w:r>
        <w:rPr>
          <w:rFonts w:ascii="Cambria" w:hAnsi="Cambria"/>
        </w:rPr>
        <w:t xml:space="preserve">com velocidade de clock de </w:t>
      </w:r>
      <w:r w:rsidRPr="002B7735">
        <w:rPr>
          <w:rFonts w:ascii="Cambria" w:hAnsi="Cambria"/>
        </w:rPr>
        <w:t xml:space="preserve">7.3728 MHz. </w:t>
      </w:r>
      <w:r>
        <w:rPr>
          <w:rFonts w:ascii="Cambria" w:hAnsi="Cambria"/>
        </w:rPr>
        <w:t>50-60kB ROM e 2-10kB de RAM, 48 pinos I/O, 2 USART, 2 SPI, 1 I2C, 12-bit A/D D/A, sensor de temperatura. SD Card para armazenamento (32MB – 2GB). Um</w:t>
      </w:r>
      <w:r w:rsidRPr="00A36401">
        <w:rPr>
          <w:rFonts w:ascii="Cambria" w:hAnsi="Cambria"/>
        </w:rPr>
        <w:t>a porta USB (Universal Serial Bus) e um conector de fonte de alimentação externa</w:t>
      </w:r>
      <w:r>
        <w:rPr>
          <w:rFonts w:ascii="Cambria" w:hAnsi="Cambria"/>
        </w:rPr>
        <w:t xml:space="preserve"> para facilitar a configuração pré-lançamento</w:t>
      </w:r>
      <w:r w:rsidRPr="00A36401">
        <w:rPr>
          <w:rFonts w:ascii="Cambria" w:hAnsi="Cambria"/>
        </w:rPr>
        <w:t>. A unidade do microcontrolador consome mais de 100 mW de potência</w:t>
      </w:r>
      <w:r>
        <w:rPr>
          <w:rFonts w:ascii="Cambria" w:hAnsi="Cambria"/>
        </w:rPr>
        <w:t xml:space="preserve"> (PUMPKIN,2008).</w:t>
      </w:r>
    </w:p>
    <w:p w14:paraId="0D752CD4" w14:textId="77777777" w:rsidR="00F601E7" w:rsidRDefault="00F601E7" w:rsidP="00F601E7">
      <w:pPr>
        <w:jc w:val="center"/>
        <w:rPr>
          <w:rFonts w:ascii="Cambria" w:hAnsi="Cambria"/>
        </w:rPr>
      </w:pPr>
      <w:r>
        <w:rPr>
          <w:noProof/>
        </w:rPr>
        <w:drawing>
          <wp:inline distT="0" distB="0" distL="0" distR="0" wp14:anchorId="73C28C66" wp14:editId="09910A23">
            <wp:extent cx="5400040" cy="419735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4197350"/>
                    </a:xfrm>
                    <a:prstGeom prst="rect">
                      <a:avLst/>
                    </a:prstGeom>
                  </pic:spPr>
                </pic:pic>
              </a:graphicData>
            </a:graphic>
          </wp:inline>
        </w:drawing>
      </w:r>
    </w:p>
    <w:p w14:paraId="63458499" w14:textId="77777777" w:rsidR="00F601E7" w:rsidRDefault="00F601E7" w:rsidP="00F601E7">
      <w:pPr>
        <w:ind w:firstLine="360"/>
        <w:jc w:val="center"/>
        <w:rPr>
          <w:rFonts w:ascii="Cambria" w:hAnsi="Cambria"/>
        </w:rPr>
      </w:pPr>
      <w:r w:rsidRPr="004414D3">
        <w:rPr>
          <w:rFonts w:ascii="Cambria" w:hAnsi="Cambria"/>
        </w:rPr>
        <w:t>Figura X: Arquitetura</w:t>
      </w:r>
      <w:r>
        <w:rPr>
          <w:rFonts w:ascii="Cambria" w:hAnsi="Cambria"/>
        </w:rPr>
        <w:t xml:space="preserve"> </w:t>
      </w:r>
      <w:r w:rsidRPr="004414D3">
        <w:rPr>
          <w:rFonts w:ascii="Cambria" w:hAnsi="Cambria"/>
        </w:rPr>
        <w:t xml:space="preserve">do </w:t>
      </w:r>
      <w:r>
        <w:rPr>
          <w:rFonts w:ascii="Cambria" w:hAnsi="Cambria"/>
        </w:rPr>
        <w:t>FM430</w:t>
      </w:r>
      <w:r w:rsidRPr="004414D3">
        <w:rPr>
          <w:rFonts w:ascii="Cambria" w:hAnsi="Cambria"/>
        </w:rPr>
        <w:t>. Fonte: (</w:t>
      </w:r>
      <w:r>
        <w:rPr>
          <w:rFonts w:ascii="Cambria" w:hAnsi="Cambria"/>
        </w:rPr>
        <w:t>PUMPKIN</w:t>
      </w:r>
      <w:r w:rsidRPr="004414D3">
        <w:rPr>
          <w:rFonts w:ascii="Cambria" w:hAnsi="Cambria"/>
        </w:rPr>
        <w:t>,</w:t>
      </w:r>
      <w:r>
        <w:rPr>
          <w:rFonts w:ascii="Cambria" w:hAnsi="Cambria"/>
        </w:rPr>
        <w:t xml:space="preserve"> </w:t>
      </w:r>
      <w:r w:rsidRPr="004414D3">
        <w:rPr>
          <w:rFonts w:ascii="Cambria" w:hAnsi="Cambria"/>
        </w:rPr>
        <w:t>20</w:t>
      </w:r>
      <w:r>
        <w:rPr>
          <w:rFonts w:ascii="Cambria" w:hAnsi="Cambria"/>
        </w:rPr>
        <w:t>08</w:t>
      </w:r>
      <w:r w:rsidRPr="004414D3">
        <w:rPr>
          <w:rFonts w:ascii="Cambria" w:hAnsi="Cambria"/>
        </w:rPr>
        <w:t>)</w:t>
      </w:r>
    </w:p>
    <w:p w14:paraId="7CFCDBA3" w14:textId="77777777" w:rsidR="00F601E7" w:rsidRDefault="00F601E7" w:rsidP="00F601E7">
      <w:pPr>
        <w:rPr>
          <w:rFonts w:ascii="Cambria" w:hAnsi="Cambria"/>
          <w:b/>
        </w:rPr>
      </w:pPr>
    </w:p>
    <w:p w14:paraId="0B82F84D" w14:textId="77777777" w:rsidR="00F601E7" w:rsidRDefault="00F601E7" w:rsidP="00F601E7">
      <w:pPr>
        <w:rPr>
          <w:rFonts w:ascii="Cambria" w:hAnsi="Cambria"/>
          <w:b/>
        </w:rPr>
      </w:pPr>
    </w:p>
    <w:p w14:paraId="3A7C4DA8" w14:textId="77777777" w:rsidR="00F601E7" w:rsidRDefault="00F601E7" w:rsidP="00F601E7">
      <w:pPr>
        <w:rPr>
          <w:rFonts w:ascii="Cambria" w:hAnsi="Cambria"/>
          <w:b/>
        </w:rPr>
      </w:pPr>
    </w:p>
    <w:p w14:paraId="4DBBFBE6" w14:textId="77777777" w:rsidR="00F601E7" w:rsidRDefault="00F601E7" w:rsidP="00F601E7">
      <w:pPr>
        <w:rPr>
          <w:rFonts w:ascii="Cambria" w:hAnsi="Cambria"/>
          <w:b/>
        </w:rPr>
      </w:pPr>
    </w:p>
    <w:p w14:paraId="3FBB868A" w14:textId="77777777" w:rsidR="00F601E7" w:rsidRDefault="00F601E7" w:rsidP="00F601E7">
      <w:pPr>
        <w:rPr>
          <w:rFonts w:ascii="Cambria" w:hAnsi="Cambria"/>
          <w:b/>
        </w:rPr>
      </w:pPr>
      <w:r>
        <w:rPr>
          <w:rFonts w:ascii="Cambria" w:hAnsi="Cambria"/>
          <w:b/>
        </w:rPr>
        <w:t>Tabela Comparativa</w:t>
      </w:r>
    </w:p>
    <w:p w14:paraId="182529C3" w14:textId="77777777" w:rsidR="00F601E7" w:rsidRDefault="00F601E7" w:rsidP="00F601E7">
      <w:pPr>
        <w:rPr>
          <w:rFonts w:ascii="Cambria" w:hAnsi="Cambria"/>
          <w:b/>
        </w:rPr>
      </w:pPr>
    </w:p>
    <w:tbl>
      <w:tblPr>
        <w:tblStyle w:val="Tabelacomgrade"/>
        <w:tblW w:w="92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01"/>
        <w:gridCol w:w="2127"/>
        <w:gridCol w:w="1842"/>
        <w:gridCol w:w="1843"/>
        <w:gridCol w:w="1701"/>
      </w:tblGrid>
      <w:tr w:rsidR="00F601E7" w14:paraId="6FB5C069" w14:textId="77777777" w:rsidTr="00B808CF">
        <w:tc>
          <w:tcPr>
            <w:tcW w:w="1701" w:type="dxa"/>
            <w:vAlign w:val="center"/>
          </w:tcPr>
          <w:p w14:paraId="64BFD835" w14:textId="77777777" w:rsidR="00F601E7" w:rsidRPr="005638F5" w:rsidRDefault="00F601E7" w:rsidP="00B808CF">
            <w:pPr>
              <w:jc w:val="center"/>
              <w:rPr>
                <w:rFonts w:ascii="Cambria" w:hAnsi="Cambria"/>
                <w:b/>
                <w:sz w:val="20"/>
                <w:szCs w:val="20"/>
              </w:rPr>
            </w:pPr>
          </w:p>
        </w:tc>
        <w:tc>
          <w:tcPr>
            <w:tcW w:w="7513" w:type="dxa"/>
            <w:gridSpan w:val="4"/>
            <w:shd w:val="clear" w:color="auto" w:fill="FFFF00"/>
            <w:vAlign w:val="center"/>
          </w:tcPr>
          <w:p w14:paraId="2ED65633" w14:textId="77777777" w:rsidR="00F601E7" w:rsidRPr="005638F5" w:rsidRDefault="00F601E7" w:rsidP="00B808CF">
            <w:pPr>
              <w:jc w:val="center"/>
              <w:rPr>
                <w:rFonts w:ascii="Cambria" w:hAnsi="Cambria"/>
                <w:b/>
                <w:sz w:val="20"/>
                <w:szCs w:val="20"/>
              </w:rPr>
            </w:pPr>
            <w:r w:rsidRPr="005638F5">
              <w:rPr>
                <w:rFonts w:ascii="Cambria" w:hAnsi="Cambria"/>
                <w:b/>
                <w:sz w:val="20"/>
                <w:szCs w:val="20"/>
              </w:rPr>
              <w:t>Projetos</w:t>
            </w:r>
          </w:p>
        </w:tc>
      </w:tr>
      <w:tr w:rsidR="00F601E7" w14:paraId="78D555C3" w14:textId="77777777" w:rsidTr="00B808CF">
        <w:tc>
          <w:tcPr>
            <w:tcW w:w="1701" w:type="dxa"/>
            <w:shd w:val="clear" w:color="auto" w:fill="D0CECE" w:themeFill="background2" w:themeFillShade="E6"/>
            <w:vAlign w:val="center"/>
          </w:tcPr>
          <w:p w14:paraId="2AA36CD7" w14:textId="77777777" w:rsidR="00F601E7" w:rsidRPr="005638F5" w:rsidRDefault="00F601E7" w:rsidP="00B808CF">
            <w:pPr>
              <w:jc w:val="center"/>
              <w:rPr>
                <w:rFonts w:ascii="Cambria" w:hAnsi="Cambria"/>
                <w:b/>
                <w:sz w:val="20"/>
                <w:szCs w:val="20"/>
              </w:rPr>
            </w:pPr>
            <w:r w:rsidRPr="005638F5">
              <w:rPr>
                <w:rFonts w:ascii="Cambria" w:hAnsi="Cambria"/>
                <w:b/>
                <w:sz w:val="20"/>
                <w:szCs w:val="20"/>
              </w:rPr>
              <w:t>Recursos</w:t>
            </w:r>
          </w:p>
        </w:tc>
        <w:tc>
          <w:tcPr>
            <w:tcW w:w="2127" w:type="dxa"/>
            <w:shd w:val="clear" w:color="auto" w:fill="D0CECE" w:themeFill="background2" w:themeFillShade="E6"/>
            <w:vAlign w:val="center"/>
          </w:tcPr>
          <w:p w14:paraId="5A932EC6" w14:textId="77777777" w:rsidR="00F601E7" w:rsidRPr="005638F5" w:rsidRDefault="00F601E7" w:rsidP="00B808CF">
            <w:pPr>
              <w:jc w:val="center"/>
              <w:rPr>
                <w:rFonts w:ascii="Cambria" w:hAnsi="Cambria"/>
                <w:b/>
                <w:sz w:val="20"/>
                <w:szCs w:val="20"/>
              </w:rPr>
            </w:pPr>
            <w:r w:rsidRPr="005638F5">
              <w:rPr>
                <w:rFonts w:ascii="Cambria" w:hAnsi="Cambria"/>
                <w:b/>
                <w:sz w:val="20"/>
                <w:szCs w:val="20"/>
              </w:rPr>
              <w:t>FloripaSat OBDH</w:t>
            </w:r>
          </w:p>
        </w:tc>
        <w:tc>
          <w:tcPr>
            <w:tcW w:w="1842" w:type="dxa"/>
            <w:shd w:val="clear" w:color="auto" w:fill="D0CECE" w:themeFill="background2" w:themeFillShade="E6"/>
            <w:vAlign w:val="center"/>
          </w:tcPr>
          <w:p w14:paraId="5B764462" w14:textId="77777777" w:rsidR="00F601E7" w:rsidRPr="005638F5" w:rsidRDefault="00F601E7" w:rsidP="00B808CF">
            <w:pPr>
              <w:jc w:val="center"/>
              <w:rPr>
                <w:rFonts w:ascii="Cambria" w:hAnsi="Cambria"/>
                <w:b/>
                <w:sz w:val="20"/>
                <w:szCs w:val="20"/>
              </w:rPr>
            </w:pPr>
            <w:r w:rsidRPr="005638F5">
              <w:rPr>
                <w:rFonts w:ascii="Cambria" w:hAnsi="Cambria"/>
                <w:b/>
                <w:sz w:val="20"/>
                <w:szCs w:val="20"/>
              </w:rPr>
              <w:t>Open OBC</w:t>
            </w:r>
          </w:p>
        </w:tc>
        <w:tc>
          <w:tcPr>
            <w:tcW w:w="1843" w:type="dxa"/>
            <w:shd w:val="clear" w:color="auto" w:fill="D0CECE" w:themeFill="background2" w:themeFillShade="E6"/>
            <w:vAlign w:val="center"/>
          </w:tcPr>
          <w:p w14:paraId="632A575D" w14:textId="77777777" w:rsidR="00F601E7" w:rsidRPr="005638F5" w:rsidRDefault="00F601E7" w:rsidP="00B808CF">
            <w:pPr>
              <w:jc w:val="center"/>
              <w:rPr>
                <w:rFonts w:ascii="Cambria" w:hAnsi="Cambria"/>
                <w:b/>
                <w:sz w:val="20"/>
                <w:szCs w:val="20"/>
              </w:rPr>
            </w:pPr>
            <w:r w:rsidRPr="005638F5">
              <w:rPr>
                <w:rFonts w:ascii="Cambria" w:hAnsi="Cambria"/>
                <w:b/>
                <w:sz w:val="20"/>
                <w:szCs w:val="20"/>
              </w:rPr>
              <w:t>iOBC</w:t>
            </w:r>
          </w:p>
        </w:tc>
        <w:tc>
          <w:tcPr>
            <w:tcW w:w="1701" w:type="dxa"/>
            <w:shd w:val="clear" w:color="auto" w:fill="D0CECE" w:themeFill="background2" w:themeFillShade="E6"/>
            <w:vAlign w:val="center"/>
          </w:tcPr>
          <w:p w14:paraId="6A667CF9" w14:textId="77777777" w:rsidR="00F601E7" w:rsidRPr="005638F5" w:rsidRDefault="00F601E7" w:rsidP="00B808CF">
            <w:pPr>
              <w:jc w:val="center"/>
              <w:rPr>
                <w:rFonts w:ascii="Cambria" w:hAnsi="Cambria"/>
                <w:b/>
                <w:sz w:val="20"/>
                <w:szCs w:val="20"/>
              </w:rPr>
            </w:pPr>
            <w:r w:rsidRPr="005638F5">
              <w:rPr>
                <w:rFonts w:ascii="Cambria" w:hAnsi="Cambria"/>
                <w:b/>
                <w:sz w:val="20"/>
                <w:szCs w:val="20"/>
              </w:rPr>
              <w:t>FM430 Flight Mode</w:t>
            </w:r>
          </w:p>
        </w:tc>
      </w:tr>
      <w:tr w:rsidR="00F601E7" w14:paraId="758EE525" w14:textId="77777777" w:rsidTr="00B808CF">
        <w:tc>
          <w:tcPr>
            <w:tcW w:w="1701" w:type="dxa"/>
            <w:tcBorders>
              <w:bottom w:val="single" w:sz="4" w:space="0" w:color="auto"/>
            </w:tcBorders>
            <w:vAlign w:val="center"/>
          </w:tcPr>
          <w:p w14:paraId="2B481CF7" w14:textId="77777777" w:rsidR="00F601E7" w:rsidRPr="005638F5" w:rsidRDefault="00F601E7" w:rsidP="00B808CF">
            <w:pPr>
              <w:jc w:val="center"/>
              <w:rPr>
                <w:rFonts w:ascii="Cambria" w:hAnsi="Cambria"/>
                <w:b/>
                <w:sz w:val="20"/>
                <w:szCs w:val="20"/>
              </w:rPr>
            </w:pPr>
            <w:r w:rsidRPr="005638F5">
              <w:rPr>
                <w:rFonts w:ascii="Cambria" w:hAnsi="Cambria"/>
                <w:b/>
                <w:sz w:val="20"/>
                <w:szCs w:val="20"/>
              </w:rPr>
              <w:t>Processador</w:t>
            </w:r>
          </w:p>
        </w:tc>
        <w:tc>
          <w:tcPr>
            <w:tcW w:w="2127" w:type="dxa"/>
            <w:tcBorders>
              <w:bottom w:val="single" w:sz="4" w:space="0" w:color="auto"/>
            </w:tcBorders>
            <w:vAlign w:val="center"/>
          </w:tcPr>
          <w:p w14:paraId="088C04C7" w14:textId="77777777" w:rsidR="00F601E7" w:rsidRPr="005638F5" w:rsidRDefault="00F601E7" w:rsidP="00B808CF">
            <w:pPr>
              <w:jc w:val="center"/>
              <w:rPr>
                <w:rFonts w:ascii="Cambria" w:hAnsi="Cambria"/>
                <w:sz w:val="20"/>
                <w:szCs w:val="20"/>
              </w:rPr>
            </w:pPr>
            <w:r w:rsidRPr="005638F5">
              <w:rPr>
                <w:rFonts w:ascii="Cambria" w:hAnsi="Cambria"/>
                <w:sz w:val="20"/>
                <w:szCs w:val="20"/>
              </w:rPr>
              <w:t>MSP430F6659IPZ</w:t>
            </w:r>
          </w:p>
        </w:tc>
        <w:tc>
          <w:tcPr>
            <w:tcW w:w="1842" w:type="dxa"/>
            <w:tcBorders>
              <w:bottom w:val="single" w:sz="4" w:space="0" w:color="auto"/>
            </w:tcBorders>
            <w:vAlign w:val="center"/>
          </w:tcPr>
          <w:p w14:paraId="7E9FFFFC" w14:textId="77777777" w:rsidR="00F601E7" w:rsidRPr="005638F5" w:rsidRDefault="00F601E7" w:rsidP="00B808CF">
            <w:pPr>
              <w:jc w:val="center"/>
              <w:rPr>
                <w:rFonts w:ascii="Cambria" w:hAnsi="Cambria"/>
                <w:sz w:val="20"/>
                <w:szCs w:val="20"/>
              </w:rPr>
            </w:pPr>
            <w:r w:rsidRPr="005638F5">
              <w:rPr>
                <w:rFonts w:ascii="Cambria" w:hAnsi="Cambria"/>
                <w:sz w:val="20"/>
                <w:szCs w:val="20"/>
              </w:rPr>
              <w:t>TMS570LS0432</w:t>
            </w:r>
          </w:p>
        </w:tc>
        <w:tc>
          <w:tcPr>
            <w:tcW w:w="1843" w:type="dxa"/>
            <w:tcBorders>
              <w:bottom w:val="single" w:sz="4" w:space="0" w:color="auto"/>
            </w:tcBorders>
            <w:vAlign w:val="center"/>
          </w:tcPr>
          <w:p w14:paraId="5B2C6181" w14:textId="77777777" w:rsidR="00F601E7" w:rsidRPr="005638F5" w:rsidRDefault="00F601E7" w:rsidP="00B808CF">
            <w:pPr>
              <w:jc w:val="center"/>
              <w:rPr>
                <w:rFonts w:ascii="Cambria" w:hAnsi="Cambria"/>
                <w:sz w:val="20"/>
                <w:szCs w:val="20"/>
              </w:rPr>
            </w:pPr>
            <w:r w:rsidRPr="005638F5">
              <w:rPr>
                <w:rFonts w:ascii="Cambria" w:hAnsi="Cambria"/>
                <w:sz w:val="20"/>
                <w:szCs w:val="20"/>
              </w:rPr>
              <w:t>AT91SAM9G20</w:t>
            </w:r>
          </w:p>
        </w:tc>
        <w:tc>
          <w:tcPr>
            <w:tcW w:w="1701" w:type="dxa"/>
            <w:tcBorders>
              <w:bottom w:val="single" w:sz="4" w:space="0" w:color="auto"/>
            </w:tcBorders>
            <w:vAlign w:val="center"/>
          </w:tcPr>
          <w:p w14:paraId="50A56E8D" w14:textId="77777777" w:rsidR="00F601E7" w:rsidRPr="005638F5" w:rsidRDefault="00F601E7" w:rsidP="00B808CF">
            <w:pPr>
              <w:jc w:val="center"/>
              <w:rPr>
                <w:rFonts w:ascii="Cambria" w:hAnsi="Cambria"/>
                <w:sz w:val="20"/>
                <w:szCs w:val="20"/>
              </w:rPr>
            </w:pPr>
            <w:r w:rsidRPr="005638F5">
              <w:rPr>
                <w:rFonts w:ascii="Cambria" w:hAnsi="Cambria"/>
                <w:sz w:val="20"/>
                <w:szCs w:val="20"/>
              </w:rPr>
              <w:t>MSP430F1612</w:t>
            </w:r>
          </w:p>
        </w:tc>
      </w:tr>
      <w:tr w:rsidR="00F601E7" w14:paraId="5CB3119E" w14:textId="77777777" w:rsidTr="00B808CF">
        <w:tc>
          <w:tcPr>
            <w:tcW w:w="1701" w:type="dxa"/>
            <w:tcBorders>
              <w:top w:val="single" w:sz="4" w:space="0" w:color="auto"/>
              <w:bottom w:val="single" w:sz="4" w:space="0" w:color="auto"/>
            </w:tcBorders>
            <w:vAlign w:val="center"/>
          </w:tcPr>
          <w:p w14:paraId="05F9B90D" w14:textId="77777777" w:rsidR="00F601E7" w:rsidRPr="005638F5" w:rsidRDefault="00F601E7" w:rsidP="00B808CF">
            <w:pPr>
              <w:jc w:val="center"/>
              <w:rPr>
                <w:rFonts w:ascii="Cambria" w:hAnsi="Cambria"/>
                <w:b/>
                <w:sz w:val="20"/>
                <w:szCs w:val="20"/>
              </w:rPr>
            </w:pPr>
            <w:r w:rsidRPr="005638F5">
              <w:rPr>
                <w:rFonts w:ascii="Cambria" w:hAnsi="Cambria"/>
                <w:b/>
                <w:sz w:val="20"/>
                <w:szCs w:val="20"/>
              </w:rPr>
              <w:t>Fabricante</w:t>
            </w:r>
          </w:p>
        </w:tc>
        <w:tc>
          <w:tcPr>
            <w:tcW w:w="2127" w:type="dxa"/>
            <w:tcBorders>
              <w:top w:val="single" w:sz="4" w:space="0" w:color="auto"/>
              <w:bottom w:val="single" w:sz="4" w:space="0" w:color="auto"/>
            </w:tcBorders>
            <w:vAlign w:val="center"/>
          </w:tcPr>
          <w:p w14:paraId="583CDDE5" w14:textId="77777777" w:rsidR="00F601E7" w:rsidRPr="005638F5" w:rsidRDefault="00F601E7" w:rsidP="00B808CF">
            <w:pPr>
              <w:jc w:val="center"/>
              <w:rPr>
                <w:rFonts w:ascii="Cambria" w:hAnsi="Cambria"/>
                <w:sz w:val="20"/>
                <w:szCs w:val="20"/>
              </w:rPr>
            </w:pPr>
            <w:r w:rsidRPr="005638F5">
              <w:rPr>
                <w:rFonts w:ascii="Cambria" w:hAnsi="Cambria"/>
                <w:sz w:val="20"/>
                <w:szCs w:val="20"/>
              </w:rPr>
              <w:t>Texas Instruments</w:t>
            </w:r>
          </w:p>
        </w:tc>
        <w:tc>
          <w:tcPr>
            <w:tcW w:w="1842" w:type="dxa"/>
            <w:tcBorders>
              <w:top w:val="single" w:sz="4" w:space="0" w:color="auto"/>
              <w:bottom w:val="single" w:sz="4" w:space="0" w:color="auto"/>
            </w:tcBorders>
            <w:vAlign w:val="center"/>
          </w:tcPr>
          <w:p w14:paraId="3219808B" w14:textId="77777777" w:rsidR="00F601E7" w:rsidRPr="005638F5" w:rsidRDefault="00F601E7" w:rsidP="00B808CF">
            <w:pPr>
              <w:jc w:val="center"/>
              <w:rPr>
                <w:rFonts w:ascii="Cambria" w:hAnsi="Cambria"/>
                <w:sz w:val="20"/>
                <w:szCs w:val="20"/>
              </w:rPr>
            </w:pPr>
            <w:r w:rsidRPr="005638F5">
              <w:rPr>
                <w:rFonts w:ascii="Cambria" w:hAnsi="Cambria"/>
                <w:sz w:val="20"/>
                <w:szCs w:val="20"/>
              </w:rPr>
              <w:t>Texas Instruments</w:t>
            </w:r>
          </w:p>
        </w:tc>
        <w:tc>
          <w:tcPr>
            <w:tcW w:w="1843" w:type="dxa"/>
            <w:tcBorders>
              <w:top w:val="single" w:sz="4" w:space="0" w:color="auto"/>
              <w:bottom w:val="single" w:sz="4" w:space="0" w:color="auto"/>
            </w:tcBorders>
            <w:vAlign w:val="center"/>
          </w:tcPr>
          <w:p w14:paraId="176532FC" w14:textId="77777777" w:rsidR="00F601E7" w:rsidRPr="005638F5" w:rsidRDefault="00F601E7" w:rsidP="00B808CF">
            <w:pPr>
              <w:jc w:val="center"/>
              <w:rPr>
                <w:rFonts w:ascii="Cambria" w:hAnsi="Cambria"/>
                <w:sz w:val="20"/>
                <w:szCs w:val="20"/>
              </w:rPr>
            </w:pPr>
            <w:r w:rsidRPr="005638F5">
              <w:rPr>
                <w:rFonts w:ascii="Cambria" w:hAnsi="Cambria"/>
                <w:sz w:val="20"/>
                <w:szCs w:val="20"/>
              </w:rPr>
              <w:t>Micro Chip</w:t>
            </w:r>
          </w:p>
        </w:tc>
        <w:tc>
          <w:tcPr>
            <w:tcW w:w="1701" w:type="dxa"/>
            <w:tcBorders>
              <w:top w:val="single" w:sz="4" w:space="0" w:color="auto"/>
              <w:bottom w:val="single" w:sz="4" w:space="0" w:color="auto"/>
            </w:tcBorders>
            <w:vAlign w:val="center"/>
          </w:tcPr>
          <w:p w14:paraId="2061A2E6" w14:textId="77777777" w:rsidR="00F601E7" w:rsidRPr="005638F5" w:rsidRDefault="00F601E7" w:rsidP="00B808CF">
            <w:pPr>
              <w:jc w:val="center"/>
              <w:rPr>
                <w:rFonts w:ascii="Cambria" w:hAnsi="Cambria"/>
                <w:sz w:val="20"/>
                <w:szCs w:val="20"/>
              </w:rPr>
            </w:pPr>
            <w:r w:rsidRPr="005638F5">
              <w:rPr>
                <w:rFonts w:ascii="Cambria" w:hAnsi="Cambria"/>
                <w:sz w:val="20"/>
                <w:szCs w:val="20"/>
              </w:rPr>
              <w:t>Texas Instruments</w:t>
            </w:r>
          </w:p>
        </w:tc>
      </w:tr>
      <w:tr w:rsidR="00F601E7" w14:paraId="702B1FF9" w14:textId="77777777" w:rsidTr="00B808CF">
        <w:tc>
          <w:tcPr>
            <w:tcW w:w="1701" w:type="dxa"/>
            <w:tcBorders>
              <w:top w:val="single" w:sz="4" w:space="0" w:color="auto"/>
              <w:bottom w:val="single" w:sz="4" w:space="0" w:color="auto"/>
            </w:tcBorders>
            <w:vAlign w:val="center"/>
          </w:tcPr>
          <w:p w14:paraId="5CB7BFDA" w14:textId="77777777" w:rsidR="00F601E7" w:rsidRPr="005638F5" w:rsidRDefault="00F601E7" w:rsidP="00B808CF">
            <w:pPr>
              <w:jc w:val="center"/>
              <w:rPr>
                <w:rFonts w:ascii="Cambria" w:hAnsi="Cambria"/>
                <w:b/>
                <w:sz w:val="20"/>
                <w:szCs w:val="20"/>
              </w:rPr>
            </w:pPr>
            <w:r w:rsidRPr="005638F5">
              <w:rPr>
                <w:rFonts w:ascii="Cambria" w:hAnsi="Cambria"/>
                <w:b/>
                <w:sz w:val="20"/>
                <w:szCs w:val="20"/>
              </w:rPr>
              <w:t>Clock</w:t>
            </w:r>
          </w:p>
        </w:tc>
        <w:tc>
          <w:tcPr>
            <w:tcW w:w="2127" w:type="dxa"/>
            <w:tcBorders>
              <w:top w:val="single" w:sz="4" w:space="0" w:color="auto"/>
              <w:bottom w:val="single" w:sz="4" w:space="0" w:color="auto"/>
            </w:tcBorders>
            <w:vAlign w:val="center"/>
          </w:tcPr>
          <w:p w14:paraId="1047E5CA" w14:textId="77777777" w:rsidR="00F601E7" w:rsidRPr="005638F5" w:rsidRDefault="00F601E7" w:rsidP="00B808CF">
            <w:pPr>
              <w:jc w:val="center"/>
              <w:rPr>
                <w:rFonts w:ascii="Cambria" w:hAnsi="Cambria"/>
                <w:sz w:val="20"/>
                <w:szCs w:val="20"/>
              </w:rPr>
            </w:pPr>
            <w:r w:rsidRPr="005638F5">
              <w:rPr>
                <w:rFonts w:ascii="Cambria" w:hAnsi="Cambria"/>
                <w:sz w:val="20"/>
                <w:szCs w:val="20"/>
              </w:rPr>
              <w:t>8 MHz</w:t>
            </w:r>
          </w:p>
        </w:tc>
        <w:tc>
          <w:tcPr>
            <w:tcW w:w="1842" w:type="dxa"/>
            <w:tcBorders>
              <w:top w:val="single" w:sz="4" w:space="0" w:color="auto"/>
              <w:bottom w:val="single" w:sz="4" w:space="0" w:color="auto"/>
            </w:tcBorders>
            <w:vAlign w:val="center"/>
          </w:tcPr>
          <w:p w14:paraId="314736D3" w14:textId="77777777" w:rsidR="00F601E7" w:rsidRPr="005638F5" w:rsidRDefault="00F601E7" w:rsidP="00B808CF">
            <w:pPr>
              <w:jc w:val="center"/>
              <w:rPr>
                <w:rFonts w:ascii="Cambria" w:hAnsi="Cambria"/>
                <w:sz w:val="20"/>
                <w:szCs w:val="20"/>
              </w:rPr>
            </w:pPr>
            <w:r w:rsidRPr="005638F5">
              <w:rPr>
                <w:rFonts w:ascii="Cambria" w:hAnsi="Cambria"/>
                <w:sz w:val="20"/>
                <w:szCs w:val="20"/>
              </w:rPr>
              <w:t>80 MHz</w:t>
            </w:r>
          </w:p>
        </w:tc>
        <w:tc>
          <w:tcPr>
            <w:tcW w:w="1843" w:type="dxa"/>
            <w:tcBorders>
              <w:top w:val="single" w:sz="4" w:space="0" w:color="auto"/>
              <w:bottom w:val="single" w:sz="4" w:space="0" w:color="auto"/>
            </w:tcBorders>
            <w:vAlign w:val="center"/>
          </w:tcPr>
          <w:p w14:paraId="140EF839" w14:textId="77777777" w:rsidR="00F601E7" w:rsidRPr="005638F5" w:rsidRDefault="00F601E7" w:rsidP="00B808CF">
            <w:pPr>
              <w:jc w:val="center"/>
              <w:rPr>
                <w:rFonts w:ascii="Cambria" w:hAnsi="Cambria"/>
                <w:sz w:val="20"/>
                <w:szCs w:val="20"/>
              </w:rPr>
            </w:pPr>
            <w:r w:rsidRPr="005638F5">
              <w:rPr>
                <w:rFonts w:ascii="Cambria" w:hAnsi="Cambria"/>
                <w:sz w:val="20"/>
                <w:szCs w:val="20"/>
              </w:rPr>
              <w:t>400 MHz</w:t>
            </w:r>
          </w:p>
        </w:tc>
        <w:tc>
          <w:tcPr>
            <w:tcW w:w="1701" w:type="dxa"/>
            <w:tcBorders>
              <w:top w:val="single" w:sz="4" w:space="0" w:color="auto"/>
              <w:bottom w:val="single" w:sz="4" w:space="0" w:color="auto"/>
            </w:tcBorders>
            <w:vAlign w:val="center"/>
          </w:tcPr>
          <w:p w14:paraId="1D5565B2" w14:textId="77777777" w:rsidR="00F601E7" w:rsidRPr="005638F5" w:rsidRDefault="00F601E7" w:rsidP="00B808CF">
            <w:pPr>
              <w:jc w:val="center"/>
              <w:rPr>
                <w:rFonts w:ascii="Cambria" w:hAnsi="Cambria"/>
                <w:sz w:val="20"/>
                <w:szCs w:val="20"/>
              </w:rPr>
            </w:pPr>
            <w:r w:rsidRPr="005638F5">
              <w:rPr>
                <w:rFonts w:ascii="Cambria" w:hAnsi="Cambria"/>
                <w:sz w:val="20"/>
                <w:szCs w:val="20"/>
              </w:rPr>
              <w:t>7.3728 MHz</w:t>
            </w:r>
          </w:p>
        </w:tc>
      </w:tr>
      <w:tr w:rsidR="00F601E7" w14:paraId="44426720" w14:textId="77777777" w:rsidTr="00B808CF">
        <w:tc>
          <w:tcPr>
            <w:tcW w:w="1701" w:type="dxa"/>
            <w:tcBorders>
              <w:top w:val="single" w:sz="4" w:space="0" w:color="auto"/>
              <w:bottom w:val="single" w:sz="4" w:space="0" w:color="auto"/>
            </w:tcBorders>
            <w:vAlign w:val="center"/>
          </w:tcPr>
          <w:p w14:paraId="41768A25" w14:textId="77777777" w:rsidR="00F601E7" w:rsidRPr="005638F5" w:rsidRDefault="00F601E7" w:rsidP="00B808CF">
            <w:pPr>
              <w:jc w:val="center"/>
              <w:rPr>
                <w:rFonts w:ascii="Cambria" w:hAnsi="Cambria"/>
                <w:b/>
                <w:sz w:val="20"/>
                <w:szCs w:val="20"/>
              </w:rPr>
            </w:pPr>
            <w:r w:rsidRPr="005638F5">
              <w:rPr>
                <w:rFonts w:ascii="Cambria" w:hAnsi="Cambria"/>
                <w:b/>
                <w:sz w:val="20"/>
                <w:szCs w:val="20"/>
              </w:rPr>
              <w:t>Watchdog Timer</w:t>
            </w:r>
          </w:p>
        </w:tc>
        <w:tc>
          <w:tcPr>
            <w:tcW w:w="2127" w:type="dxa"/>
            <w:tcBorders>
              <w:top w:val="single" w:sz="4" w:space="0" w:color="auto"/>
              <w:bottom w:val="single" w:sz="4" w:space="0" w:color="auto"/>
            </w:tcBorders>
            <w:vAlign w:val="center"/>
          </w:tcPr>
          <w:p w14:paraId="7B9E7C7D" w14:textId="77777777" w:rsidR="00F601E7" w:rsidRPr="005638F5" w:rsidRDefault="00F601E7" w:rsidP="00B808CF">
            <w:pPr>
              <w:jc w:val="center"/>
              <w:rPr>
                <w:rFonts w:ascii="Cambria" w:hAnsi="Cambria"/>
                <w:sz w:val="20"/>
                <w:szCs w:val="20"/>
              </w:rPr>
            </w:pPr>
            <w:r w:rsidRPr="005638F5">
              <w:rPr>
                <w:rFonts w:ascii="Cambria" w:hAnsi="Cambria"/>
                <w:sz w:val="20"/>
                <w:szCs w:val="20"/>
              </w:rPr>
              <w:t>Sim</w:t>
            </w:r>
          </w:p>
        </w:tc>
        <w:tc>
          <w:tcPr>
            <w:tcW w:w="1842" w:type="dxa"/>
            <w:tcBorders>
              <w:top w:val="single" w:sz="4" w:space="0" w:color="auto"/>
              <w:bottom w:val="single" w:sz="4" w:space="0" w:color="auto"/>
            </w:tcBorders>
            <w:vAlign w:val="center"/>
          </w:tcPr>
          <w:p w14:paraId="0A1AB974" w14:textId="77777777" w:rsidR="00F601E7" w:rsidRPr="005638F5" w:rsidRDefault="00F601E7" w:rsidP="00B808CF">
            <w:pPr>
              <w:jc w:val="center"/>
              <w:rPr>
                <w:rFonts w:ascii="Cambria" w:hAnsi="Cambria"/>
                <w:sz w:val="20"/>
                <w:szCs w:val="20"/>
              </w:rPr>
            </w:pPr>
            <w:r w:rsidRPr="005638F5">
              <w:rPr>
                <w:rFonts w:ascii="Cambria" w:hAnsi="Cambria"/>
                <w:sz w:val="20"/>
                <w:szCs w:val="20"/>
              </w:rPr>
              <w:t>Sim</w:t>
            </w:r>
          </w:p>
        </w:tc>
        <w:tc>
          <w:tcPr>
            <w:tcW w:w="1843" w:type="dxa"/>
            <w:tcBorders>
              <w:top w:val="single" w:sz="4" w:space="0" w:color="auto"/>
              <w:bottom w:val="single" w:sz="4" w:space="0" w:color="auto"/>
            </w:tcBorders>
            <w:vAlign w:val="center"/>
          </w:tcPr>
          <w:p w14:paraId="3E495C4D" w14:textId="77777777" w:rsidR="00F601E7" w:rsidRPr="005638F5" w:rsidRDefault="00F601E7" w:rsidP="00B808CF">
            <w:pPr>
              <w:jc w:val="center"/>
              <w:rPr>
                <w:rFonts w:ascii="Cambria" w:hAnsi="Cambria"/>
                <w:sz w:val="20"/>
                <w:szCs w:val="20"/>
              </w:rPr>
            </w:pPr>
            <w:r w:rsidRPr="005638F5">
              <w:rPr>
                <w:rFonts w:ascii="Cambria" w:hAnsi="Cambria"/>
                <w:sz w:val="20"/>
                <w:szCs w:val="20"/>
              </w:rPr>
              <w:t>Sim</w:t>
            </w:r>
          </w:p>
        </w:tc>
        <w:tc>
          <w:tcPr>
            <w:tcW w:w="1701" w:type="dxa"/>
            <w:tcBorders>
              <w:top w:val="single" w:sz="4" w:space="0" w:color="auto"/>
              <w:bottom w:val="single" w:sz="4" w:space="0" w:color="auto"/>
            </w:tcBorders>
            <w:vAlign w:val="center"/>
          </w:tcPr>
          <w:p w14:paraId="1F66C28D" w14:textId="77777777" w:rsidR="00F601E7" w:rsidRPr="005638F5" w:rsidRDefault="00F601E7" w:rsidP="00B808CF">
            <w:pPr>
              <w:jc w:val="center"/>
              <w:rPr>
                <w:rFonts w:ascii="Cambria" w:hAnsi="Cambria"/>
                <w:sz w:val="20"/>
                <w:szCs w:val="20"/>
              </w:rPr>
            </w:pPr>
            <w:r w:rsidRPr="005638F5">
              <w:rPr>
                <w:rFonts w:ascii="Cambria" w:hAnsi="Cambria"/>
                <w:sz w:val="20"/>
                <w:szCs w:val="20"/>
              </w:rPr>
              <w:t>Sim</w:t>
            </w:r>
          </w:p>
        </w:tc>
      </w:tr>
      <w:tr w:rsidR="00F601E7" w14:paraId="79ACBA05" w14:textId="77777777" w:rsidTr="00B808CF">
        <w:tc>
          <w:tcPr>
            <w:tcW w:w="1701" w:type="dxa"/>
            <w:tcBorders>
              <w:top w:val="single" w:sz="4" w:space="0" w:color="auto"/>
              <w:bottom w:val="single" w:sz="4" w:space="0" w:color="auto"/>
            </w:tcBorders>
            <w:vAlign w:val="center"/>
          </w:tcPr>
          <w:p w14:paraId="427B108A" w14:textId="77777777" w:rsidR="00F601E7" w:rsidRPr="005638F5" w:rsidRDefault="00F601E7" w:rsidP="00B808CF">
            <w:pPr>
              <w:jc w:val="center"/>
              <w:rPr>
                <w:rFonts w:ascii="Cambria" w:hAnsi="Cambria"/>
                <w:b/>
                <w:sz w:val="20"/>
                <w:szCs w:val="20"/>
              </w:rPr>
            </w:pPr>
            <w:r w:rsidRPr="005638F5">
              <w:rPr>
                <w:rFonts w:ascii="Cambria" w:hAnsi="Cambria"/>
                <w:b/>
                <w:sz w:val="20"/>
                <w:szCs w:val="20"/>
              </w:rPr>
              <w:t>Memória Flash</w:t>
            </w:r>
          </w:p>
        </w:tc>
        <w:tc>
          <w:tcPr>
            <w:tcW w:w="2127" w:type="dxa"/>
            <w:tcBorders>
              <w:top w:val="single" w:sz="4" w:space="0" w:color="auto"/>
              <w:bottom w:val="single" w:sz="4" w:space="0" w:color="auto"/>
            </w:tcBorders>
            <w:vAlign w:val="center"/>
          </w:tcPr>
          <w:p w14:paraId="063656C7" w14:textId="77777777" w:rsidR="00F601E7" w:rsidRPr="005638F5" w:rsidRDefault="00F601E7" w:rsidP="00B808CF">
            <w:pPr>
              <w:jc w:val="center"/>
              <w:rPr>
                <w:rFonts w:ascii="Cambria" w:hAnsi="Cambria"/>
                <w:sz w:val="20"/>
                <w:szCs w:val="20"/>
              </w:rPr>
            </w:pPr>
            <w:r w:rsidRPr="005638F5">
              <w:rPr>
                <w:rFonts w:ascii="Cambria" w:hAnsi="Cambria"/>
                <w:sz w:val="20"/>
                <w:szCs w:val="20"/>
              </w:rPr>
              <w:t>512 KB</w:t>
            </w:r>
          </w:p>
        </w:tc>
        <w:tc>
          <w:tcPr>
            <w:tcW w:w="1842" w:type="dxa"/>
            <w:tcBorders>
              <w:top w:val="single" w:sz="4" w:space="0" w:color="auto"/>
              <w:bottom w:val="single" w:sz="4" w:space="0" w:color="auto"/>
            </w:tcBorders>
            <w:vAlign w:val="center"/>
          </w:tcPr>
          <w:p w14:paraId="6DABBF32" w14:textId="77777777" w:rsidR="00F601E7" w:rsidRPr="005638F5" w:rsidRDefault="00F601E7" w:rsidP="00B808CF">
            <w:pPr>
              <w:jc w:val="center"/>
              <w:rPr>
                <w:rFonts w:ascii="Cambria" w:hAnsi="Cambria"/>
                <w:sz w:val="20"/>
                <w:szCs w:val="20"/>
              </w:rPr>
            </w:pPr>
            <w:r w:rsidRPr="005638F5">
              <w:rPr>
                <w:rFonts w:ascii="Cambria" w:hAnsi="Cambria"/>
                <w:sz w:val="20"/>
                <w:szCs w:val="20"/>
              </w:rPr>
              <w:t xml:space="preserve">16 KB </w:t>
            </w:r>
          </w:p>
        </w:tc>
        <w:tc>
          <w:tcPr>
            <w:tcW w:w="1843" w:type="dxa"/>
            <w:tcBorders>
              <w:top w:val="single" w:sz="4" w:space="0" w:color="auto"/>
              <w:bottom w:val="single" w:sz="4" w:space="0" w:color="auto"/>
            </w:tcBorders>
            <w:vAlign w:val="center"/>
          </w:tcPr>
          <w:p w14:paraId="70D2D620" w14:textId="77777777" w:rsidR="00F601E7" w:rsidRPr="005638F5" w:rsidRDefault="00F601E7" w:rsidP="00B808CF">
            <w:pPr>
              <w:jc w:val="center"/>
              <w:rPr>
                <w:rFonts w:ascii="Cambria" w:hAnsi="Cambria"/>
                <w:sz w:val="20"/>
                <w:szCs w:val="20"/>
              </w:rPr>
            </w:pPr>
            <w:r w:rsidRPr="005638F5">
              <w:rPr>
                <w:rFonts w:ascii="Cambria" w:hAnsi="Cambria"/>
                <w:sz w:val="20"/>
                <w:szCs w:val="20"/>
              </w:rPr>
              <w:t>X</w:t>
            </w:r>
          </w:p>
        </w:tc>
        <w:tc>
          <w:tcPr>
            <w:tcW w:w="1701" w:type="dxa"/>
            <w:tcBorders>
              <w:top w:val="single" w:sz="4" w:space="0" w:color="auto"/>
              <w:bottom w:val="single" w:sz="4" w:space="0" w:color="auto"/>
            </w:tcBorders>
            <w:vAlign w:val="center"/>
          </w:tcPr>
          <w:p w14:paraId="636D784B" w14:textId="77777777" w:rsidR="00F601E7" w:rsidRPr="005638F5" w:rsidRDefault="00F601E7" w:rsidP="00B808CF">
            <w:pPr>
              <w:jc w:val="center"/>
              <w:rPr>
                <w:rFonts w:ascii="Cambria" w:hAnsi="Cambria"/>
                <w:sz w:val="20"/>
                <w:szCs w:val="20"/>
              </w:rPr>
            </w:pPr>
            <w:r>
              <w:rPr>
                <w:rFonts w:ascii="Cambria" w:hAnsi="Cambria"/>
                <w:sz w:val="20"/>
                <w:szCs w:val="20"/>
              </w:rPr>
              <w:t>55  KB</w:t>
            </w:r>
          </w:p>
        </w:tc>
      </w:tr>
      <w:tr w:rsidR="00F601E7" w14:paraId="0F81E827" w14:textId="77777777" w:rsidTr="00B808CF">
        <w:tc>
          <w:tcPr>
            <w:tcW w:w="1701" w:type="dxa"/>
            <w:tcBorders>
              <w:top w:val="single" w:sz="4" w:space="0" w:color="auto"/>
              <w:bottom w:val="single" w:sz="4" w:space="0" w:color="auto"/>
            </w:tcBorders>
            <w:vAlign w:val="center"/>
          </w:tcPr>
          <w:p w14:paraId="72695DC8" w14:textId="77777777" w:rsidR="00F601E7" w:rsidRPr="005638F5" w:rsidRDefault="00F601E7" w:rsidP="00B808CF">
            <w:pPr>
              <w:jc w:val="center"/>
              <w:rPr>
                <w:rFonts w:ascii="Cambria" w:hAnsi="Cambria"/>
                <w:b/>
                <w:sz w:val="20"/>
                <w:szCs w:val="20"/>
              </w:rPr>
            </w:pPr>
            <w:r w:rsidRPr="005638F5">
              <w:rPr>
                <w:rFonts w:ascii="Cambria" w:hAnsi="Cambria"/>
                <w:b/>
                <w:sz w:val="20"/>
                <w:szCs w:val="20"/>
              </w:rPr>
              <w:t>Memória RAM</w:t>
            </w:r>
          </w:p>
        </w:tc>
        <w:tc>
          <w:tcPr>
            <w:tcW w:w="2127" w:type="dxa"/>
            <w:tcBorders>
              <w:top w:val="single" w:sz="4" w:space="0" w:color="auto"/>
              <w:bottom w:val="single" w:sz="4" w:space="0" w:color="auto"/>
            </w:tcBorders>
            <w:vAlign w:val="center"/>
          </w:tcPr>
          <w:p w14:paraId="4F3FA72F" w14:textId="77777777" w:rsidR="00F601E7" w:rsidRPr="005638F5" w:rsidRDefault="00F601E7" w:rsidP="00B808CF">
            <w:pPr>
              <w:jc w:val="center"/>
              <w:rPr>
                <w:rFonts w:ascii="Cambria" w:hAnsi="Cambria"/>
                <w:sz w:val="20"/>
                <w:szCs w:val="20"/>
              </w:rPr>
            </w:pPr>
            <w:r w:rsidRPr="005638F5">
              <w:rPr>
                <w:rFonts w:ascii="Cambria" w:hAnsi="Cambria"/>
                <w:sz w:val="20"/>
                <w:szCs w:val="20"/>
              </w:rPr>
              <w:t>66 KB</w:t>
            </w:r>
          </w:p>
        </w:tc>
        <w:tc>
          <w:tcPr>
            <w:tcW w:w="1842" w:type="dxa"/>
            <w:tcBorders>
              <w:top w:val="single" w:sz="4" w:space="0" w:color="auto"/>
              <w:bottom w:val="single" w:sz="4" w:space="0" w:color="auto"/>
            </w:tcBorders>
            <w:vAlign w:val="center"/>
          </w:tcPr>
          <w:p w14:paraId="57FD94B5" w14:textId="77777777" w:rsidR="00F601E7" w:rsidRPr="005638F5" w:rsidRDefault="00F601E7" w:rsidP="00B808CF">
            <w:pPr>
              <w:jc w:val="center"/>
              <w:rPr>
                <w:rFonts w:ascii="Cambria" w:hAnsi="Cambria"/>
                <w:sz w:val="20"/>
                <w:szCs w:val="20"/>
              </w:rPr>
            </w:pPr>
            <w:r w:rsidRPr="005638F5">
              <w:rPr>
                <w:rFonts w:ascii="Cambria" w:hAnsi="Cambria"/>
                <w:sz w:val="20"/>
                <w:szCs w:val="20"/>
              </w:rPr>
              <w:t>32 KB</w:t>
            </w:r>
          </w:p>
        </w:tc>
        <w:tc>
          <w:tcPr>
            <w:tcW w:w="1843" w:type="dxa"/>
            <w:tcBorders>
              <w:top w:val="single" w:sz="4" w:space="0" w:color="auto"/>
              <w:bottom w:val="single" w:sz="4" w:space="0" w:color="auto"/>
            </w:tcBorders>
            <w:vAlign w:val="center"/>
          </w:tcPr>
          <w:p w14:paraId="363ECD67" w14:textId="77777777" w:rsidR="00F601E7" w:rsidRPr="005638F5" w:rsidRDefault="00F601E7" w:rsidP="00B808CF">
            <w:pPr>
              <w:jc w:val="center"/>
              <w:rPr>
                <w:rFonts w:ascii="Cambria" w:hAnsi="Cambria"/>
                <w:sz w:val="20"/>
                <w:szCs w:val="20"/>
              </w:rPr>
            </w:pPr>
            <w:r w:rsidRPr="005638F5">
              <w:rPr>
                <w:rFonts w:ascii="Cambria" w:hAnsi="Cambria"/>
                <w:sz w:val="20"/>
                <w:szCs w:val="20"/>
              </w:rPr>
              <w:t>32 KB</w:t>
            </w:r>
          </w:p>
        </w:tc>
        <w:tc>
          <w:tcPr>
            <w:tcW w:w="1701" w:type="dxa"/>
            <w:tcBorders>
              <w:top w:val="single" w:sz="4" w:space="0" w:color="auto"/>
              <w:bottom w:val="single" w:sz="4" w:space="0" w:color="auto"/>
            </w:tcBorders>
            <w:vAlign w:val="center"/>
          </w:tcPr>
          <w:p w14:paraId="225AC69B" w14:textId="77777777" w:rsidR="00F601E7" w:rsidRPr="005638F5" w:rsidRDefault="00F601E7" w:rsidP="00B808CF">
            <w:pPr>
              <w:jc w:val="center"/>
              <w:rPr>
                <w:rFonts w:ascii="Cambria" w:hAnsi="Cambria"/>
                <w:sz w:val="20"/>
                <w:szCs w:val="20"/>
              </w:rPr>
            </w:pPr>
            <w:r>
              <w:rPr>
                <w:rFonts w:ascii="Cambria" w:hAnsi="Cambria"/>
                <w:sz w:val="20"/>
                <w:szCs w:val="20"/>
              </w:rPr>
              <w:t>5 KB</w:t>
            </w:r>
          </w:p>
        </w:tc>
      </w:tr>
      <w:tr w:rsidR="00F601E7" w14:paraId="61E1A85C" w14:textId="77777777" w:rsidTr="00B808CF">
        <w:tc>
          <w:tcPr>
            <w:tcW w:w="1701" w:type="dxa"/>
            <w:tcBorders>
              <w:top w:val="single" w:sz="4" w:space="0" w:color="auto"/>
              <w:bottom w:val="single" w:sz="4" w:space="0" w:color="auto"/>
            </w:tcBorders>
            <w:vAlign w:val="center"/>
          </w:tcPr>
          <w:p w14:paraId="05B3CA5B" w14:textId="77777777" w:rsidR="00F601E7" w:rsidRPr="005638F5" w:rsidRDefault="00F601E7" w:rsidP="00B808CF">
            <w:pPr>
              <w:jc w:val="center"/>
              <w:rPr>
                <w:rFonts w:ascii="Cambria" w:hAnsi="Cambria"/>
                <w:b/>
                <w:sz w:val="20"/>
                <w:szCs w:val="20"/>
              </w:rPr>
            </w:pPr>
            <w:r w:rsidRPr="005638F5">
              <w:rPr>
                <w:rFonts w:ascii="Cambria" w:hAnsi="Cambria"/>
                <w:b/>
                <w:sz w:val="20"/>
                <w:szCs w:val="20"/>
              </w:rPr>
              <w:t>EEPROM</w:t>
            </w:r>
          </w:p>
        </w:tc>
        <w:tc>
          <w:tcPr>
            <w:tcW w:w="2127" w:type="dxa"/>
            <w:tcBorders>
              <w:top w:val="single" w:sz="4" w:space="0" w:color="auto"/>
              <w:bottom w:val="single" w:sz="4" w:space="0" w:color="auto"/>
            </w:tcBorders>
            <w:vAlign w:val="center"/>
          </w:tcPr>
          <w:p w14:paraId="5D66C2A6" w14:textId="77777777" w:rsidR="00F601E7" w:rsidRPr="005638F5" w:rsidRDefault="00F601E7" w:rsidP="00B808CF">
            <w:pPr>
              <w:jc w:val="center"/>
              <w:rPr>
                <w:rFonts w:ascii="Cambria" w:hAnsi="Cambria"/>
                <w:sz w:val="20"/>
                <w:szCs w:val="20"/>
              </w:rPr>
            </w:pPr>
            <w:r w:rsidRPr="005638F5">
              <w:rPr>
                <w:rFonts w:ascii="Cambria" w:hAnsi="Cambria"/>
                <w:sz w:val="20"/>
                <w:szCs w:val="20"/>
              </w:rPr>
              <w:t>X</w:t>
            </w:r>
          </w:p>
        </w:tc>
        <w:tc>
          <w:tcPr>
            <w:tcW w:w="1842" w:type="dxa"/>
            <w:tcBorders>
              <w:top w:val="single" w:sz="4" w:space="0" w:color="auto"/>
              <w:bottom w:val="single" w:sz="4" w:space="0" w:color="auto"/>
            </w:tcBorders>
            <w:vAlign w:val="center"/>
          </w:tcPr>
          <w:p w14:paraId="4A463FFB" w14:textId="77777777" w:rsidR="00F601E7" w:rsidRPr="005638F5" w:rsidRDefault="00F601E7" w:rsidP="00B808CF">
            <w:pPr>
              <w:jc w:val="center"/>
              <w:rPr>
                <w:rFonts w:ascii="Cambria" w:hAnsi="Cambria"/>
                <w:sz w:val="20"/>
                <w:szCs w:val="20"/>
              </w:rPr>
            </w:pPr>
            <w:r w:rsidRPr="005638F5">
              <w:rPr>
                <w:rFonts w:ascii="Cambria" w:hAnsi="Cambria"/>
                <w:sz w:val="20"/>
                <w:szCs w:val="20"/>
              </w:rPr>
              <w:t>16 KB</w:t>
            </w:r>
          </w:p>
        </w:tc>
        <w:tc>
          <w:tcPr>
            <w:tcW w:w="1843" w:type="dxa"/>
            <w:tcBorders>
              <w:top w:val="single" w:sz="4" w:space="0" w:color="auto"/>
              <w:bottom w:val="single" w:sz="4" w:space="0" w:color="auto"/>
            </w:tcBorders>
            <w:vAlign w:val="center"/>
          </w:tcPr>
          <w:p w14:paraId="04116CAF" w14:textId="77777777" w:rsidR="00F601E7" w:rsidRPr="005638F5" w:rsidRDefault="00F601E7" w:rsidP="00B808CF">
            <w:pPr>
              <w:jc w:val="center"/>
              <w:rPr>
                <w:rFonts w:ascii="Cambria" w:hAnsi="Cambria"/>
                <w:sz w:val="20"/>
                <w:szCs w:val="20"/>
              </w:rPr>
            </w:pPr>
            <w:r w:rsidRPr="005638F5">
              <w:rPr>
                <w:rFonts w:ascii="Cambria" w:hAnsi="Cambria"/>
                <w:sz w:val="20"/>
                <w:szCs w:val="20"/>
              </w:rPr>
              <w:t>X</w:t>
            </w:r>
          </w:p>
        </w:tc>
        <w:tc>
          <w:tcPr>
            <w:tcW w:w="1701" w:type="dxa"/>
            <w:tcBorders>
              <w:top w:val="single" w:sz="4" w:space="0" w:color="auto"/>
              <w:bottom w:val="single" w:sz="4" w:space="0" w:color="auto"/>
            </w:tcBorders>
            <w:vAlign w:val="center"/>
          </w:tcPr>
          <w:p w14:paraId="2B8329A7" w14:textId="77777777" w:rsidR="00F601E7" w:rsidRPr="005638F5" w:rsidRDefault="00F601E7" w:rsidP="00B808CF">
            <w:pPr>
              <w:jc w:val="center"/>
              <w:rPr>
                <w:rFonts w:ascii="Cambria" w:hAnsi="Cambria"/>
                <w:sz w:val="20"/>
                <w:szCs w:val="20"/>
              </w:rPr>
            </w:pPr>
            <w:r>
              <w:rPr>
                <w:rFonts w:ascii="Cambria" w:hAnsi="Cambria"/>
                <w:sz w:val="20"/>
                <w:szCs w:val="20"/>
              </w:rPr>
              <w:t>X</w:t>
            </w:r>
          </w:p>
        </w:tc>
      </w:tr>
      <w:tr w:rsidR="00F601E7" w14:paraId="595B0178" w14:textId="77777777" w:rsidTr="00B808CF">
        <w:tc>
          <w:tcPr>
            <w:tcW w:w="1701" w:type="dxa"/>
            <w:tcBorders>
              <w:top w:val="single" w:sz="4" w:space="0" w:color="auto"/>
              <w:bottom w:val="single" w:sz="4" w:space="0" w:color="auto"/>
            </w:tcBorders>
            <w:vAlign w:val="center"/>
          </w:tcPr>
          <w:p w14:paraId="2904B035" w14:textId="77777777" w:rsidR="00F601E7" w:rsidRPr="005638F5" w:rsidRDefault="00F601E7" w:rsidP="00B808CF">
            <w:pPr>
              <w:jc w:val="center"/>
              <w:rPr>
                <w:rFonts w:ascii="Cambria" w:hAnsi="Cambria"/>
                <w:b/>
                <w:sz w:val="20"/>
                <w:szCs w:val="20"/>
              </w:rPr>
            </w:pPr>
            <w:r w:rsidRPr="005638F5">
              <w:rPr>
                <w:rFonts w:ascii="Cambria" w:hAnsi="Cambria"/>
                <w:b/>
                <w:sz w:val="20"/>
                <w:szCs w:val="20"/>
              </w:rPr>
              <w:t>I2C</w:t>
            </w:r>
          </w:p>
        </w:tc>
        <w:tc>
          <w:tcPr>
            <w:tcW w:w="2127" w:type="dxa"/>
            <w:tcBorders>
              <w:top w:val="single" w:sz="4" w:space="0" w:color="auto"/>
              <w:bottom w:val="single" w:sz="4" w:space="0" w:color="auto"/>
            </w:tcBorders>
            <w:vAlign w:val="center"/>
          </w:tcPr>
          <w:p w14:paraId="33E8B27A" w14:textId="77777777" w:rsidR="00F601E7" w:rsidRPr="005638F5" w:rsidRDefault="00F601E7" w:rsidP="00B808CF">
            <w:pPr>
              <w:jc w:val="center"/>
              <w:rPr>
                <w:rFonts w:ascii="Cambria" w:hAnsi="Cambria"/>
                <w:sz w:val="20"/>
                <w:szCs w:val="20"/>
              </w:rPr>
            </w:pPr>
            <w:r w:rsidRPr="005638F5">
              <w:rPr>
                <w:rFonts w:ascii="Cambria" w:hAnsi="Cambria"/>
                <w:sz w:val="20"/>
                <w:szCs w:val="20"/>
              </w:rPr>
              <w:t>3</w:t>
            </w:r>
          </w:p>
        </w:tc>
        <w:tc>
          <w:tcPr>
            <w:tcW w:w="1842" w:type="dxa"/>
            <w:tcBorders>
              <w:top w:val="single" w:sz="4" w:space="0" w:color="auto"/>
              <w:bottom w:val="single" w:sz="4" w:space="0" w:color="auto"/>
            </w:tcBorders>
            <w:vAlign w:val="center"/>
          </w:tcPr>
          <w:p w14:paraId="0113C844" w14:textId="77777777" w:rsidR="00F601E7" w:rsidRPr="005638F5" w:rsidRDefault="00F601E7" w:rsidP="00B808CF">
            <w:pPr>
              <w:jc w:val="center"/>
              <w:rPr>
                <w:rFonts w:ascii="Cambria" w:hAnsi="Cambria"/>
                <w:sz w:val="20"/>
                <w:szCs w:val="20"/>
              </w:rPr>
            </w:pPr>
            <w:r w:rsidRPr="005638F5">
              <w:rPr>
                <w:rFonts w:ascii="Cambria" w:hAnsi="Cambria"/>
                <w:sz w:val="20"/>
                <w:szCs w:val="20"/>
              </w:rPr>
              <w:t>0</w:t>
            </w:r>
          </w:p>
        </w:tc>
        <w:tc>
          <w:tcPr>
            <w:tcW w:w="1843" w:type="dxa"/>
            <w:tcBorders>
              <w:top w:val="single" w:sz="4" w:space="0" w:color="auto"/>
              <w:bottom w:val="single" w:sz="4" w:space="0" w:color="auto"/>
            </w:tcBorders>
            <w:vAlign w:val="center"/>
          </w:tcPr>
          <w:p w14:paraId="6EF6994A" w14:textId="77777777" w:rsidR="00F601E7" w:rsidRPr="005638F5" w:rsidRDefault="00F601E7" w:rsidP="00B808CF">
            <w:pPr>
              <w:jc w:val="center"/>
              <w:rPr>
                <w:rFonts w:ascii="Cambria" w:hAnsi="Cambria"/>
                <w:sz w:val="20"/>
                <w:szCs w:val="20"/>
              </w:rPr>
            </w:pPr>
            <w:r w:rsidRPr="005638F5">
              <w:rPr>
                <w:rFonts w:ascii="Cambria" w:hAnsi="Cambria"/>
                <w:sz w:val="20"/>
                <w:szCs w:val="20"/>
              </w:rPr>
              <w:t>2</w:t>
            </w:r>
          </w:p>
        </w:tc>
        <w:tc>
          <w:tcPr>
            <w:tcW w:w="1701" w:type="dxa"/>
            <w:tcBorders>
              <w:top w:val="single" w:sz="4" w:space="0" w:color="auto"/>
              <w:bottom w:val="single" w:sz="4" w:space="0" w:color="auto"/>
            </w:tcBorders>
            <w:vAlign w:val="center"/>
          </w:tcPr>
          <w:p w14:paraId="05639BC1" w14:textId="77777777" w:rsidR="00F601E7" w:rsidRPr="005638F5" w:rsidRDefault="00F601E7" w:rsidP="00B808CF">
            <w:pPr>
              <w:jc w:val="center"/>
              <w:rPr>
                <w:rFonts w:ascii="Cambria" w:hAnsi="Cambria"/>
                <w:sz w:val="20"/>
                <w:szCs w:val="20"/>
              </w:rPr>
            </w:pPr>
            <w:r>
              <w:rPr>
                <w:rFonts w:ascii="Cambria" w:hAnsi="Cambria"/>
                <w:sz w:val="20"/>
                <w:szCs w:val="20"/>
              </w:rPr>
              <w:t>1</w:t>
            </w:r>
          </w:p>
        </w:tc>
      </w:tr>
      <w:tr w:rsidR="00F601E7" w14:paraId="386F2C11" w14:textId="77777777" w:rsidTr="00B808CF">
        <w:tc>
          <w:tcPr>
            <w:tcW w:w="1701" w:type="dxa"/>
            <w:tcBorders>
              <w:top w:val="single" w:sz="4" w:space="0" w:color="auto"/>
              <w:bottom w:val="single" w:sz="4" w:space="0" w:color="auto"/>
            </w:tcBorders>
            <w:vAlign w:val="center"/>
          </w:tcPr>
          <w:p w14:paraId="135447F1" w14:textId="77777777" w:rsidR="00F601E7" w:rsidRPr="005638F5" w:rsidRDefault="00F601E7" w:rsidP="00B808CF">
            <w:pPr>
              <w:jc w:val="center"/>
              <w:rPr>
                <w:rFonts w:ascii="Cambria" w:hAnsi="Cambria"/>
                <w:b/>
                <w:sz w:val="20"/>
                <w:szCs w:val="20"/>
              </w:rPr>
            </w:pPr>
            <w:r w:rsidRPr="005638F5">
              <w:rPr>
                <w:rFonts w:ascii="Cambria" w:hAnsi="Cambria"/>
                <w:b/>
                <w:sz w:val="20"/>
                <w:szCs w:val="20"/>
              </w:rPr>
              <w:t xml:space="preserve">Canais ADC </w:t>
            </w:r>
          </w:p>
        </w:tc>
        <w:tc>
          <w:tcPr>
            <w:tcW w:w="2127" w:type="dxa"/>
            <w:tcBorders>
              <w:top w:val="single" w:sz="4" w:space="0" w:color="auto"/>
              <w:bottom w:val="single" w:sz="4" w:space="0" w:color="auto"/>
            </w:tcBorders>
            <w:vAlign w:val="center"/>
          </w:tcPr>
          <w:p w14:paraId="235898E2" w14:textId="77777777" w:rsidR="00F601E7" w:rsidRPr="005638F5" w:rsidRDefault="00F601E7" w:rsidP="00B808CF">
            <w:pPr>
              <w:jc w:val="center"/>
              <w:rPr>
                <w:rFonts w:ascii="Cambria" w:hAnsi="Cambria"/>
                <w:sz w:val="20"/>
                <w:szCs w:val="20"/>
              </w:rPr>
            </w:pPr>
            <w:r w:rsidRPr="005638F5">
              <w:rPr>
                <w:rFonts w:ascii="Cambria" w:hAnsi="Cambria"/>
                <w:color w:val="000000"/>
                <w:sz w:val="20"/>
                <w:szCs w:val="20"/>
              </w:rPr>
              <w:t>16 canais de 1</w:t>
            </w:r>
            <w:r>
              <w:rPr>
                <w:rFonts w:ascii="Cambria" w:hAnsi="Cambria"/>
                <w:color w:val="000000"/>
                <w:sz w:val="20"/>
                <w:szCs w:val="20"/>
              </w:rPr>
              <w:t>2</w:t>
            </w:r>
            <w:r w:rsidRPr="005638F5">
              <w:rPr>
                <w:rFonts w:ascii="Cambria" w:hAnsi="Cambria"/>
                <w:color w:val="000000"/>
                <w:sz w:val="20"/>
                <w:szCs w:val="20"/>
              </w:rPr>
              <w:t>bit</w:t>
            </w:r>
          </w:p>
        </w:tc>
        <w:tc>
          <w:tcPr>
            <w:tcW w:w="1842" w:type="dxa"/>
            <w:tcBorders>
              <w:top w:val="single" w:sz="4" w:space="0" w:color="auto"/>
              <w:bottom w:val="single" w:sz="4" w:space="0" w:color="auto"/>
            </w:tcBorders>
            <w:vAlign w:val="center"/>
          </w:tcPr>
          <w:p w14:paraId="18EDCFA6" w14:textId="77777777" w:rsidR="00F601E7" w:rsidRPr="005638F5" w:rsidRDefault="00F601E7" w:rsidP="00B808CF">
            <w:pPr>
              <w:jc w:val="center"/>
              <w:rPr>
                <w:rFonts w:ascii="Cambria" w:hAnsi="Cambria"/>
                <w:sz w:val="20"/>
                <w:szCs w:val="20"/>
              </w:rPr>
            </w:pPr>
            <w:r w:rsidRPr="005638F5">
              <w:rPr>
                <w:rFonts w:ascii="Cambria" w:hAnsi="Cambria"/>
                <w:sz w:val="20"/>
                <w:szCs w:val="20"/>
              </w:rPr>
              <w:t>6 canais de 12bit</w:t>
            </w:r>
          </w:p>
        </w:tc>
        <w:tc>
          <w:tcPr>
            <w:tcW w:w="1843" w:type="dxa"/>
            <w:tcBorders>
              <w:top w:val="single" w:sz="4" w:space="0" w:color="auto"/>
              <w:bottom w:val="single" w:sz="4" w:space="0" w:color="auto"/>
            </w:tcBorders>
            <w:vAlign w:val="center"/>
          </w:tcPr>
          <w:p w14:paraId="7643D9F6" w14:textId="77777777" w:rsidR="00F601E7" w:rsidRPr="005638F5" w:rsidRDefault="00F601E7" w:rsidP="00B808CF">
            <w:pPr>
              <w:jc w:val="center"/>
              <w:rPr>
                <w:rFonts w:ascii="Cambria" w:hAnsi="Cambria"/>
                <w:sz w:val="20"/>
                <w:szCs w:val="20"/>
              </w:rPr>
            </w:pPr>
            <w:r w:rsidRPr="005638F5">
              <w:rPr>
                <w:rFonts w:ascii="Cambria" w:hAnsi="Cambria"/>
                <w:sz w:val="20"/>
                <w:szCs w:val="20"/>
              </w:rPr>
              <w:t>6 canais de 10bit</w:t>
            </w:r>
          </w:p>
        </w:tc>
        <w:tc>
          <w:tcPr>
            <w:tcW w:w="1701" w:type="dxa"/>
            <w:tcBorders>
              <w:top w:val="single" w:sz="4" w:space="0" w:color="auto"/>
              <w:bottom w:val="single" w:sz="4" w:space="0" w:color="auto"/>
            </w:tcBorders>
            <w:vAlign w:val="center"/>
          </w:tcPr>
          <w:p w14:paraId="240D9739" w14:textId="77777777" w:rsidR="00F601E7" w:rsidRPr="005638F5" w:rsidRDefault="00F601E7" w:rsidP="00B808CF">
            <w:pPr>
              <w:jc w:val="center"/>
              <w:rPr>
                <w:rFonts w:ascii="Cambria" w:hAnsi="Cambria"/>
                <w:sz w:val="20"/>
                <w:szCs w:val="20"/>
              </w:rPr>
            </w:pPr>
            <w:r>
              <w:rPr>
                <w:rFonts w:ascii="Cambria" w:hAnsi="Cambria"/>
                <w:sz w:val="20"/>
                <w:szCs w:val="20"/>
              </w:rPr>
              <w:t>8 canais de 12bit</w:t>
            </w:r>
          </w:p>
        </w:tc>
      </w:tr>
      <w:tr w:rsidR="00F601E7" w14:paraId="24FDB4A2" w14:textId="77777777" w:rsidTr="00B808CF">
        <w:trPr>
          <w:trHeight w:val="240"/>
        </w:trPr>
        <w:tc>
          <w:tcPr>
            <w:tcW w:w="1701" w:type="dxa"/>
            <w:tcBorders>
              <w:top w:val="single" w:sz="4" w:space="0" w:color="auto"/>
              <w:bottom w:val="single" w:sz="4" w:space="0" w:color="auto"/>
            </w:tcBorders>
            <w:vAlign w:val="center"/>
          </w:tcPr>
          <w:p w14:paraId="1BFA5129" w14:textId="77777777" w:rsidR="00F601E7" w:rsidRPr="005638F5" w:rsidRDefault="00F601E7" w:rsidP="00B808CF">
            <w:pPr>
              <w:jc w:val="center"/>
              <w:rPr>
                <w:rFonts w:ascii="Cambria" w:hAnsi="Cambria"/>
                <w:b/>
                <w:sz w:val="20"/>
                <w:szCs w:val="20"/>
              </w:rPr>
            </w:pPr>
            <w:r w:rsidRPr="005638F5">
              <w:rPr>
                <w:rFonts w:ascii="Cambria" w:hAnsi="Cambria"/>
                <w:b/>
                <w:sz w:val="20"/>
                <w:szCs w:val="20"/>
              </w:rPr>
              <w:t>CAN</w:t>
            </w:r>
          </w:p>
        </w:tc>
        <w:tc>
          <w:tcPr>
            <w:tcW w:w="2127" w:type="dxa"/>
            <w:tcBorders>
              <w:top w:val="single" w:sz="4" w:space="0" w:color="auto"/>
              <w:bottom w:val="single" w:sz="4" w:space="0" w:color="auto"/>
            </w:tcBorders>
            <w:vAlign w:val="center"/>
          </w:tcPr>
          <w:p w14:paraId="6D084239" w14:textId="77777777" w:rsidR="00F601E7" w:rsidRPr="005638F5" w:rsidRDefault="00F601E7" w:rsidP="00B808CF">
            <w:pPr>
              <w:jc w:val="center"/>
              <w:rPr>
                <w:rFonts w:ascii="Cambria" w:hAnsi="Cambria"/>
                <w:sz w:val="20"/>
                <w:szCs w:val="20"/>
              </w:rPr>
            </w:pPr>
            <w:r w:rsidRPr="005638F5">
              <w:rPr>
                <w:rFonts w:ascii="Cambria" w:hAnsi="Cambria"/>
                <w:sz w:val="20"/>
                <w:szCs w:val="20"/>
              </w:rPr>
              <w:t>X</w:t>
            </w:r>
          </w:p>
        </w:tc>
        <w:tc>
          <w:tcPr>
            <w:tcW w:w="1842" w:type="dxa"/>
            <w:tcBorders>
              <w:top w:val="single" w:sz="4" w:space="0" w:color="auto"/>
              <w:bottom w:val="single" w:sz="4" w:space="0" w:color="auto"/>
            </w:tcBorders>
            <w:vAlign w:val="center"/>
          </w:tcPr>
          <w:p w14:paraId="70E1649D" w14:textId="77777777" w:rsidR="00F601E7" w:rsidRPr="005638F5" w:rsidRDefault="00F601E7" w:rsidP="00B808CF">
            <w:pPr>
              <w:jc w:val="center"/>
              <w:rPr>
                <w:rFonts w:ascii="Cambria" w:hAnsi="Cambria"/>
                <w:sz w:val="20"/>
                <w:szCs w:val="20"/>
              </w:rPr>
            </w:pPr>
            <w:r>
              <w:rPr>
                <w:rFonts w:ascii="Cambria" w:hAnsi="Cambria"/>
                <w:sz w:val="20"/>
                <w:szCs w:val="20"/>
              </w:rPr>
              <w:t>X</w:t>
            </w:r>
          </w:p>
        </w:tc>
        <w:tc>
          <w:tcPr>
            <w:tcW w:w="1843" w:type="dxa"/>
            <w:tcBorders>
              <w:top w:val="single" w:sz="4" w:space="0" w:color="auto"/>
              <w:bottom w:val="single" w:sz="4" w:space="0" w:color="auto"/>
            </w:tcBorders>
            <w:vAlign w:val="center"/>
          </w:tcPr>
          <w:p w14:paraId="11DDC80F" w14:textId="77777777" w:rsidR="00F601E7" w:rsidRPr="005638F5" w:rsidRDefault="00F601E7" w:rsidP="00B808CF">
            <w:pPr>
              <w:jc w:val="center"/>
              <w:rPr>
                <w:rFonts w:ascii="Cambria" w:hAnsi="Cambria"/>
                <w:sz w:val="20"/>
                <w:szCs w:val="20"/>
              </w:rPr>
            </w:pPr>
            <w:r>
              <w:rPr>
                <w:rFonts w:ascii="Cambria" w:hAnsi="Cambria"/>
                <w:sz w:val="20"/>
                <w:szCs w:val="20"/>
              </w:rPr>
              <w:t>X</w:t>
            </w:r>
          </w:p>
        </w:tc>
        <w:tc>
          <w:tcPr>
            <w:tcW w:w="1701" w:type="dxa"/>
            <w:tcBorders>
              <w:top w:val="single" w:sz="4" w:space="0" w:color="auto"/>
              <w:bottom w:val="single" w:sz="4" w:space="0" w:color="auto"/>
            </w:tcBorders>
            <w:vAlign w:val="center"/>
          </w:tcPr>
          <w:p w14:paraId="0450A605" w14:textId="77777777" w:rsidR="00F601E7" w:rsidRPr="005638F5" w:rsidRDefault="00F601E7" w:rsidP="00B808CF">
            <w:pPr>
              <w:jc w:val="center"/>
              <w:rPr>
                <w:rFonts w:ascii="Cambria" w:hAnsi="Cambria"/>
                <w:sz w:val="20"/>
                <w:szCs w:val="20"/>
              </w:rPr>
            </w:pPr>
            <w:r>
              <w:rPr>
                <w:rFonts w:ascii="Cambria" w:hAnsi="Cambria"/>
                <w:sz w:val="20"/>
                <w:szCs w:val="20"/>
              </w:rPr>
              <w:t>X</w:t>
            </w:r>
          </w:p>
        </w:tc>
      </w:tr>
      <w:tr w:rsidR="00F601E7" w14:paraId="64F1BE35" w14:textId="77777777" w:rsidTr="00B808CF">
        <w:tc>
          <w:tcPr>
            <w:tcW w:w="1701" w:type="dxa"/>
            <w:tcBorders>
              <w:bottom w:val="single" w:sz="4" w:space="0" w:color="auto"/>
            </w:tcBorders>
            <w:vAlign w:val="center"/>
          </w:tcPr>
          <w:p w14:paraId="340761C6" w14:textId="77777777" w:rsidR="00F601E7" w:rsidRPr="005638F5" w:rsidRDefault="00F601E7" w:rsidP="00B808CF">
            <w:pPr>
              <w:jc w:val="center"/>
              <w:rPr>
                <w:rFonts w:ascii="Cambria" w:hAnsi="Cambria"/>
                <w:b/>
                <w:sz w:val="20"/>
                <w:szCs w:val="20"/>
              </w:rPr>
            </w:pPr>
            <w:r w:rsidRPr="005638F5">
              <w:rPr>
                <w:rFonts w:ascii="Cambria" w:hAnsi="Cambria"/>
                <w:b/>
                <w:sz w:val="20"/>
                <w:szCs w:val="20"/>
              </w:rPr>
              <w:t>SPI</w:t>
            </w:r>
          </w:p>
        </w:tc>
        <w:tc>
          <w:tcPr>
            <w:tcW w:w="2127" w:type="dxa"/>
            <w:tcBorders>
              <w:bottom w:val="single" w:sz="4" w:space="0" w:color="auto"/>
            </w:tcBorders>
            <w:vAlign w:val="center"/>
          </w:tcPr>
          <w:p w14:paraId="1A3EC83E" w14:textId="77777777" w:rsidR="00F601E7" w:rsidRPr="005638F5" w:rsidRDefault="00F601E7" w:rsidP="00B808CF">
            <w:pPr>
              <w:jc w:val="center"/>
              <w:rPr>
                <w:rFonts w:ascii="Cambria" w:hAnsi="Cambria"/>
                <w:sz w:val="20"/>
                <w:szCs w:val="20"/>
              </w:rPr>
            </w:pPr>
            <w:r w:rsidRPr="005638F5">
              <w:rPr>
                <w:rFonts w:ascii="Cambria" w:hAnsi="Cambria"/>
                <w:sz w:val="20"/>
                <w:szCs w:val="20"/>
              </w:rPr>
              <w:t>3</w:t>
            </w:r>
          </w:p>
        </w:tc>
        <w:tc>
          <w:tcPr>
            <w:tcW w:w="1842" w:type="dxa"/>
            <w:tcBorders>
              <w:bottom w:val="single" w:sz="4" w:space="0" w:color="auto"/>
            </w:tcBorders>
            <w:vAlign w:val="center"/>
          </w:tcPr>
          <w:p w14:paraId="7594A7CB" w14:textId="77777777" w:rsidR="00F601E7" w:rsidRPr="005638F5" w:rsidRDefault="00F601E7" w:rsidP="00B808CF">
            <w:pPr>
              <w:jc w:val="center"/>
              <w:rPr>
                <w:rFonts w:ascii="Cambria" w:hAnsi="Cambria"/>
                <w:sz w:val="20"/>
                <w:szCs w:val="20"/>
              </w:rPr>
            </w:pPr>
            <w:r w:rsidRPr="005638F5">
              <w:rPr>
                <w:rFonts w:ascii="Cambria" w:hAnsi="Cambria"/>
                <w:sz w:val="20"/>
                <w:szCs w:val="20"/>
              </w:rPr>
              <w:t>2</w:t>
            </w:r>
          </w:p>
        </w:tc>
        <w:tc>
          <w:tcPr>
            <w:tcW w:w="1843" w:type="dxa"/>
            <w:tcBorders>
              <w:bottom w:val="single" w:sz="4" w:space="0" w:color="auto"/>
            </w:tcBorders>
            <w:vAlign w:val="center"/>
          </w:tcPr>
          <w:p w14:paraId="62F61C91" w14:textId="77777777" w:rsidR="00F601E7" w:rsidRPr="005638F5" w:rsidRDefault="00F601E7" w:rsidP="00B808CF">
            <w:pPr>
              <w:jc w:val="center"/>
              <w:rPr>
                <w:rFonts w:ascii="Cambria" w:hAnsi="Cambria"/>
                <w:sz w:val="20"/>
                <w:szCs w:val="20"/>
              </w:rPr>
            </w:pPr>
            <w:r w:rsidRPr="005638F5">
              <w:rPr>
                <w:rFonts w:ascii="Cambria" w:hAnsi="Cambria"/>
                <w:sz w:val="20"/>
                <w:szCs w:val="20"/>
              </w:rPr>
              <w:t>2</w:t>
            </w:r>
          </w:p>
        </w:tc>
        <w:tc>
          <w:tcPr>
            <w:tcW w:w="1701" w:type="dxa"/>
            <w:tcBorders>
              <w:bottom w:val="single" w:sz="4" w:space="0" w:color="auto"/>
            </w:tcBorders>
            <w:vAlign w:val="center"/>
          </w:tcPr>
          <w:p w14:paraId="16B2D067" w14:textId="77777777" w:rsidR="00F601E7" w:rsidRPr="005638F5" w:rsidRDefault="00F601E7" w:rsidP="00B808CF">
            <w:pPr>
              <w:jc w:val="center"/>
              <w:rPr>
                <w:rFonts w:ascii="Cambria" w:hAnsi="Cambria"/>
                <w:sz w:val="20"/>
                <w:szCs w:val="20"/>
              </w:rPr>
            </w:pPr>
            <w:r>
              <w:rPr>
                <w:rFonts w:ascii="Cambria" w:hAnsi="Cambria"/>
                <w:sz w:val="20"/>
                <w:szCs w:val="20"/>
              </w:rPr>
              <w:t>2</w:t>
            </w:r>
          </w:p>
        </w:tc>
      </w:tr>
      <w:tr w:rsidR="00F601E7" w14:paraId="6EFDE801" w14:textId="77777777" w:rsidTr="00B808CF">
        <w:tc>
          <w:tcPr>
            <w:tcW w:w="1701" w:type="dxa"/>
            <w:tcBorders>
              <w:top w:val="single" w:sz="4" w:space="0" w:color="auto"/>
              <w:bottom w:val="single" w:sz="4" w:space="0" w:color="auto"/>
            </w:tcBorders>
            <w:vAlign w:val="center"/>
          </w:tcPr>
          <w:p w14:paraId="291AD956" w14:textId="77777777" w:rsidR="00F601E7" w:rsidRPr="005638F5" w:rsidRDefault="00F601E7" w:rsidP="00B808CF">
            <w:pPr>
              <w:jc w:val="center"/>
              <w:rPr>
                <w:rFonts w:ascii="Cambria" w:hAnsi="Cambria"/>
                <w:b/>
                <w:sz w:val="20"/>
                <w:szCs w:val="20"/>
              </w:rPr>
            </w:pPr>
            <w:r w:rsidRPr="005638F5">
              <w:rPr>
                <w:rFonts w:ascii="Cambria" w:hAnsi="Cambria"/>
                <w:b/>
                <w:sz w:val="20"/>
                <w:szCs w:val="20"/>
              </w:rPr>
              <w:t>PWM</w:t>
            </w:r>
          </w:p>
        </w:tc>
        <w:tc>
          <w:tcPr>
            <w:tcW w:w="2127" w:type="dxa"/>
            <w:tcBorders>
              <w:top w:val="single" w:sz="4" w:space="0" w:color="auto"/>
              <w:bottom w:val="single" w:sz="4" w:space="0" w:color="auto"/>
            </w:tcBorders>
            <w:vAlign w:val="center"/>
          </w:tcPr>
          <w:p w14:paraId="0610892B" w14:textId="77777777" w:rsidR="00F601E7" w:rsidRPr="005638F5" w:rsidRDefault="00F601E7" w:rsidP="00B808CF">
            <w:pPr>
              <w:jc w:val="center"/>
              <w:rPr>
                <w:rFonts w:ascii="Cambria" w:hAnsi="Cambria"/>
                <w:sz w:val="20"/>
                <w:szCs w:val="20"/>
              </w:rPr>
            </w:pPr>
            <w:r w:rsidRPr="005638F5">
              <w:rPr>
                <w:rFonts w:ascii="Cambria" w:hAnsi="Cambria"/>
                <w:sz w:val="20"/>
                <w:szCs w:val="20"/>
              </w:rPr>
              <w:t>5 canais</w:t>
            </w:r>
          </w:p>
        </w:tc>
        <w:tc>
          <w:tcPr>
            <w:tcW w:w="1842" w:type="dxa"/>
            <w:tcBorders>
              <w:top w:val="single" w:sz="4" w:space="0" w:color="auto"/>
              <w:bottom w:val="single" w:sz="4" w:space="0" w:color="auto"/>
            </w:tcBorders>
            <w:vAlign w:val="center"/>
          </w:tcPr>
          <w:p w14:paraId="436AF0B1" w14:textId="77777777" w:rsidR="00F601E7" w:rsidRPr="005638F5" w:rsidRDefault="00F601E7" w:rsidP="00B808CF">
            <w:pPr>
              <w:jc w:val="center"/>
              <w:rPr>
                <w:rFonts w:ascii="Cambria" w:hAnsi="Cambria"/>
                <w:sz w:val="20"/>
                <w:szCs w:val="20"/>
              </w:rPr>
            </w:pPr>
            <w:r w:rsidRPr="005638F5">
              <w:rPr>
                <w:rFonts w:ascii="Cambria" w:hAnsi="Cambria"/>
                <w:sz w:val="20"/>
                <w:szCs w:val="20"/>
              </w:rPr>
              <w:t>0</w:t>
            </w:r>
          </w:p>
        </w:tc>
        <w:tc>
          <w:tcPr>
            <w:tcW w:w="1843" w:type="dxa"/>
            <w:tcBorders>
              <w:top w:val="single" w:sz="4" w:space="0" w:color="auto"/>
              <w:bottom w:val="single" w:sz="4" w:space="0" w:color="auto"/>
            </w:tcBorders>
            <w:vAlign w:val="center"/>
          </w:tcPr>
          <w:p w14:paraId="78A0875F" w14:textId="77777777" w:rsidR="00F601E7" w:rsidRPr="005638F5" w:rsidRDefault="00F601E7" w:rsidP="00B808CF">
            <w:pPr>
              <w:jc w:val="center"/>
              <w:rPr>
                <w:rFonts w:ascii="Cambria" w:hAnsi="Cambria"/>
                <w:sz w:val="20"/>
                <w:szCs w:val="20"/>
              </w:rPr>
            </w:pPr>
            <w:r w:rsidRPr="005638F5">
              <w:rPr>
                <w:rFonts w:ascii="Cambria" w:hAnsi="Cambria"/>
                <w:sz w:val="20"/>
                <w:szCs w:val="20"/>
              </w:rPr>
              <w:t>6</w:t>
            </w:r>
          </w:p>
        </w:tc>
        <w:tc>
          <w:tcPr>
            <w:tcW w:w="1701" w:type="dxa"/>
            <w:tcBorders>
              <w:top w:val="single" w:sz="4" w:space="0" w:color="auto"/>
              <w:bottom w:val="single" w:sz="4" w:space="0" w:color="auto"/>
            </w:tcBorders>
            <w:vAlign w:val="center"/>
          </w:tcPr>
          <w:p w14:paraId="417635E2" w14:textId="77777777" w:rsidR="00F601E7" w:rsidRPr="005638F5" w:rsidRDefault="00F601E7" w:rsidP="00B808CF">
            <w:pPr>
              <w:jc w:val="center"/>
              <w:rPr>
                <w:rFonts w:ascii="Cambria" w:hAnsi="Cambria"/>
                <w:sz w:val="20"/>
                <w:szCs w:val="20"/>
              </w:rPr>
            </w:pPr>
            <w:r>
              <w:rPr>
                <w:rFonts w:ascii="Cambria" w:hAnsi="Cambria"/>
                <w:sz w:val="20"/>
                <w:szCs w:val="20"/>
              </w:rPr>
              <w:t>1</w:t>
            </w:r>
          </w:p>
        </w:tc>
      </w:tr>
      <w:tr w:rsidR="00F601E7" w14:paraId="15CA64BF" w14:textId="77777777" w:rsidTr="00B808CF">
        <w:tc>
          <w:tcPr>
            <w:tcW w:w="1701" w:type="dxa"/>
            <w:tcBorders>
              <w:top w:val="single" w:sz="4" w:space="0" w:color="auto"/>
              <w:bottom w:val="single" w:sz="4" w:space="0" w:color="auto"/>
            </w:tcBorders>
            <w:vAlign w:val="center"/>
          </w:tcPr>
          <w:p w14:paraId="1DBA6474" w14:textId="77777777" w:rsidR="00F601E7" w:rsidRPr="005638F5" w:rsidRDefault="00F601E7" w:rsidP="00B808CF">
            <w:pPr>
              <w:jc w:val="center"/>
              <w:rPr>
                <w:rFonts w:ascii="Cambria" w:hAnsi="Cambria"/>
                <w:b/>
                <w:sz w:val="20"/>
                <w:szCs w:val="20"/>
              </w:rPr>
            </w:pPr>
            <w:r w:rsidRPr="005638F5">
              <w:rPr>
                <w:rFonts w:ascii="Cambria" w:hAnsi="Cambria"/>
                <w:b/>
                <w:sz w:val="20"/>
                <w:szCs w:val="20"/>
              </w:rPr>
              <w:t>UART</w:t>
            </w:r>
          </w:p>
        </w:tc>
        <w:tc>
          <w:tcPr>
            <w:tcW w:w="2127" w:type="dxa"/>
            <w:tcBorders>
              <w:top w:val="single" w:sz="4" w:space="0" w:color="auto"/>
              <w:bottom w:val="single" w:sz="4" w:space="0" w:color="auto"/>
            </w:tcBorders>
            <w:vAlign w:val="center"/>
          </w:tcPr>
          <w:p w14:paraId="12AC73CF" w14:textId="77777777" w:rsidR="00F601E7" w:rsidRPr="005638F5" w:rsidRDefault="00F601E7" w:rsidP="00B808CF">
            <w:pPr>
              <w:jc w:val="center"/>
              <w:rPr>
                <w:rFonts w:ascii="Cambria" w:hAnsi="Cambria"/>
                <w:sz w:val="20"/>
                <w:szCs w:val="20"/>
              </w:rPr>
            </w:pPr>
            <w:r w:rsidRPr="005638F5">
              <w:rPr>
                <w:rFonts w:ascii="Cambria" w:hAnsi="Cambria"/>
                <w:sz w:val="20"/>
                <w:szCs w:val="20"/>
              </w:rPr>
              <w:t>3</w:t>
            </w:r>
          </w:p>
        </w:tc>
        <w:tc>
          <w:tcPr>
            <w:tcW w:w="1842" w:type="dxa"/>
            <w:tcBorders>
              <w:top w:val="single" w:sz="4" w:space="0" w:color="auto"/>
              <w:bottom w:val="single" w:sz="4" w:space="0" w:color="auto"/>
            </w:tcBorders>
            <w:vAlign w:val="center"/>
          </w:tcPr>
          <w:p w14:paraId="7CE3927B" w14:textId="77777777" w:rsidR="00F601E7" w:rsidRPr="005638F5" w:rsidRDefault="00F601E7" w:rsidP="00B808CF">
            <w:pPr>
              <w:jc w:val="center"/>
              <w:rPr>
                <w:rFonts w:ascii="Cambria" w:hAnsi="Cambria"/>
                <w:sz w:val="20"/>
                <w:szCs w:val="20"/>
              </w:rPr>
            </w:pPr>
            <w:r w:rsidRPr="005638F5">
              <w:rPr>
                <w:rFonts w:ascii="Cambria" w:hAnsi="Cambria"/>
                <w:sz w:val="20"/>
                <w:szCs w:val="20"/>
              </w:rPr>
              <w:t>1</w:t>
            </w:r>
          </w:p>
        </w:tc>
        <w:tc>
          <w:tcPr>
            <w:tcW w:w="1843" w:type="dxa"/>
            <w:tcBorders>
              <w:top w:val="single" w:sz="4" w:space="0" w:color="auto"/>
              <w:bottom w:val="single" w:sz="4" w:space="0" w:color="auto"/>
            </w:tcBorders>
            <w:vAlign w:val="center"/>
          </w:tcPr>
          <w:p w14:paraId="4177610F" w14:textId="77777777" w:rsidR="00F601E7" w:rsidRPr="005638F5" w:rsidRDefault="00F601E7" w:rsidP="00B808CF">
            <w:pPr>
              <w:jc w:val="center"/>
              <w:rPr>
                <w:rFonts w:ascii="Cambria" w:hAnsi="Cambria"/>
                <w:sz w:val="20"/>
                <w:szCs w:val="20"/>
              </w:rPr>
            </w:pPr>
            <w:r w:rsidRPr="005638F5">
              <w:rPr>
                <w:rFonts w:ascii="Cambria" w:hAnsi="Cambria"/>
                <w:sz w:val="20"/>
                <w:szCs w:val="20"/>
              </w:rPr>
              <w:t>7</w:t>
            </w:r>
          </w:p>
        </w:tc>
        <w:tc>
          <w:tcPr>
            <w:tcW w:w="1701" w:type="dxa"/>
            <w:tcBorders>
              <w:top w:val="single" w:sz="4" w:space="0" w:color="auto"/>
              <w:bottom w:val="single" w:sz="4" w:space="0" w:color="auto"/>
            </w:tcBorders>
            <w:vAlign w:val="center"/>
          </w:tcPr>
          <w:p w14:paraId="1BD35757" w14:textId="77777777" w:rsidR="00F601E7" w:rsidRPr="005638F5" w:rsidRDefault="00F601E7" w:rsidP="00B808CF">
            <w:pPr>
              <w:jc w:val="center"/>
              <w:rPr>
                <w:rFonts w:ascii="Cambria" w:hAnsi="Cambria"/>
                <w:sz w:val="20"/>
                <w:szCs w:val="20"/>
              </w:rPr>
            </w:pPr>
            <w:r>
              <w:rPr>
                <w:rFonts w:ascii="Cambria" w:hAnsi="Cambria"/>
                <w:sz w:val="20"/>
                <w:szCs w:val="20"/>
              </w:rPr>
              <w:t>2</w:t>
            </w:r>
          </w:p>
        </w:tc>
      </w:tr>
    </w:tbl>
    <w:p w14:paraId="1087B973" w14:textId="77777777" w:rsidR="00F601E7" w:rsidRDefault="00F601E7" w:rsidP="00F601E7">
      <w:pPr>
        <w:rPr>
          <w:rFonts w:ascii="Cambria" w:hAnsi="Cambria"/>
        </w:rPr>
      </w:pPr>
    </w:p>
    <w:p w14:paraId="33DA8EA0" w14:textId="77777777" w:rsidR="00C061D4" w:rsidRPr="00C061D4" w:rsidRDefault="00C061D4" w:rsidP="00C061D4">
      <w:pPr>
        <w:jc w:val="both"/>
        <w:rPr>
          <w:rFonts w:ascii="Cambria" w:hAnsi="Cambria"/>
        </w:rPr>
      </w:pPr>
    </w:p>
    <w:p w14:paraId="3557D499" w14:textId="5ABF5119" w:rsidR="0086763B" w:rsidRPr="00C061D4" w:rsidRDefault="00C061D4" w:rsidP="00C061D4">
      <w:pPr>
        <w:pStyle w:val="PargrafodaLista"/>
        <w:numPr>
          <w:ilvl w:val="0"/>
          <w:numId w:val="1"/>
        </w:numPr>
        <w:jc w:val="both"/>
        <w:rPr>
          <w:rFonts w:ascii="Cambria" w:hAnsi="Cambria"/>
          <w:b/>
          <w:sz w:val="28"/>
          <w:szCs w:val="28"/>
        </w:rPr>
      </w:pPr>
      <w:r w:rsidRPr="00C061D4">
        <w:rPr>
          <w:rFonts w:ascii="Cambria" w:hAnsi="Cambria"/>
          <w:b/>
          <w:sz w:val="28"/>
          <w:szCs w:val="28"/>
        </w:rPr>
        <w:t>REFERENCIAS BIBLIOGRAFICAS</w:t>
      </w:r>
    </w:p>
    <w:p w14:paraId="577156E1" w14:textId="77777777" w:rsidR="00717ADF" w:rsidRPr="00502927" w:rsidRDefault="007D5118" w:rsidP="00A04015">
      <w:pPr>
        <w:jc w:val="both"/>
        <w:rPr>
          <w:rFonts w:ascii="Cambria" w:hAnsi="Cambria"/>
          <w:lang w:val="en-US"/>
        </w:rPr>
      </w:pPr>
      <w:r w:rsidRPr="00502927">
        <w:rPr>
          <w:rFonts w:ascii="Cambria" w:hAnsi="Cambria"/>
          <w:lang w:val="en-US"/>
        </w:rPr>
        <w:t>ROGAN SHIMMIN. Editor. </w:t>
      </w:r>
      <w:r w:rsidRPr="00C061D4">
        <w:rPr>
          <w:rFonts w:ascii="Cambria" w:hAnsi="Cambria"/>
          <w:b/>
          <w:lang w:val="en-US"/>
        </w:rPr>
        <w:t>Small Spacecraft Technology State of the Art.</w:t>
      </w:r>
      <w:r w:rsidRPr="00C061D4">
        <w:rPr>
          <w:rFonts w:ascii="Cambria" w:hAnsi="Cambria"/>
          <w:lang w:val="en-US"/>
        </w:rPr>
        <w:t xml:space="preserve"> </w:t>
      </w:r>
      <w:r w:rsidRPr="00C061D4">
        <w:rPr>
          <w:rFonts w:ascii="Cambria" w:hAnsi="Cambria"/>
        </w:rPr>
        <w:t xml:space="preserve">California: NASA Ames Research Center, 2015. 17 p. Disponível em: &lt;https://www.nasa.gov/sites/default/files/atoms/files/small_spacecraft_technology_state_of_the_art_2015_tagged.pdf&gt;. </w:t>
      </w:r>
      <w:r w:rsidRPr="00502927">
        <w:rPr>
          <w:rFonts w:ascii="Cambria" w:hAnsi="Cambria"/>
          <w:lang w:val="en-US"/>
        </w:rPr>
        <w:t>Acesso em: 25 mar. 2018.</w:t>
      </w:r>
    </w:p>
    <w:p w14:paraId="4BAB358E" w14:textId="77777777" w:rsidR="00717ADF" w:rsidRPr="00C061D4" w:rsidRDefault="00717ADF" w:rsidP="00A04015">
      <w:pPr>
        <w:jc w:val="both"/>
        <w:rPr>
          <w:rFonts w:ascii="Cambria" w:hAnsi="Cambria"/>
        </w:rPr>
      </w:pPr>
      <w:r w:rsidRPr="00502927">
        <w:rPr>
          <w:rFonts w:ascii="Cambria" w:hAnsi="Cambria"/>
          <w:lang w:val="en-US"/>
        </w:rPr>
        <w:t>DEEPAK, Ravi A.; TWIGGS, Robert J. </w:t>
      </w:r>
      <w:r w:rsidRPr="00502927">
        <w:rPr>
          <w:rFonts w:ascii="Cambria" w:hAnsi="Cambria"/>
          <w:b/>
          <w:lang w:val="en-US"/>
        </w:rPr>
        <w:t>Thinking Out of the Box: Space Science Beyond the CubeSat.</w:t>
      </w:r>
      <w:r w:rsidRPr="00502927">
        <w:rPr>
          <w:rFonts w:ascii="Cambria" w:hAnsi="Cambria"/>
          <w:lang w:val="en-US"/>
        </w:rPr>
        <w:t xml:space="preserve"> 1. ed. Virginia - US: Journal Of Small Satellites, 2012. 3 e 4 p. v. 1. </w:t>
      </w:r>
      <w:r w:rsidRPr="00C061D4">
        <w:rPr>
          <w:rFonts w:ascii="Cambria" w:hAnsi="Cambria"/>
        </w:rPr>
        <w:t>Disponível em: &lt;http://www.jossonline.com/wp-content/uploads/2014/12/0101-Thinking-Outside-the-Box-Space-Science-Beyond-the-CubeSat.pdf&gt;. Acesso em: 25 mar. 2018.</w:t>
      </w:r>
    </w:p>
    <w:p w14:paraId="05BBC6BB" w14:textId="77777777" w:rsidR="00D01449" w:rsidRPr="00502927" w:rsidRDefault="00D01449" w:rsidP="00A04015">
      <w:pPr>
        <w:jc w:val="both"/>
        <w:rPr>
          <w:rFonts w:ascii="Cambria" w:hAnsi="Cambria"/>
          <w:lang w:val="en-US"/>
        </w:rPr>
      </w:pPr>
      <w:r w:rsidRPr="00C061D4">
        <w:rPr>
          <w:rFonts w:ascii="Cambria" w:hAnsi="Cambria"/>
        </w:rPr>
        <w:t>FIORAVANTI, Carlos . </w:t>
      </w:r>
      <w:r w:rsidRPr="00C061D4">
        <w:rPr>
          <w:rFonts w:ascii="Cambria" w:hAnsi="Cambria"/>
          <w:b/>
        </w:rPr>
        <w:t>Uma escola em órbita</w:t>
      </w:r>
      <w:r w:rsidRPr="00C061D4">
        <w:rPr>
          <w:rFonts w:ascii="Cambria" w:hAnsi="Cambria"/>
        </w:rPr>
        <w:t xml:space="preserve">: Professores e estudantes constroem satélite no litoral paulista. São Paulo: FAPESP, 2011. 1 p. Disponível em: &lt;http://revistapesquisa.fapesp.br/wp-content/uploads/2012/05/040-041-180.pdf&gt;. </w:t>
      </w:r>
      <w:r w:rsidRPr="00502927">
        <w:rPr>
          <w:rFonts w:ascii="Cambria" w:hAnsi="Cambria"/>
          <w:lang w:val="en-US"/>
        </w:rPr>
        <w:t>Acesso em: 25 mar. 2018.</w:t>
      </w:r>
    </w:p>
    <w:p w14:paraId="642905C5" w14:textId="77777777" w:rsidR="00B83B32" w:rsidRPr="00502927" w:rsidRDefault="004E5A62" w:rsidP="004E5A62">
      <w:pPr>
        <w:jc w:val="both"/>
        <w:rPr>
          <w:rFonts w:ascii="Cambria" w:hAnsi="Cambria"/>
          <w:lang w:val="en-US"/>
        </w:rPr>
      </w:pPr>
      <w:r w:rsidRPr="00502927">
        <w:rPr>
          <w:rFonts w:ascii="Cambria" w:hAnsi="Cambria"/>
          <w:lang w:val="en-US"/>
        </w:rPr>
        <w:t>MABROUK, Elizabeth . </w:t>
      </w:r>
      <w:r w:rsidRPr="00502927">
        <w:rPr>
          <w:rFonts w:ascii="Cambria" w:hAnsi="Cambria"/>
          <w:b/>
          <w:lang w:val="en-US"/>
        </w:rPr>
        <w:t>What are SmallSats and CubeSats?</w:t>
      </w:r>
      <w:r w:rsidRPr="00502927">
        <w:rPr>
          <w:rFonts w:ascii="Cambria" w:hAnsi="Cambria"/>
          <w:lang w:val="en-US"/>
        </w:rPr>
        <w:t xml:space="preserve">. </w:t>
      </w:r>
      <w:r w:rsidRPr="00C061D4">
        <w:rPr>
          <w:rFonts w:ascii="Cambria" w:hAnsi="Cambria"/>
        </w:rPr>
        <w:t xml:space="preserve">Disponível em: &lt;https://www.nasa.gov/content/what-are-smallsats-and-cubesats&gt;. </w:t>
      </w:r>
      <w:r w:rsidRPr="00502927">
        <w:rPr>
          <w:rFonts w:ascii="Cambria" w:hAnsi="Cambria"/>
          <w:lang w:val="en-US"/>
        </w:rPr>
        <w:t>Acesso em: 25 mar. 2018.</w:t>
      </w:r>
      <w:r w:rsidR="00EF6FB0" w:rsidRPr="00502927">
        <w:rPr>
          <w:rFonts w:ascii="Cambria" w:hAnsi="Cambria"/>
          <w:b/>
          <w:lang w:val="en-US"/>
        </w:rPr>
        <w:br/>
      </w:r>
    </w:p>
    <w:p w14:paraId="4C88A789" w14:textId="2BA14035" w:rsidR="00FB01B3" w:rsidRPr="00502927" w:rsidRDefault="00FB01B3" w:rsidP="004E5A62">
      <w:pPr>
        <w:jc w:val="both"/>
        <w:rPr>
          <w:rFonts w:ascii="Cambria" w:hAnsi="Cambria"/>
          <w:lang w:val="en-US"/>
        </w:rPr>
      </w:pPr>
      <w:r w:rsidRPr="00502927">
        <w:rPr>
          <w:rFonts w:ascii="Cambria" w:hAnsi="Cambria"/>
          <w:lang w:val="en-US"/>
        </w:rPr>
        <w:t>TWIGGS, Robert. Origin of CubeSat. In: HELVAJIAN, HENRY ; JANSON, SIEGFRIED W. . </w:t>
      </w:r>
      <w:r w:rsidRPr="00502927">
        <w:rPr>
          <w:rFonts w:ascii="Cambria" w:hAnsi="Cambria"/>
          <w:b/>
          <w:lang w:val="en-US"/>
        </w:rPr>
        <w:t>SMALL SATELLITES: PAST, PRESENT, AND FUTURE.</w:t>
      </w:r>
      <w:r w:rsidRPr="00502927">
        <w:rPr>
          <w:rFonts w:ascii="Cambria" w:hAnsi="Cambria"/>
          <w:lang w:val="en-US"/>
        </w:rPr>
        <w:t xml:space="preserve"> 1. ed. El Segundo, CA: He Aerospace Corporation, 2008. p. 151-153. v. 1.</w:t>
      </w:r>
    </w:p>
    <w:p w14:paraId="66EBBE49" w14:textId="1264B25F" w:rsidR="00E11F1C" w:rsidRPr="00ED45CB" w:rsidRDefault="009D53C1" w:rsidP="008D4579">
      <w:pPr>
        <w:jc w:val="both"/>
        <w:rPr>
          <w:rFonts w:ascii="Cambria" w:hAnsi="Cambria"/>
          <w:lang w:val="en-US"/>
        </w:rPr>
      </w:pPr>
      <w:r w:rsidRPr="00ED45CB">
        <w:rPr>
          <w:rFonts w:ascii="Cambria" w:hAnsi="Cambria"/>
          <w:lang w:val="en-US"/>
        </w:rPr>
        <w:lastRenderedPageBreak/>
        <w:t>GLOBALSTAR, L.P. EMPRESA. </w:t>
      </w:r>
      <w:r w:rsidRPr="00ED45CB">
        <w:rPr>
          <w:rFonts w:ascii="Cambria" w:hAnsi="Cambria"/>
          <w:b/>
          <w:lang w:val="en-US"/>
        </w:rPr>
        <w:t>Description of the Globalstar System.</w:t>
      </w:r>
      <w:r w:rsidRPr="00ED45CB">
        <w:rPr>
          <w:rFonts w:ascii="Cambria" w:hAnsi="Cambria"/>
          <w:lang w:val="en-US"/>
        </w:rPr>
        <w:t xml:space="preserve"> California: [s.n.], 2000. 47 p. Disponível em: &lt;https://gsproductsupport.files.wordpress.com/2009/04/description-of-the-globalstar-system-gs-tr-94-0001-rev-e-2000-12-07.pdf&gt;. Acesso em: 31 mar. 2018.</w:t>
      </w:r>
    </w:p>
    <w:p w14:paraId="34910A11" w14:textId="6EE8E8DB" w:rsidR="004035C5" w:rsidRDefault="00ED45CB" w:rsidP="004035C5">
      <w:pPr>
        <w:jc w:val="both"/>
        <w:rPr>
          <w:rFonts w:ascii="Cambria" w:hAnsi="Cambria"/>
          <w:lang w:val="en-US"/>
        </w:rPr>
      </w:pPr>
      <w:r w:rsidRPr="00ED45CB">
        <w:rPr>
          <w:rFonts w:ascii="Cambria" w:hAnsi="Cambria"/>
          <w:lang w:val="en-US"/>
        </w:rPr>
        <w:t>GRIFFITHS, Ian Michael. </w:t>
      </w:r>
      <w:r w:rsidRPr="00CA3B61">
        <w:rPr>
          <w:rFonts w:ascii="Cambria" w:hAnsi="Cambria"/>
          <w:b/>
          <w:lang w:val="en-US"/>
        </w:rPr>
        <w:t>Location techniques for pico- and femto-satellites, with applications for space weather monitoring.</w:t>
      </w:r>
      <w:r w:rsidRPr="00ED45CB">
        <w:rPr>
          <w:rFonts w:ascii="Cambria" w:hAnsi="Cambria"/>
          <w:lang w:val="en-US"/>
        </w:rPr>
        <w:t xml:space="preserve"> 2017. 142 p. Thesis ( Doctor of Philosophy)- University of Leicester, England, 2017. Disponível em: &lt;https://lra.le.ac.uk/bitstream/2381/39973/1/2017GriffithsIMPhD.pdf&gt;. Acesso em: 31 mar. 2018.</w:t>
      </w:r>
    </w:p>
    <w:p w14:paraId="783A06CD" w14:textId="6523E061" w:rsidR="004035C5" w:rsidRDefault="004035C5" w:rsidP="004035C5">
      <w:pPr>
        <w:jc w:val="both"/>
        <w:rPr>
          <w:rFonts w:ascii="Cambria" w:hAnsi="Cambria"/>
          <w:lang w:val="en-US"/>
        </w:rPr>
      </w:pPr>
    </w:p>
    <w:p w14:paraId="2C63D776" w14:textId="26A884ED" w:rsidR="004035C5" w:rsidRDefault="004035C5" w:rsidP="004035C5">
      <w:pPr>
        <w:jc w:val="both"/>
        <w:rPr>
          <w:rFonts w:ascii="Cambria" w:hAnsi="Cambria"/>
          <w:lang w:val="en-US"/>
        </w:rPr>
      </w:pPr>
      <w:r w:rsidRPr="004035C5">
        <w:rPr>
          <w:rFonts w:ascii="Cambria" w:hAnsi="Cambria"/>
          <w:lang w:val="en-US"/>
        </w:rPr>
        <w:t>WEKERLE, Timo ; FILHO, José Bezerra Pessoa . </w:t>
      </w:r>
      <w:r w:rsidRPr="004035C5">
        <w:rPr>
          <w:rFonts w:ascii="Cambria" w:hAnsi="Cambria"/>
          <w:b/>
          <w:lang w:val="en-US"/>
        </w:rPr>
        <w:t>Status and Trends of Smallsats and Their Launch Vehicles — An Up-to-date Review</w:t>
      </w:r>
      <w:r w:rsidRPr="004035C5">
        <w:rPr>
          <w:rFonts w:ascii="Cambria" w:hAnsi="Cambria"/>
          <w:lang w:val="en-US"/>
        </w:rPr>
        <w:t>. São Paulo: Departamento de Ciência e Tecnologia Aeroespacial - Instituto Tecnológico de Aeronáutica - Divisão de Engenharia Aeronáutica e Mecânica, 2017. 18 p. v. 3. Disponível em: &lt;http://www.scielo.br/pdf/jatm/v9n3/2175-9146-jatm-09-03-0269.pdf&gt;. Acesso em: 31 mar. 2018.</w:t>
      </w:r>
    </w:p>
    <w:p w14:paraId="2A004952" w14:textId="44DBE1DC" w:rsidR="000B6317" w:rsidRPr="00D25DC0" w:rsidRDefault="000B6317" w:rsidP="004035C5">
      <w:pPr>
        <w:jc w:val="both"/>
        <w:rPr>
          <w:rFonts w:ascii="Cambria" w:hAnsi="Cambria"/>
          <w:lang w:val="en-US"/>
        </w:rPr>
      </w:pPr>
      <w:r w:rsidRPr="00D25DC0">
        <w:rPr>
          <w:rFonts w:ascii="Cambria" w:hAnsi="Cambria"/>
          <w:lang w:val="en-US"/>
        </w:rPr>
        <w:t>BARNHART, David J. .</w:t>
      </w:r>
      <w:r w:rsidRPr="00D25DC0">
        <w:rPr>
          <w:rFonts w:ascii="Cambria" w:hAnsi="Cambria"/>
          <w:b/>
          <w:lang w:val="en-US"/>
        </w:rPr>
        <w:t>Very Small Satellite Design for Space Sensor Networks .</w:t>
      </w:r>
      <w:r w:rsidRPr="00D25DC0">
        <w:rPr>
          <w:rFonts w:ascii="Cambria" w:hAnsi="Cambria"/>
          <w:lang w:val="en-US"/>
        </w:rPr>
        <w:t xml:space="preserve"> United Kingdom: Faculty Of Engineering And Physical Sciences - Faculty Of Engineering And Physical Sciences, 2008. 233 p. Disponível em: &lt;http://www.dtic.mil/dtic/tr/fulltext/u2/a486188.pdf&gt;. Acesso em: 31 mar. 2018.</w:t>
      </w:r>
    </w:p>
    <w:p w14:paraId="26097D04" w14:textId="014F97AE" w:rsidR="004035C5" w:rsidRDefault="00D25DC0" w:rsidP="004035C5">
      <w:pPr>
        <w:jc w:val="both"/>
        <w:rPr>
          <w:rFonts w:ascii="Cambria" w:hAnsi="Cambria"/>
          <w:lang w:val="en-US"/>
        </w:rPr>
      </w:pPr>
      <w:r w:rsidRPr="00D25DC0">
        <w:rPr>
          <w:rFonts w:ascii="Cambria" w:hAnsi="Cambria"/>
          <w:lang w:val="en-US"/>
        </w:rPr>
        <w:t xml:space="preserve">CUBESAT PROGRAM. </w:t>
      </w:r>
      <w:r w:rsidRPr="00D25DC0">
        <w:rPr>
          <w:rFonts w:ascii="Cambria" w:hAnsi="Cambria"/>
          <w:b/>
          <w:lang w:val="en-US"/>
        </w:rPr>
        <w:t>CubeSat Design Specification Rev. 13.</w:t>
      </w:r>
      <w:r w:rsidRPr="00D25DC0">
        <w:rPr>
          <w:rFonts w:ascii="Cambria" w:hAnsi="Cambria"/>
          <w:lang w:val="en-US"/>
        </w:rPr>
        <w:t xml:space="preserve"> California: California Polytechnic, 2014. 42 p. Disponível em: &lt;https://static1.squarespace.com/static/5418c831e4b0fa4ecac1bacd/t/56e9b62337013b6c063a655a/1458157095454/cds_rev13_final2.pdf&gt;. Acesso em: 31 mar. 2018.</w:t>
      </w:r>
    </w:p>
    <w:p w14:paraId="657AA92D" w14:textId="2DB921AE" w:rsidR="00D25DC0" w:rsidRDefault="00D25DC0" w:rsidP="004035C5">
      <w:pPr>
        <w:jc w:val="both"/>
        <w:rPr>
          <w:rFonts w:ascii="Cambria" w:hAnsi="Cambria"/>
          <w:lang w:val="en-US"/>
        </w:rPr>
      </w:pPr>
    </w:p>
    <w:p w14:paraId="324DD898" w14:textId="6F7B0486" w:rsidR="00D25DC0" w:rsidRDefault="00D25DC0" w:rsidP="004035C5">
      <w:pPr>
        <w:jc w:val="both"/>
        <w:rPr>
          <w:rFonts w:ascii="Cambria" w:hAnsi="Cambria"/>
          <w:lang w:val="en-US"/>
        </w:rPr>
      </w:pPr>
    </w:p>
    <w:p w14:paraId="5D69898E" w14:textId="77777777" w:rsidR="00D25DC0" w:rsidRPr="00502927" w:rsidRDefault="00D25DC0" w:rsidP="004035C5">
      <w:pPr>
        <w:jc w:val="both"/>
        <w:rPr>
          <w:rFonts w:ascii="Cambria" w:hAnsi="Cambria"/>
          <w:lang w:val="en-US"/>
        </w:rPr>
      </w:pPr>
    </w:p>
    <w:p w14:paraId="0FCD33C3" w14:textId="77777777" w:rsidR="00350A62" w:rsidRPr="00C061D4" w:rsidRDefault="00350A62" w:rsidP="00350A62">
      <w:pPr>
        <w:jc w:val="both"/>
        <w:rPr>
          <w:rFonts w:ascii="Cambria" w:hAnsi="Cambria"/>
        </w:rPr>
      </w:pPr>
      <w:r w:rsidRPr="00C061D4">
        <w:rPr>
          <w:rFonts w:ascii="Cambria" w:hAnsi="Cambria"/>
        </w:rPr>
        <w:t xml:space="preserve">Tema: radiance </w:t>
      </w:r>
    </w:p>
    <w:p w14:paraId="4E478213" w14:textId="77777777" w:rsidR="00350A62" w:rsidRPr="00C061D4" w:rsidRDefault="00350A62" w:rsidP="00350A62">
      <w:pPr>
        <w:jc w:val="both"/>
        <w:rPr>
          <w:rFonts w:ascii="Cambria" w:hAnsi="Cambria"/>
        </w:rPr>
      </w:pPr>
      <w:r w:rsidRPr="00C061D4">
        <w:rPr>
          <w:rFonts w:ascii="Cambria" w:hAnsi="Cambria"/>
        </w:rPr>
        <w:t>https://www.nasa.gov/sites/default/files/atoms/files/small_spacecraft_technology_state_of_the_art_2015_tagged.pdf</w:t>
      </w:r>
    </w:p>
    <w:p w14:paraId="2856029F" w14:textId="77777777" w:rsidR="00350A62" w:rsidRPr="00350A62" w:rsidRDefault="00350A62" w:rsidP="00350A62">
      <w:pPr>
        <w:jc w:val="both"/>
        <w:rPr>
          <w:rFonts w:ascii="Cambria" w:hAnsi="Cambria"/>
          <w:lang w:val="en-US"/>
        </w:rPr>
      </w:pPr>
      <w:r w:rsidRPr="00350A62">
        <w:rPr>
          <w:rFonts w:ascii="Cambria" w:hAnsi="Cambria"/>
          <w:lang w:val="en-US"/>
        </w:rPr>
        <w:t>As the cubesat class of small spacecraft evolve into deep space and extended duration missions, there will be a need to address the impact of the space radiation environment. It will be necessary to develop radiation tolerant system designs to ensure mission reliability and success. Radiation hardened (rad-hard) hardware is available for a majority of the electronic components used in C&amp;DH systems. However rad-hard devices can be significantly more costly when compared to standard COTS components. Developers will undoubtedly utilize a combination of rad-hard components, COTS devices, shielding and mitigation techniques such as watchdog timers and memory scrubbing to reduce radiation environment impacts and improve system reliability in an effort to keep development costs as low as possible.</w:t>
      </w:r>
    </w:p>
    <w:p w14:paraId="1B26DC69" w14:textId="77777777" w:rsidR="00E11F1C" w:rsidRPr="00350A62" w:rsidRDefault="00E11F1C" w:rsidP="008D4579">
      <w:pPr>
        <w:jc w:val="both"/>
        <w:rPr>
          <w:rFonts w:ascii="Cambria" w:hAnsi="Cambria"/>
          <w:lang w:val="en-US"/>
        </w:rPr>
      </w:pPr>
    </w:p>
    <w:sectPr w:rsidR="00E11F1C" w:rsidRPr="00350A6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788234" w14:textId="77777777" w:rsidR="00DA3296" w:rsidRDefault="00DA3296" w:rsidP="006B029A">
      <w:pPr>
        <w:spacing w:after="0" w:line="240" w:lineRule="auto"/>
      </w:pPr>
      <w:r>
        <w:separator/>
      </w:r>
    </w:p>
  </w:endnote>
  <w:endnote w:type="continuationSeparator" w:id="0">
    <w:p w14:paraId="15DDFD09" w14:textId="77777777" w:rsidR="00DA3296" w:rsidRDefault="00DA3296" w:rsidP="006B02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MT">
    <w:altName w:val="Arial"/>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9F4C7E" w14:textId="77777777" w:rsidR="00DA3296" w:rsidRDefault="00DA3296" w:rsidP="006B029A">
      <w:pPr>
        <w:spacing w:after="0" w:line="240" w:lineRule="auto"/>
      </w:pPr>
      <w:r>
        <w:separator/>
      </w:r>
    </w:p>
  </w:footnote>
  <w:footnote w:type="continuationSeparator" w:id="0">
    <w:p w14:paraId="43F7C40F" w14:textId="77777777" w:rsidR="00DA3296" w:rsidRDefault="00DA3296" w:rsidP="006B02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33130B"/>
    <w:multiLevelType w:val="hybridMultilevel"/>
    <w:tmpl w:val="955ED584"/>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 w15:restartNumberingAfterBreak="0">
    <w:nsid w:val="3DEB26CA"/>
    <w:multiLevelType w:val="hybridMultilevel"/>
    <w:tmpl w:val="A3DCB2F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4A394433"/>
    <w:multiLevelType w:val="multilevel"/>
    <w:tmpl w:val="BDAE42D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sz w:val="22"/>
        <w:szCs w:val="22"/>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4B1B2141"/>
    <w:multiLevelType w:val="hybridMultilevel"/>
    <w:tmpl w:val="AA482F32"/>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4" w15:restartNumberingAfterBreak="0">
    <w:nsid w:val="6DA47C3B"/>
    <w:multiLevelType w:val="multilevel"/>
    <w:tmpl w:val="252A3DB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940"/>
    <w:rsid w:val="0000301E"/>
    <w:rsid w:val="00024AFF"/>
    <w:rsid w:val="00042375"/>
    <w:rsid w:val="00055CE2"/>
    <w:rsid w:val="00073810"/>
    <w:rsid w:val="00083D1D"/>
    <w:rsid w:val="0009116C"/>
    <w:rsid w:val="000A3697"/>
    <w:rsid w:val="000A7DF1"/>
    <w:rsid w:val="000B6317"/>
    <w:rsid w:val="000E5067"/>
    <w:rsid w:val="000F001C"/>
    <w:rsid w:val="00122EF6"/>
    <w:rsid w:val="00140AA8"/>
    <w:rsid w:val="00145219"/>
    <w:rsid w:val="00173C37"/>
    <w:rsid w:val="00183C8C"/>
    <w:rsid w:val="001B6A3D"/>
    <w:rsid w:val="001C4566"/>
    <w:rsid w:val="00214AF4"/>
    <w:rsid w:val="00230B70"/>
    <w:rsid w:val="002C3DB5"/>
    <w:rsid w:val="002F7239"/>
    <w:rsid w:val="00316609"/>
    <w:rsid w:val="00317702"/>
    <w:rsid w:val="00330DFC"/>
    <w:rsid w:val="00337718"/>
    <w:rsid w:val="00350A62"/>
    <w:rsid w:val="003570B3"/>
    <w:rsid w:val="00370DB8"/>
    <w:rsid w:val="00375DAF"/>
    <w:rsid w:val="003A3496"/>
    <w:rsid w:val="003A77B5"/>
    <w:rsid w:val="003B65B1"/>
    <w:rsid w:val="003C2FD3"/>
    <w:rsid w:val="003F73D0"/>
    <w:rsid w:val="004035C5"/>
    <w:rsid w:val="00412BEB"/>
    <w:rsid w:val="004264B4"/>
    <w:rsid w:val="004276BB"/>
    <w:rsid w:val="004429E5"/>
    <w:rsid w:val="00454333"/>
    <w:rsid w:val="004D0D0E"/>
    <w:rsid w:val="004E3788"/>
    <w:rsid w:val="004E5A62"/>
    <w:rsid w:val="00502927"/>
    <w:rsid w:val="00522A7C"/>
    <w:rsid w:val="00536E81"/>
    <w:rsid w:val="00542E2C"/>
    <w:rsid w:val="0055329D"/>
    <w:rsid w:val="00573D43"/>
    <w:rsid w:val="00581A9F"/>
    <w:rsid w:val="00590878"/>
    <w:rsid w:val="005A5BB4"/>
    <w:rsid w:val="005C02B4"/>
    <w:rsid w:val="005E30BE"/>
    <w:rsid w:val="006076BF"/>
    <w:rsid w:val="0062035E"/>
    <w:rsid w:val="006B029A"/>
    <w:rsid w:val="006D06C7"/>
    <w:rsid w:val="00717768"/>
    <w:rsid w:val="00717ADF"/>
    <w:rsid w:val="00724FEA"/>
    <w:rsid w:val="007C7A3A"/>
    <w:rsid w:val="007D5118"/>
    <w:rsid w:val="007E6C7C"/>
    <w:rsid w:val="008240A6"/>
    <w:rsid w:val="008259AE"/>
    <w:rsid w:val="00827D90"/>
    <w:rsid w:val="00831B17"/>
    <w:rsid w:val="00837F2E"/>
    <w:rsid w:val="00851F98"/>
    <w:rsid w:val="00853615"/>
    <w:rsid w:val="0086763B"/>
    <w:rsid w:val="00875EA3"/>
    <w:rsid w:val="00883A6B"/>
    <w:rsid w:val="008B7C98"/>
    <w:rsid w:val="008D4579"/>
    <w:rsid w:val="009456E8"/>
    <w:rsid w:val="00950DDF"/>
    <w:rsid w:val="0095496E"/>
    <w:rsid w:val="00970940"/>
    <w:rsid w:val="00986536"/>
    <w:rsid w:val="00992AEE"/>
    <w:rsid w:val="009B0A7A"/>
    <w:rsid w:val="009B63CF"/>
    <w:rsid w:val="009C3629"/>
    <w:rsid w:val="009D53C1"/>
    <w:rsid w:val="009D6A47"/>
    <w:rsid w:val="00A04015"/>
    <w:rsid w:val="00A24B6D"/>
    <w:rsid w:val="00A5614B"/>
    <w:rsid w:val="00A90619"/>
    <w:rsid w:val="00AB4D8A"/>
    <w:rsid w:val="00AE6F38"/>
    <w:rsid w:val="00AE755B"/>
    <w:rsid w:val="00B04BB8"/>
    <w:rsid w:val="00B21EAA"/>
    <w:rsid w:val="00B42A86"/>
    <w:rsid w:val="00B719CB"/>
    <w:rsid w:val="00B83B32"/>
    <w:rsid w:val="00BB1460"/>
    <w:rsid w:val="00BB741E"/>
    <w:rsid w:val="00BF2106"/>
    <w:rsid w:val="00C061D4"/>
    <w:rsid w:val="00C62D4B"/>
    <w:rsid w:val="00CA3B61"/>
    <w:rsid w:val="00CE75A1"/>
    <w:rsid w:val="00D01449"/>
    <w:rsid w:val="00D238ED"/>
    <w:rsid w:val="00D25DC0"/>
    <w:rsid w:val="00D27773"/>
    <w:rsid w:val="00D82D0E"/>
    <w:rsid w:val="00DA3296"/>
    <w:rsid w:val="00E06B69"/>
    <w:rsid w:val="00E10A36"/>
    <w:rsid w:val="00E11F1C"/>
    <w:rsid w:val="00E1351F"/>
    <w:rsid w:val="00E15A61"/>
    <w:rsid w:val="00E5422C"/>
    <w:rsid w:val="00E57822"/>
    <w:rsid w:val="00E603AF"/>
    <w:rsid w:val="00E7547D"/>
    <w:rsid w:val="00E825BE"/>
    <w:rsid w:val="00EB090F"/>
    <w:rsid w:val="00EC24A3"/>
    <w:rsid w:val="00ED24D3"/>
    <w:rsid w:val="00ED45CB"/>
    <w:rsid w:val="00ED67BA"/>
    <w:rsid w:val="00EE3F5C"/>
    <w:rsid w:val="00EF6FB0"/>
    <w:rsid w:val="00F17136"/>
    <w:rsid w:val="00F601E7"/>
    <w:rsid w:val="00F636BC"/>
    <w:rsid w:val="00F646D1"/>
    <w:rsid w:val="00F728BA"/>
    <w:rsid w:val="00FB01B3"/>
    <w:rsid w:val="00FB718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3ADA1"/>
  <w15:chartTrackingRefBased/>
  <w15:docId w15:val="{71AA7C96-1A94-4385-AD65-ACC5CA25D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3B65B1"/>
    <w:pPr>
      <w:ind w:left="720"/>
      <w:contextualSpacing/>
    </w:pPr>
  </w:style>
  <w:style w:type="character" w:styleId="Hyperlink">
    <w:name w:val="Hyperlink"/>
    <w:basedOn w:val="Fontepargpadro"/>
    <w:uiPriority w:val="99"/>
    <w:unhideWhenUsed/>
    <w:rsid w:val="00B21EAA"/>
    <w:rPr>
      <w:color w:val="0563C1" w:themeColor="hyperlink"/>
      <w:u w:val="single"/>
    </w:rPr>
  </w:style>
  <w:style w:type="character" w:styleId="MenoPendente">
    <w:name w:val="Unresolved Mention"/>
    <w:basedOn w:val="Fontepargpadro"/>
    <w:uiPriority w:val="99"/>
    <w:semiHidden/>
    <w:unhideWhenUsed/>
    <w:rsid w:val="00B21EAA"/>
    <w:rPr>
      <w:color w:val="808080"/>
      <w:shd w:val="clear" w:color="auto" w:fill="E6E6E6"/>
    </w:rPr>
  </w:style>
  <w:style w:type="paragraph" w:styleId="Textodebalo">
    <w:name w:val="Balloon Text"/>
    <w:basedOn w:val="Normal"/>
    <w:link w:val="TextodebaloChar"/>
    <w:uiPriority w:val="99"/>
    <w:semiHidden/>
    <w:unhideWhenUsed/>
    <w:rsid w:val="00B83B32"/>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B83B32"/>
    <w:rPr>
      <w:rFonts w:ascii="Segoe UI" w:hAnsi="Segoe UI" w:cs="Segoe UI"/>
      <w:sz w:val="18"/>
      <w:szCs w:val="18"/>
    </w:rPr>
  </w:style>
  <w:style w:type="paragraph" w:styleId="Cabealho">
    <w:name w:val="header"/>
    <w:basedOn w:val="Normal"/>
    <w:link w:val="CabealhoChar"/>
    <w:uiPriority w:val="99"/>
    <w:unhideWhenUsed/>
    <w:rsid w:val="006B029A"/>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6B029A"/>
  </w:style>
  <w:style w:type="paragraph" w:styleId="Rodap">
    <w:name w:val="footer"/>
    <w:basedOn w:val="Normal"/>
    <w:link w:val="RodapChar"/>
    <w:uiPriority w:val="99"/>
    <w:unhideWhenUsed/>
    <w:rsid w:val="006B029A"/>
    <w:pPr>
      <w:tabs>
        <w:tab w:val="center" w:pos="4252"/>
        <w:tab w:val="right" w:pos="8504"/>
      </w:tabs>
      <w:spacing w:after="0" w:line="240" w:lineRule="auto"/>
    </w:pPr>
  </w:style>
  <w:style w:type="character" w:customStyle="1" w:styleId="RodapChar">
    <w:name w:val="Rodapé Char"/>
    <w:basedOn w:val="Fontepargpadro"/>
    <w:link w:val="Rodap"/>
    <w:uiPriority w:val="99"/>
    <w:rsid w:val="006B029A"/>
  </w:style>
  <w:style w:type="table" w:styleId="Tabelacomgrade">
    <w:name w:val="Table Grid"/>
    <w:basedOn w:val="Tabelanormal"/>
    <w:uiPriority w:val="39"/>
    <w:rsid w:val="00F601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9851962">
      <w:bodyDiv w:val="1"/>
      <w:marLeft w:val="0"/>
      <w:marRight w:val="0"/>
      <w:marTop w:val="0"/>
      <w:marBottom w:val="0"/>
      <w:divBdr>
        <w:top w:val="none" w:sz="0" w:space="0" w:color="auto"/>
        <w:left w:val="none" w:sz="0" w:space="0" w:color="auto"/>
        <w:bottom w:val="none" w:sz="0" w:space="0" w:color="auto"/>
        <w:right w:val="none" w:sz="0" w:space="0" w:color="auto"/>
      </w:divBdr>
      <w:divsChild>
        <w:div w:id="1627616110">
          <w:marLeft w:val="0"/>
          <w:marRight w:val="0"/>
          <w:marTop w:val="0"/>
          <w:marBottom w:val="150"/>
          <w:divBdr>
            <w:top w:val="none" w:sz="0" w:space="0" w:color="auto"/>
            <w:left w:val="none" w:sz="0" w:space="0" w:color="auto"/>
            <w:bottom w:val="none" w:sz="0" w:space="0" w:color="auto"/>
            <w:right w:val="none" w:sz="0" w:space="0" w:color="auto"/>
          </w:divBdr>
          <w:divsChild>
            <w:div w:id="1377968532">
              <w:marLeft w:val="0"/>
              <w:marRight w:val="0"/>
              <w:marTop w:val="0"/>
              <w:marBottom w:val="0"/>
              <w:divBdr>
                <w:top w:val="none" w:sz="0" w:space="0" w:color="auto"/>
                <w:left w:val="none" w:sz="0" w:space="0" w:color="auto"/>
                <w:bottom w:val="none" w:sz="0" w:space="0" w:color="auto"/>
                <w:right w:val="none" w:sz="0" w:space="0" w:color="auto"/>
              </w:divBdr>
            </w:div>
            <w:div w:id="1768187040">
              <w:marLeft w:val="0"/>
              <w:marRight w:val="0"/>
              <w:marTop w:val="0"/>
              <w:marBottom w:val="0"/>
              <w:divBdr>
                <w:top w:val="none" w:sz="0" w:space="0" w:color="auto"/>
                <w:left w:val="none" w:sz="0" w:space="0" w:color="auto"/>
                <w:bottom w:val="none" w:sz="0" w:space="0" w:color="auto"/>
                <w:right w:val="none" w:sz="0" w:space="0" w:color="auto"/>
              </w:divBdr>
              <w:divsChild>
                <w:div w:id="104097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071876">
          <w:marLeft w:val="0"/>
          <w:marRight w:val="0"/>
          <w:marTop w:val="0"/>
          <w:marBottom w:val="150"/>
          <w:divBdr>
            <w:top w:val="none" w:sz="0" w:space="0" w:color="auto"/>
            <w:left w:val="none" w:sz="0" w:space="0" w:color="auto"/>
            <w:bottom w:val="none" w:sz="0" w:space="0" w:color="auto"/>
            <w:right w:val="none" w:sz="0" w:space="0" w:color="auto"/>
          </w:divBdr>
          <w:divsChild>
            <w:div w:id="2063359095">
              <w:marLeft w:val="0"/>
              <w:marRight w:val="0"/>
              <w:marTop w:val="0"/>
              <w:marBottom w:val="0"/>
              <w:divBdr>
                <w:top w:val="none" w:sz="0" w:space="0" w:color="auto"/>
                <w:left w:val="none" w:sz="0" w:space="0" w:color="auto"/>
                <w:bottom w:val="none" w:sz="0" w:space="0" w:color="auto"/>
                <w:right w:val="none" w:sz="0" w:space="0" w:color="auto"/>
              </w:divBdr>
            </w:div>
            <w:div w:id="1387678222">
              <w:marLeft w:val="0"/>
              <w:marRight w:val="0"/>
              <w:marTop w:val="0"/>
              <w:marBottom w:val="0"/>
              <w:divBdr>
                <w:top w:val="none" w:sz="0" w:space="0" w:color="auto"/>
                <w:left w:val="none" w:sz="0" w:space="0" w:color="auto"/>
                <w:bottom w:val="none" w:sz="0" w:space="0" w:color="auto"/>
                <w:right w:val="none" w:sz="0" w:space="0" w:color="auto"/>
              </w:divBdr>
              <w:divsChild>
                <w:div w:id="174568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686505">
          <w:marLeft w:val="0"/>
          <w:marRight w:val="0"/>
          <w:marTop w:val="0"/>
          <w:marBottom w:val="150"/>
          <w:divBdr>
            <w:top w:val="none" w:sz="0" w:space="0" w:color="auto"/>
            <w:left w:val="none" w:sz="0" w:space="0" w:color="auto"/>
            <w:bottom w:val="none" w:sz="0" w:space="0" w:color="auto"/>
            <w:right w:val="none" w:sz="0" w:space="0" w:color="auto"/>
          </w:divBdr>
          <w:divsChild>
            <w:div w:id="389500735">
              <w:marLeft w:val="0"/>
              <w:marRight w:val="0"/>
              <w:marTop w:val="0"/>
              <w:marBottom w:val="0"/>
              <w:divBdr>
                <w:top w:val="none" w:sz="0" w:space="0" w:color="auto"/>
                <w:left w:val="none" w:sz="0" w:space="0" w:color="auto"/>
                <w:bottom w:val="none" w:sz="0" w:space="0" w:color="auto"/>
                <w:right w:val="none" w:sz="0" w:space="0" w:color="auto"/>
              </w:divBdr>
            </w:div>
            <w:div w:id="1969317632">
              <w:marLeft w:val="0"/>
              <w:marRight w:val="0"/>
              <w:marTop w:val="0"/>
              <w:marBottom w:val="0"/>
              <w:divBdr>
                <w:top w:val="none" w:sz="0" w:space="0" w:color="auto"/>
                <w:left w:val="none" w:sz="0" w:space="0" w:color="auto"/>
                <w:bottom w:val="none" w:sz="0" w:space="0" w:color="auto"/>
                <w:right w:val="none" w:sz="0" w:space="0" w:color="auto"/>
              </w:divBdr>
              <w:divsChild>
                <w:div w:id="90460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276156">
          <w:marLeft w:val="0"/>
          <w:marRight w:val="0"/>
          <w:marTop w:val="0"/>
          <w:marBottom w:val="150"/>
          <w:divBdr>
            <w:top w:val="none" w:sz="0" w:space="0" w:color="auto"/>
            <w:left w:val="none" w:sz="0" w:space="0" w:color="auto"/>
            <w:bottom w:val="none" w:sz="0" w:space="0" w:color="auto"/>
            <w:right w:val="none" w:sz="0" w:space="0" w:color="auto"/>
          </w:divBdr>
          <w:divsChild>
            <w:div w:id="733544650">
              <w:marLeft w:val="0"/>
              <w:marRight w:val="0"/>
              <w:marTop w:val="0"/>
              <w:marBottom w:val="0"/>
              <w:divBdr>
                <w:top w:val="none" w:sz="0" w:space="0" w:color="auto"/>
                <w:left w:val="none" w:sz="0" w:space="0" w:color="auto"/>
                <w:bottom w:val="none" w:sz="0" w:space="0" w:color="auto"/>
                <w:right w:val="none" w:sz="0" w:space="0" w:color="auto"/>
              </w:divBdr>
            </w:div>
            <w:div w:id="1071124161">
              <w:marLeft w:val="0"/>
              <w:marRight w:val="0"/>
              <w:marTop w:val="0"/>
              <w:marBottom w:val="0"/>
              <w:divBdr>
                <w:top w:val="none" w:sz="0" w:space="0" w:color="auto"/>
                <w:left w:val="none" w:sz="0" w:space="0" w:color="auto"/>
                <w:bottom w:val="none" w:sz="0" w:space="0" w:color="auto"/>
                <w:right w:val="none" w:sz="0" w:space="0" w:color="auto"/>
              </w:divBdr>
              <w:divsChild>
                <w:div w:id="131132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399575">
          <w:marLeft w:val="0"/>
          <w:marRight w:val="0"/>
          <w:marTop w:val="0"/>
          <w:marBottom w:val="150"/>
          <w:divBdr>
            <w:top w:val="none" w:sz="0" w:space="0" w:color="auto"/>
            <w:left w:val="none" w:sz="0" w:space="0" w:color="auto"/>
            <w:bottom w:val="none" w:sz="0" w:space="0" w:color="auto"/>
            <w:right w:val="none" w:sz="0" w:space="0" w:color="auto"/>
          </w:divBdr>
          <w:divsChild>
            <w:div w:id="367948278">
              <w:marLeft w:val="0"/>
              <w:marRight w:val="0"/>
              <w:marTop w:val="0"/>
              <w:marBottom w:val="0"/>
              <w:divBdr>
                <w:top w:val="none" w:sz="0" w:space="0" w:color="auto"/>
                <w:left w:val="none" w:sz="0" w:space="0" w:color="auto"/>
                <w:bottom w:val="none" w:sz="0" w:space="0" w:color="auto"/>
                <w:right w:val="none" w:sz="0" w:space="0" w:color="auto"/>
              </w:divBdr>
            </w:div>
            <w:div w:id="1360157845">
              <w:marLeft w:val="0"/>
              <w:marRight w:val="0"/>
              <w:marTop w:val="0"/>
              <w:marBottom w:val="0"/>
              <w:divBdr>
                <w:top w:val="none" w:sz="0" w:space="0" w:color="auto"/>
                <w:left w:val="none" w:sz="0" w:space="0" w:color="auto"/>
                <w:bottom w:val="none" w:sz="0" w:space="0" w:color="auto"/>
                <w:right w:val="none" w:sz="0" w:space="0" w:color="auto"/>
              </w:divBdr>
              <w:divsChild>
                <w:div w:id="27363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09298">
          <w:marLeft w:val="0"/>
          <w:marRight w:val="0"/>
          <w:marTop w:val="0"/>
          <w:marBottom w:val="150"/>
          <w:divBdr>
            <w:top w:val="none" w:sz="0" w:space="0" w:color="auto"/>
            <w:left w:val="none" w:sz="0" w:space="0" w:color="auto"/>
            <w:bottom w:val="none" w:sz="0" w:space="0" w:color="auto"/>
            <w:right w:val="none" w:sz="0" w:space="0" w:color="auto"/>
          </w:divBdr>
          <w:divsChild>
            <w:div w:id="646056370">
              <w:marLeft w:val="0"/>
              <w:marRight w:val="0"/>
              <w:marTop w:val="0"/>
              <w:marBottom w:val="0"/>
              <w:divBdr>
                <w:top w:val="none" w:sz="0" w:space="0" w:color="auto"/>
                <w:left w:val="none" w:sz="0" w:space="0" w:color="auto"/>
                <w:bottom w:val="none" w:sz="0" w:space="0" w:color="auto"/>
                <w:right w:val="none" w:sz="0" w:space="0" w:color="auto"/>
              </w:divBdr>
            </w:div>
            <w:div w:id="301469897">
              <w:marLeft w:val="0"/>
              <w:marRight w:val="0"/>
              <w:marTop w:val="0"/>
              <w:marBottom w:val="0"/>
              <w:divBdr>
                <w:top w:val="none" w:sz="0" w:space="0" w:color="auto"/>
                <w:left w:val="none" w:sz="0" w:space="0" w:color="auto"/>
                <w:bottom w:val="none" w:sz="0" w:space="0" w:color="auto"/>
                <w:right w:val="none" w:sz="0" w:space="0" w:color="auto"/>
              </w:divBdr>
              <w:divsChild>
                <w:div w:id="208116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094025">
          <w:marLeft w:val="0"/>
          <w:marRight w:val="0"/>
          <w:marTop w:val="0"/>
          <w:marBottom w:val="150"/>
          <w:divBdr>
            <w:top w:val="none" w:sz="0" w:space="0" w:color="auto"/>
            <w:left w:val="none" w:sz="0" w:space="0" w:color="auto"/>
            <w:bottom w:val="none" w:sz="0" w:space="0" w:color="auto"/>
            <w:right w:val="none" w:sz="0" w:space="0" w:color="auto"/>
          </w:divBdr>
          <w:divsChild>
            <w:div w:id="2064909750">
              <w:marLeft w:val="0"/>
              <w:marRight w:val="0"/>
              <w:marTop w:val="0"/>
              <w:marBottom w:val="0"/>
              <w:divBdr>
                <w:top w:val="none" w:sz="0" w:space="0" w:color="auto"/>
                <w:left w:val="none" w:sz="0" w:space="0" w:color="auto"/>
                <w:bottom w:val="none" w:sz="0" w:space="0" w:color="auto"/>
                <w:right w:val="none" w:sz="0" w:space="0" w:color="auto"/>
              </w:divBdr>
            </w:div>
            <w:div w:id="864752639">
              <w:marLeft w:val="0"/>
              <w:marRight w:val="0"/>
              <w:marTop w:val="0"/>
              <w:marBottom w:val="0"/>
              <w:divBdr>
                <w:top w:val="none" w:sz="0" w:space="0" w:color="auto"/>
                <w:left w:val="none" w:sz="0" w:space="0" w:color="auto"/>
                <w:bottom w:val="none" w:sz="0" w:space="0" w:color="auto"/>
                <w:right w:val="none" w:sz="0" w:space="0" w:color="auto"/>
              </w:divBdr>
              <w:divsChild>
                <w:div w:id="54769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583793">
      <w:bodyDiv w:val="1"/>
      <w:marLeft w:val="0"/>
      <w:marRight w:val="0"/>
      <w:marTop w:val="0"/>
      <w:marBottom w:val="0"/>
      <w:divBdr>
        <w:top w:val="none" w:sz="0" w:space="0" w:color="auto"/>
        <w:left w:val="none" w:sz="0" w:space="0" w:color="auto"/>
        <w:bottom w:val="none" w:sz="0" w:space="0" w:color="auto"/>
        <w:right w:val="none" w:sz="0" w:space="0" w:color="auto"/>
      </w:divBdr>
      <w:divsChild>
        <w:div w:id="2133284696">
          <w:marLeft w:val="0"/>
          <w:marRight w:val="0"/>
          <w:marTop w:val="0"/>
          <w:marBottom w:val="0"/>
          <w:divBdr>
            <w:top w:val="none" w:sz="0" w:space="0" w:color="auto"/>
            <w:left w:val="none" w:sz="0" w:space="0" w:color="auto"/>
            <w:bottom w:val="none" w:sz="0" w:space="0" w:color="auto"/>
            <w:right w:val="none" w:sz="0" w:space="0" w:color="auto"/>
          </w:divBdr>
        </w:div>
        <w:div w:id="1652711258">
          <w:marLeft w:val="0"/>
          <w:marRight w:val="0"/>
          <w:marTop w:val="0"/>
          <w:marBottom w:val="0"/>
          <w:divBdr>
            <w:top w:val="none" w:sz="0" w:space="0" w:color="auto"/>
            <w:left w:val="none" w:sz="0" w:space="0" w:color="auto"/>
            <w:bottom w:val="none" w:sz="0" w:space="0" w:color="auto"/>
            <w:right w:val="none" w:sz="0" w:space="0" w:color="auto"/>
          </w:divBdr>
        </w:div>
        <w:div w:id="393823415">
          <w:marLeft w:val="0"/>
          <w:marRight w:val="0"/>
          <w:marTop w:val="0"/>
          <w:marBottom w:val="0"/>
          <w:divBdr>
            <w:top w:val="none" w:sz="0" w:space="0" w:color="auto"/>
            <w:left w:val="none" w:sz="0" w:space="0" w:color="auto"/>
            <w:bottom w:val="none" w:sz="0" w:space="0" w:color="auto"/>
            <w:right w:val="none" w:sz="0" w:space="0" w:color="auto"/>
          </w:divBdr>
        </w:div>
        <w:div w:id="1311206173">
          <w:marLeft w:val="0"/>
          <w:marRight w:val="0"/>
          <w:marTop w:val="0"/>
          <w:marBottom w:val="0"/>
          <w:divBdr>
            <w:top w:val="none" w:sz="0" w:space="0" w:color="auto"/>
            <w:left w:val="none" w:sz="0" w:space="0" w:color="auto"/>
            <w:bottom w:val="none" w:sz="0" w:space="0" w:color="auto"/>
            <w:right w:val="none" w:sz="0" w:space="0" w:color="auto"/>
          </w:divBdr>
        </w:div>
        <w:div w:id="1719010138">
          <w:marLeft w:val="0"/>
          <w:marRight w:val="0"/>
          <w:marTop w:val="0"/>
          <w:marBottom w:val="0"/>
          <w:divBdr>
            <w:top w:val="none" w:sz="0" w:space="0" w:color="auto"/>
            <w:left w:val="none" w:sz="0" w:space="0" w:color="auto"/>
            <w:bottom w:val="none" w:sz="0" w:space="0" w:color="auto"/>
            <w:right w:val="none" w:sz="0" w:space="0" w:color="auto"/>
          </w:divBdr>
        </w:div>
        <w:div w:id="652223893">
          <w:marLeft w:val="0"/>
          <w:marRight w:val="0"/>
          <w:marTop w:val="0"/>
          <w:marBottom w:val="0"/>
          <w:divBdr>
            <w:top w:val="none" w:sz="0" w:space="0" w:color="auto"/>
            <w:left w:val="none" w:sz="0" w:space="0" w:color="auto"/>
            <w:bottom w:val="none" w:sz="0" w:space="0" w:color="auto"/>
            <w:right w:val="none" w:sz="0" w:space="0" w:color="auto"/>
          </w:divBdr>
        </w:div>
        <w:div w:id="1405571753">
          <w:marLeft w:val="0"/>
          <w:marRight w:val="0"/>
          <w:marTop w:val="0"/>
          <w:marBottom w:val="0"/>
          <w:divBdr>
            <w:top w:val="none" w:sz="0" w:space="0" w:color="auto"/>
            <w:left w:val="none" w:sz="0" w:space="0" w:color="auto"/>
            <w:bottom w:val="none" w:sz="0" w:space="0" w:color="auto"/>
            <w:right w:val="none" w:sz="0" w:space="0" w:color="auto"/>
          </w:divBdr>
        </w:div>
        <w:div w:id="766317194">
          <w:marLeft w:val="0"/>
          <w:marRight w:val="0"/>
          <w:marTop w:val="0"/>
          <w:marBottom w:val="0"/>
          <w:divBdr>
            <w:top w:val="none" w:sz="0" w:space="0" w:color="auto"/>
            <w:left w:val="none" w:sz="0" w:space="0" w:color="auto"/>
            <w:bottom w:val="none" w:sz="0" w:space="0" w:color="auto"/>
            <w:right w:val="none" w:sz="0" w:space="0" w:color="auto"/>
          </w:divBdr>
        </w:div>
        <w:div w:id="1121148884">
          <w:marLeft w:val="0"/>
          <w:marRight w:val="0"/>
          <w:marTop w:val="0"/>
          <w:marBottom w:val="0"/>
          <w:divBdr>
            <w:top w:val="none" w:sz="0" w:space="0" w:color="auto"/>
            <w:left w:val="none" w:sz="0" w:space="0" w:color="auto"/>
            <w:bottom w:val="none" w:sz="0" w:space="0" w:color="auto"/>
            <w:right w:val="none" w:sz="0" w:space="0" w:color="auto"/>
          </w:divBdr>
        </w:div>
        <w:div w:id="19651148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Technology_readiness_leve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FBC063-0ABD-4E88-99E2-31E28CA2E3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5760</TotalTime>
  <Pages>11</Pages>
  <Words>3369</Words>
  <Characters>18196</Characters>
  <Application>Microsoft Office Word</Application>
  <DocSecurity>0</DocSecurity>
  <Lines>151</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Lionço</dc:creator>
  <cp:keywords/>
  <dc:description/>
  <cp:lastModifiedBy>Guilherme Lionço</cp:lastModifiedBy>
  <cp:revision>34</cp:revision>
  <cp:lastPrinted>2018-03-27T10:02:00Z</cp:lastPrinted>
  <dcterms:created xsi:type="dcterms:W3CDTF">2018-03-23T02:51:00Z</dcterms:created>
  <dcterms:modified xsi:type="dcterms:W3CDTF">2018-04-01T02:33:00Z</dcterms:modified>
</cp:coreProperties>
</file>