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15C"/>
          <w:sz w:val="24"/>
        </w:rPr>
        <w:t>MONTEX LTDA. — ESTRUTURAS METÁLICAS</w:t>
      </w:r>
    </w:p>
    <w:p>
      <w:r>
        <w:rPr>
          <w:b/>
          <w:color w:val="00615C"/>
          <w:sz w:val="26"/>
        </w:rPr>
        <w:t>CADERNO TÉCNICO BIM — REV.5 (ADENDO R13: QUADRO SÓ DE REQUADRO — PAINEL PIR AUTOPORTANTE)</w:t>
      </w:r>
    </w:p>
    <w:p>
      <w:r>
        <w:rPr>
          <w:b w:val="0"/>
        </w:rPr>
        <w:t>MTX-CM-2026-001 · Casa Popular Bicas 70 · 05/07/2026 · Elaborado para Guilherme Maciel Vieira</w:t>
      </w:r>
    </w:p>
    <w:p>
      <w:r>
        <w:rPr>
          <w:b w:val="0"/>
        </w:rPr>
        <w:t>Este adendo consolida a revisão R13, solicitada em 05/07/2026: retirar guias e montantes do meio das paredes e manter somente as guias do requadro (U100) contornando todos os painéis PIR de 70 mm, tratando o painel como estrutural/autoportante. A geometria arquitetônica e o aço de corte NÃO mudam — a auditoria da R13 constatou que a aba 01 do Romaneio R12 já continha apenas 18 montantes de extremidade; a divergência estava nas FICHAS DE FABRICAÇÃO (02_FICHAS_SKU_R12), cujo W1 ainda instruía a fábrica a cortar e fixar 58 montantes + vergas/contravergas inexistentes no romaneio de corte. A R13 é, portanto, uma revisão de ALINHAMENTO DOCUMENTAL com correções de conteúdo por SKU.</w:t>
      </w:r>
    </w:p>
    <w:p>
      <w:r>
        <w:rPr>
          <w:b/>
          <w:color w:val="00615C"/>
          <w:sz w:val="22"/>
        </w:rPr>
        <w:t>1. Fundamentação técnica (catálogo ArcelorMittal Perfilor — Termilor Cold TC)</w:t>
      </w:r>
    </w:p>
    <w:p>
      <w:r>
        <w:rPr>
          <w:b w:val="0"/>
        </w:rPr>
        <w:t>Painel TC 70 mm (chapas 0,43+0,43, largura útil 1.150 mm): vão máximo entre apoios de 4.400 mm, bi-apoiado, flecha admissível L/120, carga distribuída de 75 kg/m² (0,74 kN/m²). Trabalhando na vertical entre as guias do requadro (vão = pé-direito 2,85 m), a capacidade equivalente é ≈ 1,75 kN/m² — folga ≈ 3× sobre o vento de cálculo de 0,60 kN/m² (NBR 6123, V0 30–35 m/s, região de São Joaquim de Bicas/MG, cf. memorial R1). Conclusão: nenhum montante intermediário é necessário para cargas transversais; as guias superior/inferior + bordas JP bastam como apoios.</w:t>
      </w:r>
    </w:p>
    <w:p>
      <w:r>
        <w:rPr>
          <w:b w:val="0"/>
        </w:rPr>
        <w:t>Limite do catálogo: o TC é classificado como divisória/fachada/forro e NÃO publica capacidade axial (compressão). A função portante vertical (telhado) permanece amparada exclusivamente no DATec SINAT nº 10 — ver item 6.</w:t>
      </w:r>
    </w:p>
    <w:p>
      <w:r>
        <w:rPr>
          <w:b/>
          <w:color w:val="00615C"/>
          <w:sz w:val="22"/>
        </w:rPr>
        <w:t>2. Exceções mantidas (aço remanescente — 18 pontos + marquises/cumeeiras)</w:t>
      </w:r>
    </w:p>
    <w:p>
      <w:r>
        <w:rPr>
          <w:b w:val="0"/>
        </w:rPr>
        <w:t>(a) 10 montantes de canto metalon 70×70×1,90 nas junções JP (travamento de esquina e continuidade do diafragma); (b) 4 montantes de borda de junta (apoio das vigas de cumeeira VCM-A/VCM-B — carga concentrada não admissível na face de 0,43 mm do painel); (c) 4 ombreiras duplas nos vãos de porta externa P01 (F3-A) e P02 (F1) — porta interrompe o painel de alto a baixo e a junta macho-fêmea não transfere cisalhamento da faixa superior; (d) vigas de cumeeira e 6 braços das marquises inalterados.</w:t>
      </w:r>
    </w:p>
    <w:p>
      <w:r>
        <w:rPr>
          <w:b w:val="0"/>
        </w:rPr>
        <w:t>Vãos de janela e portas internas (J01–J07, PI1–PI4): recorte no painel com REQUADRO ALUMÍNIO (peças REQ-xxx da aba 01) — sem vergas/contravergas. Atenção de fabricação: arrancamento de parafuso em chapa 0,43 mm é baixo — fixação de esquadria com rebite estrutural ou parafuso específico no requadro alumínio, nunca direto na face do painel.</w:t>
      </w:r>
    </w:p>
    <w:p>
      <w:r>
        <w:rPr>
          <w:b/>
          <w:color w:val="00615C"/>
          <w:sz w:val="22"/>
        </w:rPr>
        <w:t>3. Mudanças por documento (pipeline: revisão entra pelo Romaneio)</w:t>
      </w:r>
    </w:p>
    <w:p>
      <w:r>
        <w:rPr>
          <w:b w:val="0"/>
        </w:rPr>
        <w:t>03_ROMANEIO_R13.xlsx — cabeçalhos e nota da aba 08 atualizados; aba 01 reemitida SEM alteração de peças (18 montantes; 374,4 m lineares em 124 peças + GM-01/JP-04). Espelho na pasta-mãe (Romaneio_Fabricacao_R13.xlsx).</w:t>
      </w:r>
    </w:p>
    <w:p>
      <w:r>
        <w:rPr>
          <w:b w:val="0"/>
        </w:rPr>
        <w:t>02_FICHAS_SKU_R13.pdf — 17 páginas regeneradas. W1 reescrito por SKU: 'guias 2×L (requadro U100 contornando os painéis) + 2 montantes de extremidade (junção JP)', acrescido de ombreira dupla (F1, F3-A) ou montantes de borda de junta (JUNTA-A, JUNTA-B) onde aplicável. Croquis: requadro completo desenhado (guias nas 4 bordas), vãos com requadro alumínio em laranja, sem montantes intermediários. Kit paramétrico PF-3 recalculado: 8 un/parede base + 6 un onde há par de montantes adicional → total 152 un/casa (era 206; Δ −54).</w:t>
      </w:r>
    </w:p>
    <w:p>
      <w:r>
        <w:rPr>
          <w:b w:val="0"/>
          <w:color w:val="A01010"/>
        </w:rPr>
        <w:t>Correções de alinhamento aba 08 → fichas detectadas na regeneração (bugs das fichas R12): J04 estava desenhada em F4-B, pertence à F5-B; portas PI3/PI2 estavam desenhadas em I1/I2, pertencem à IA1/IA2; F5-B não mostrava o vão J04.</w:t>
      </w:r>
    </w:p>
    <w:p>
      <w:r>
        <w:rPr>
          <w:b w:val="0"/>
        </w:rPr>
        <w:t>C5_Orcamento_REV13.xlsx — DELTA DE MATERIAL ZERO (aba 04_Deltas REV12-REV13). Item 1.2 com descrição corrigida ('guias do requadro', não há vergas). Item 1.9 (verba de parafusos): PF-3 −54 un/casa, sem delta de preço; recontar kits QR. Espelho na pasta-mãe (Orcamento REV13.xlsx).</w:t>
      </w:r>
    </w:p>
    <w:p>
      <w:r>
        <w:rPr>
          <w:b w:val="0"/>
        </w:rPr>
        <w:t>Nesting: MTX-CM-2026-001_Nesting_Corte_R9.xlsx PERMANECE VÁLIDO — nenhuma peça de aço muda; não reemitido para não simular alteração de compra.</w:t>
      </w:r>
    </w:p>
    <w:p>
      <w:r>
        <w:rPr>
          <w:b w:val="0"/>
        </w:rPr>
        <w:t>Modelo BIM: Modelo_BIM_R12.ifc PERMANECE o mestre geométrico da R13 (geometria e psets inalterados); QA planta/elevação R12 idem. Caderno_QA_Fichas: PITs genéricos, sem alteração — o critério nº 3 do PIT-W1 ('vãos: L×H e diagonais') passa a ser medido no requadro alumínio.</w:t>
      </w:r>
    </w:p>
    <w:p>
      <w:r>
        <w:rPr>
          <w:b/>
          <w:color w:val="00615C"/>
          <w:sz w:val="22"/>
        </w:rPr>
        <w:t>4. Impacto em fabricação</w:t>
      </w:r>
    </w:p>
    <w:p>
      <w:r>
        <w:rPr>
          <w:b w:val="0"/>
        </w:rPr>
        <w:t>Estação W1: elimina corte, posicionamento e aparafusamento de até 40 montantes 'fantasma' por casa que as fichas R12 induziriam (não constavam do nesting — a divergência estourarìa no indicador 3 do piloto, contador × kit). Tempo-alvo de W1 deve cair; recalibrar na cronometragem do piloto. Içamento inalterado: olhais no requadro, içar somente com 100% dos PF painel-guia instalados (o diafragma é o painel — SOP R7). Reforço de chapa #4,75 sob olhal na guia U100 mantido.</w:t>
      </w:r>
    </w:p>
    <w:p>
      <w:r>
        <w:rPr>
          <w:b/>
          <w:color w:val="00615C"/>
          <w:sz w:val="22"/>
        </w:rPr>
        <w:t>5. Rastreabilidade</w:t>
      </w:r>
    </w:p>
    <w:p>
      <w:r>
        <w:rPr>
          <w:b w:val="0"/>
        </w:rPr>
        <w:t>Fonte única: 03_ROMANEIO_R13.xlsx (aba 08 = fichas; aba 01 = corte). Derivados R13: 02_FICHAS_SKU_R13.pdf · C5_Orcamento_REV13.xlsx · este adendo · 00_LEIA-ME atualizado. Mestre geométrico: Modelo_BIM_R12.ifc (inalterado).</w:t>
      </w:r>
    </w:p>
    <w:p>
      <w:r>
        <w:rPr>
          <w:b/>
          <w:color w:val="00615C"/>
          <w:sz w:val="22"/>
        </w:rPr>
        <w:t>6. AVISO ESTRUTURAL (bloqueante — condicionante C1)</w:t>
      </w:r>
    </w:p>
    <w:p>
      <w:r>
        <w:rPr>
          <w:b/>
          <w:color w:val="A01010"/>
        </w:rPr>
        <w:t>A premissa 'painel PIR 70 portante' continua condicionada, ANTES da produção em série, a: (a) verificação dos limites do DATec SINAT nº 10 para parede portante (compressão + vento + diafragma + recortes de vão); (b) validação dos 4 apoios de cumeeira na junta; (c) validação das marquises em balanço (~2,60 m); (d) memorial de cálculo revisado com ART. O catálogo Termilor cobre apenas o comportamento transversal (vão 4,40 m); a capacidade axial NÃO consta do catálogo. Sem essa validação, a R13 NÃO deve ir à linha de produção.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