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O equipamento é um pouco desconfortável, pesado.</w:t>
      </w:r>
    </w:p>
    <w:p>
      <w:r>
        <w:rPr>
          <w:rStyle w:val="Strong"/>
        </w:rPr>
        <w:t>Q63: Descreva experiências positivas:</w:t>
      </w:r>
    </w:p>
    <w:p>
      <w:r>
        <w:t>A: A experiência foi divertida, instrutiva e para mim, inovadora.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Apenas no começo, até me acostumar com a forma de interagir com o jogo.</w:t>
      </w:r>
    </w:p>
    <w:p>
      <w:r>
        <w:rPr>
          <w:rStyle w:val="Strong"/>
        </w:rPr>
        <w:t>Q65: Você possui sugestões</w:t>
      </w:r>
    </w:p>
    <w:p>
      <w:r>
        <w:t>A: Talvez uma sugestão seria aparecer um contorno diferente quando a peça se encaixa na base.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Sim, porque ela possibilita manusear as peças tridimensionalmente, ou seja, o movimento não fica limitado aos botões do console.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